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cs="仿宋_GB2312"/>
          <w:sz w:val="36"/>
          <w:szCs w:val="36"/>
        </w:rPr>
      </w:pPr>
    </w:p>
    <w:p>
      <w:pPr>
        <w:rPr>
          <w:rFonts w:eastAsia="仿宋_GB2312" w:cs="仿宋_GB2312"/>
          <w:sz w:val="36"/>
          <w:szCs w:val="36"/>
        </w:rPr>
      </w:pPr>
    </w:p>
    <w:p>
      <w:pPr>
        <w:rPr>
          <w:rFonts w:eastAsia="仿宋_GB2312" w:cs="仿宋_GB2312"/>
          <w:sz w:val="36"/>
          <w:szCs w:val="36"/>
        </w:rPr>
      </w:pPr>
    </w:p>
    <w:p>
      <w:pPr>
        <w:rPr>
          <w:rFonts w:eastAsia="仿宋_GB2312" w:cs="仿宋_GB2312"/>
          <w:sz w:val="36"/>
          <w:szCs w:val="36"/>
        </w:rPr>
      </w:pPr>
    </w:p>
    <w:p>
      <w:pPr>
        <w:rPr>
          <w:rFonts w:eastAsia="仿宋_GB2312" w:cs="仿宋_GB2312"/>
          <w:sz w:val="36"/>
          <w:szCs w:val="36"/>
        </w:rPr>
      </w:pPr>
    </w:p>
    <w:p>
      <w:pPr>
        <w:adjustRightInd w:val="0"/>
        <w:snapToGrid w:val="0"/>
        <w:jc w:val="center"/>
        <w:outlineLvl w:val="0"/>
        <w:rPr>
          <w:rFonts w:eastAsia="方正小标宋_GBK"/>
          <w:bCs/>
          <w:sz w:val="72"/>
          <w:szCs w:val="72"/>
        </w:rPr>
      </w:pPr>
      <w:r>
        <w:rPr>
          <w:rFonts w:hint="eastAsia" w:eastAsia="方正小标宋_GBK"/>
          <w:bCs/>
          <w:sz w:val="72"/>
          <w:szCs w:val="72"/>
        </w:rPr>
        <w:t>建设项目环境影响报告表</w:t>
      </w:r>
    </w:p>
    <w:p>
      <w:pPr>
        <w:adjustRightInd w:val="0"/>
        <w:snapToGrid w:val="0"/>
        <w:spacing w:before="192" w:beforeLines="80"/>
        <w:jc w:val="center"/>
        <w:rPr>
          <w:rFonts w:eastAsia="楷体_GB2312"/>
          <w:bCs/>
          <w:sz w:val="48"/>
          <w:szCs w:val="48"/>
        </w:rPr>
      </w:pPr>
      <w:r>
        <w:rPr>
          <w:rFonts w:hint="eastAsia" w:eastAsia="楷体_GB2312"/>
          <w:bCs/>
          <w:sz w:val="48"/>
          <w:szCs w:val="48"/>
        </w:rPr>
        <w:t>（污染影响类）</w:t>
      </w:r>
    </w:p>
    <w:p/>
    <w:p/>
    <w:p>
      <w:pPr>
        <w:ind w:firstLine="1040"/>
        <w:rPr>
          <w:rFonts w:eastAsia="仿宋"/>
          <w:sz w:val="44"/>
          <w:szCs w:val="44"/>
        </w:rPr>
      </w:pPr>
    </w:p>
    <w:p>
      <w:pPr>
        <w:ind w:firstLine="1040"/>
        <w:rPr>
          <w:rFonts w:eastAsia="仿宋"/>
          <w:sz w:val="44"/>
          <w:szCs w:val="44"/>
        </w:rPr>
      </w:pPr>
    </w:p>
    <w:p>
      <w:pPr>
        <w:ind w:firstLine="1040"/>
        <w:rPr>
          <w:rFonts w:eastAsia="仿宋"/>
          <w:sz w:val="44"/>
          <w:szCs w:val="44"/>
        </w:rPr>
      </w:pPr>
    </w:p>
    <w:p>
      <w:pPr>
        <w:adjustRightInd w:val="0"/>
        <w:snapToGrid w:val="0"/>
        <w:spacing w:line="360" w:lineRule="auto"/>
        <w:rPr>
          <w:rFonts w:eastAsia="仿宋"/>
          <w:sz w:val="44"/>
          <w:szCs w:val="44"/>
        </w:rPr>
      </w:pPr>
    </w:p>
    <w:p>
      <w:pPr>
        <w:pStyle w:val="4"/>
      </w:pPr>
    </w:p>
    <w:p/>
    <w:p>
      <w:pPr>
        <w:pStyle w:val="4"/>
      </w:pPr>
    </w:p>
    <w:p/>
    <w:p>
      <w:pPr>
        <w:pStyle w:val="4"/>
      </w:pPr>
    </w:p>
    <w:p/>
    <w:p>
      <w:pPr>
        <w:pStyle w:val="4"/>
      </w:pPr>
    </w:p>
    <w:p>
      <w:pPr>
        <w:ind w:left="567" w:leftChars="270" w:right="338" w:rightChars="161"/>
      </w:pPr>
    </w:p>
    <w:p>
      <w:pPr>
        <w:adjustRightInd w:val="0"/>
        <w:snapToGrid w:val="0"/>
        <w:spacing w:line="360" w:lineRule="auto"/>
        <w:ind w:left="2266" w:leftChars="270" w:right="338" w:rightChars="161" w:hanging="1699" w:hangingChars="529"/>
        <w:rPr>
          <w:rFonts w:eastAsia="仿宋_GB2312"/>
          <w:b/>
          <w:bCs/>
          <w:iCs/>
          <w:sz w:val="32"/>
          <w:szCs w:val="32"/>
          <w:u w:val="single"/>
        </w:rPr>
      </w:pPr>
      <w:r>
        <w:rPr>
          <w:rFonts w:hint="eastAsia" w:eastAsia="仿宋_GB2312"/>
          <w:b/>
          <w:bCs/>
          <w:sz w:val="32"/>
          <w:szCs w:val="32"/>
        </w:rPr>
        <w:t>项目名称：</w:t>
      </w:r>
      <w:r>
        <w:rPr>
          <w:rFonts w:hint="eastAsia" w:eastAsia="仿宋_GB2312"/>
          <w:b/>
          <w:bCs/>
          <w:sz w:val="32"/>
          <w:szCs w:val="32"/>
          <w:u w:val="single"/>
        </w:rPr>
        <w:t xml:space="preserve">伊金霍洛旗红星兆劳务有限责任公司吉祥商砼站项目 </w:t>
      </w:r>
      <w:r>
        <w:rPr>
          <w:rFonts w:eastAsia="仿宋_GB2312"/>
          <w:b/>
          <w:bCs/>
          <w:sz w:val="32"/>
          <w:szCs w:val="32"/>
          <w:u w:val="single"/>
        </w:rPr>
        <w:t xml:space="preserve">                                                             </w:t>
      </w:r>
    </w:p>
    <w:p>
      <w:pPr>
        <w:adjustRightInd w:val="0"/>
        <w:snapToGrid w:val="0"/>
        <w:spacing w:line="360" w:lineRule="auto"/>
        <w:ind w:left="3012" w:leftChars="270" w:right="338" w:rightChars="161" w:hanging="2445" w:hangingChars="761"/>
        <w:rPr>
          <w:rFonts w:eastAsia="仿宋_GB2312"/>
          <w:b/>
          <w:bCs/>
          <w:iCs/>
          <w:sz w:val="32"/>
          <w:szCs w:val="32"/>
          <w:u w:val="single"/>
        </w:rPr>
      </w:pPr>
      <w:r>
        <w:rPr>
          <w:rFonts w:hint="eastAsia" w:eastAsia="仿宋_GB2312"/>
          <w:b/>
          <w:bCs/>
          <w:sz w:val="32"/>
          <w:szCs w:val="32"/>
        </w:rPr>
        <w:t>建设单位：</w:t>
      </w:r>
      <w:r>
        <w:rPr>
          <w:rFonts w:hint="eastAsia" w:eastAsia="仿宋_GB2312"/>
          <w:b/>
          <w:bCs/>
          <w:sz w:val="32"/>
          <w:szCs w:val="32"/>
          <w:u w:val="single"/>
        </w:rPr>
        <w:t>伊金霍洛旗红星兆劳务有限责任公司（盖章）</w:t>
      </w:r>
    </w:p>
    <w:p>
      <w:pPr>
        <w:adjustRightInd w:val="0"/>
        <w:snapToGrid w:val="0"/>
        <w:spacing w:line="360" w:lineRule="auto"/>
        <w:ind w:left="3012" w:leftChars="270" w:right="338" w:rightChars="161" w:hanging="2445" w:hangingChars="761"/>
        <w:rPr>
          <w:rFonts w:eastAsia="仿宋_GB2312"/>
          <w:b/>
          <w:bCs/>
          <w:sz w:val="32"/>
          <w:szCs w:val="32"/>
          <w:u w:val="single"/>
        </w:rPr>
      </w:pPr>
      <w:r>
        <w:rPr>
          <w:rFonts w:hint="eastAsia" w:eastAsia="仿宋_GB2312"/>
          <w:b/>
          <w:bCs/>
          <w:sz w:val="32"/>
          <w:szCs w:val="32"/>
        </w:rPr>
        <w:t>编制日期：</w:t>
      </w:r>
      <w:r>
        <w:rPr>
          <w:rFonts w:hint="eastAsia" w:eastAsia="仿宋_GB2312"/>
          <w:b/>
          <w:bCs/>
          <w:sz w:val="32"/>
          <w:szCs w:val="32"/>
          <w:u w:val="single"/>
        </w:rPr>
        <w:t xml:space="preserve"> </w:t>
      </w:r>
      <w:r>
        <w:rPr>
          <w:rFonts w:eastAsia="仿宋_GB2312"/>
          <w:b/>
          <w:bCs/>
          <w:sz w:val="32"/>
          <w:szCs w:val="32"/>
          <w:u w:val="single"/>
        </w:rPr>
        <w:t xml:space="preserve">                      </w:t>
      </w:r>
      <w:r>
        <w:rPr>
          <w:rFonts w:hint="eastAsia" w:eastAsia="仿宋_GB2312"/>
          <w:b/>
          <w:bCs/>
          <w:sz w:val="32"/>
          <w:szCs w:val="32"/>
          <w:u w:val="single"/>
        </w:rPr>
        <w:t>二</w:t>
      </w:r>
      <w:r>
        <w:rPr>
          <w:rFonts w:eastAsia="仿宋_GB2312"/>
          <w:b/>
          <w:bCs/>
          <w:sz w:val="32"/>
          <w:szCs w:val="32"/>
          <w:u w:val="single"/>
        </w:rPr>
        <w:t>〇</w:t>
      </w:r>
      <w:r>
        <w:rPr>
          <w:rFonts w:hint="eastAsia" w:eastAsia="仿宋_GB2312"/>
          <w:b/>
          <w:bCs/>
          <w:sz w:val="32"/>
          <w:szCs w:val="32"/>
          <w:u w:val="single"/>
        </w:rPr>
        <w:t xml:space="preserve">二四年一月 </w:t>
      </w:r>
      <w:r>
        <w:rPr>
          <w:rFonts w:eastAsia="仿宋_GB2312"/>
          <w:b/>
          <w:bCs/>
          <w:sz w:val="32"/>
          <w:szCs w:val="32"/>
          <w:u w:val="single"/>
        </w:rPr>
        <w:t xml:space="preserve">                            </w:t>
      </w:r>
    </w:p>
    <w:p>
      <w:pPr>
        <w:adjustRightInd w:val="0"/>
        <w:snapToGrid w:val="0"/>
        <w:spacing w:line="288" w:lineRule="auto"/>
        <w:ind w:firstLine="1040"/>
        <w:rPr>
          <w:rFonts w:eastAsia="仿宋_GB2312"/>
          <w:sz w:val="36"/>
          <w:szCs w:val="36"/>
          <w:u w:val="single"/>
        </w:rPr>
      </w:pPr>
      <w:bookmarkStart w:id="0" w:name="_Hlk57884087"/>
    </w:p>
    <w:bookmarkEnd w:id="0"/>
    <w:p>
      <w:pPr>
        <w:adjustRightInd w:val="0"/>
        <w:snapToGrid w:val="0"/>
        <w:spacing w:line="288" w:lineRule="auto"/>
        <w:jc w:val="center"/>
        <w:rPr>
          <w:rFonts w:eastAsia="仿宋_GB2312"/>
          <w:b/>
          <w:bCs/>
          <w:sz w:val="36"/>
          <w:szCs w:val="36"/>
        </w:rPr>
      </w:pPr>
      <w:r>
        <w:rPr>
          <w:rFonts w:hint="eastAsia" w:eastAsia="仿宋_GB2312"/>
          <w:b/>
          <w:bCs/>
          <w:sz w:val="36"/>
          <w:szCs w:val="36"/>
        </w:rPr>
        <w:t>中华人民共和国生态环境部制</w:t>
      </w:r>
    </w:p>
    <w:p>
      <w:pPr>
        <w:adjustRightInd w:val="0"/>
        <w:snapToGrid w:val="0"/>
        <w:spacing w:line="288" w:lineRule="auto"/>
        <w:ind w:firstLine="1040"/>
        <w:rPr>
          <w:rFonts w:eastAsia="仿宋_GB2312"/>
          <w:sz w:val="36"/>
          <w:szCs w:val="36"/>
        </w:rPr>
        <w:sectPr>
          <w:footerReference r:id="rId3" w:type="default"/>
          <w:footerReference r:id="rId4" w:type="even"/>
          <w:pgSz w:w="11906" w:h="16838"/>
          <w:pgMar w:top="1701" w:right="1531" w:bottom="1701" w:left="1531" w:header="851" w:footer="1077" w:gutter="0"/>
          <w:pgNumType w:start="1"/>
          <w:cols w:space="720" w:num="1"/>
          <w:docGrid w:linePitch="312" w:charSpace="0"/>
        </w:sectPr>
      </w:pPr>
    </w:p>
    <w:p>
      <w:pPr>
        <w:pStyle w:val="13"/>
        <w:jc w:val="center"/>
        <w:outlineLvl w:val="0"/>
        <w:rPr>
          <w:rFonts w:ascii="Times New Roman" w:hAnsi="Times New Roman" w:eastAsia="黑体"/>
          <w:snapToGrid w:val="0"/>
          <w:sz w:val="30"/>
          <w:szCs w:val="30"/>
        </w:rPr>
      </w:pPr>
      <w:r>
        <w:rPr>
          <w:rFonts w:hint="eastAsia" w:ascii="Times New Roman" w:hAnsi="Times New Roman" w:eastAsia="黑体"/>
          <w:snapToGrid w:val="0"/>
          <w:sz w:val="30"/>
          <w:szCs w:val="30"/>
        </w:rPr>
        <w:t>一、建设项目基本情况</w:t>
      </w:r>
    </w:p>
    <w:tbl>
      <w:tblPr>
        <w:tblStyle w:val="14"/>
        <w:tblW w:w="882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123"/>
        <w:gridCol w:w="2403"/>
        <w:gridCol w:w="1533"/>
        <w:gridCol w:w="27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建设项目名称</w:t>
            </w:r>
          </w:p>
        </w:tc>
        <w:tc>
          <w:tcPr>
            <w:tcW w:w="6698" w:type="dxa"/>
            <w:gridSpan w:val="3"/>
            <w:vAlign w:val="center"/>
          </w:tcPr>
          <w:p>
            <w:pPr>
              <w:adjustRightInd w:val="0"/>
              <w:snapToGrid w:val="0"/>
              <w:jc w:val="center"/>
              <w:rPr>
                <w:rFonts w:cs="宋体"/>
                <w:sz w:val="24"/>
              </w:rPr>
            </w:pPr>
            <w:r>
              <w:rPr>
                <w:rFonts w:hint="eastAsia" w:cs="宋体"/>
                <w:sz w:val="24"/>
              </w:rPr>
              <w:t>伊金霍洛旗红星兆劳务有限责任公司吉祥商砼站项目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项目代码</w:t>
            </w:r>
          </w:p>
        </w:tc>
        <w:tc>
          <w:tcPr>
            <w:tcW w:w="6698" w:type="dxa"/>
            <w:gridSpan w:val="3"/>
            <w:vAlign w:val="center"/>
          </w:tcPr>
          <w:p>
            <w:pPr>
              <w:adjustRightInd w:val="0"/>
              <w:snapToGrid w:val="0"/>
              <w:jc w:val="center"/>
              <w:rPr>
                <w:rFonts w:cs="宋体"/>
                <w:sz w:val="24"/>
              </w:rPr>
            </w:pPr>
            <w:r>
              <w:rPr>
                <w:rFonts w:cs="宋体"/>
                <w:sz w:val="24"/>
              </w:rPr>
              <w:t>2308-150627-04-01-938190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建设单位联系人</w:t>
            </w:r>
          </w:p>
        </w:tc>
        <w:tc>
          <w:tcPr>
            <w:tcW w:w="2403" w:type="dxa"/>
            <w:vAlign w:val="center"/>
          </w:tcPr>
          <w:p>
            <w:pPr>
              <w:adjustRightInd w:val="0"/>
              <w:snapToGrid w:val="0"/>
              <w:jc w:val="center"/>
              <w:rPr>
                <w:rFonts w:cs="宋体"/>
                <w:sz w:val="24"/>
              </w:rPr>
            </w:pPr>
            <w:r>
              <w:rPr>
                <w:rFonts w:hint="eastAsia" w:cs="宋体"/>
                <w:sz w:val="24"/>
              </w:rPr>
              <w:t>高飞飞</w:t>
            </w:r>
          </w:p>
        </w:tc>
        <w:tc>
          <w:tcPr>
            <w:tcW w:w="1533" w:type="dxa"/>
            <w:vAlign w:val="center"/>
          </w:tcPr>
          <w:p>
            <w:pPr>
              <w:adjustRightInd w:val="0"/>
              <w:snapToGrid w:val="0"/>
              <w:jc w:val="center"/>
              <w:rPr>
                <w:rFonts w:cs="宋体"/>
                <w:sz w:val="24"/>
              </w:rPr>
            </w:pPr>
            <w:r>
              <w:rPr>
                <w:rFonts w:hint="eastAsia" w:cs="宋体"/>
                <w:sz w:val="24"/>
              </w:rPr>
              <w:t>联系方式</w:t>
            </w:r>
          </w:p>
        </w:tc>
        <w:tc>
          <w:tcPr>
            <w:tcW w:w="2762" w:type="dxa"/>
            <w:vAlign w:val="center"/>
          </w:tcPr>
          <w:p>
            <w:pPr>
              <w:adjustRightInd w:val="0"/>
              <w:snapToGrid w:val="0"/>
              <w:jc w:val="center"/>
              <w:rPr>
                <w:rFonts w:cs="宋体"/>
                <w:sz w:val="24"/>
              </w:rPr>
            </w:pPr>
            <w:r>
              <w:rPr>
                <w:rFonts w:hint="eastAsia" w:cs="宋体"/>
                <w:sz w:val="24"/>
              </w:rPr>
              <w:t>15804818525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建设地点</w:t>
            </w:r>
          </w:p>
        </w:tc>
        <w:tc>
          <w:tcPr>
            <w:tcW w:w="6698" w:type="dxa"/>
            <w:gridSpan w:val="3"/>
            <w:vAlign w:val="center"/>
          </w:tcPr>
          <w:p>
            <w:pPr>
              <w:adjustRightInd w:val="0"/>
              <w:snapToGrid w:val="0"/>
              <w:jc w:val="center"/>
              <w:rPr>
                <w:rFonts w:cs="宋体"/>
                <w:sz w:val="24"/>
              </w:rPr>
            </w:pPr>
            <w:r>
              <w:rPr>
                <w:rFonts w:hint="eastAsia"/>
                <w:sz w:val="24"/>
              </w:rPr>
              <w:t>鄂尔多斯市伊金霍洛旗札萨克镇高勒庙村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地理坐标</w:t>
            </w:r>
          </w:p>
        </w:tc>
        <w:tc>
          <w:tcPr>
            <w:tcW w:w="6698" w:type="dxa"/>
            <w:gridSpan w:val="3"/>
            <w:vAlign w:val="center"/>
          </w:tcPr>
          <w:p>
            <w:pPr>
              <w:jc w:val="center"/>
              <w:rPr>
                <w:rFonts w:cs="宋体"/>
                <w:sz w:val="24"/>
              </w:rPr>
            </w:pPr>
            <w:r>
              <w:rPr>
                <w:rFonts w:cs="宋体"/>
                <w:sz w:val="24"/>
              </w:rPr>
              <w:t>E：</w:t>
            </w:r>
            <w:r>
              <w:rPr>
                <w:rFonts w:cs="宋体"/>
                <w:sz w:val="24"/>
                <w:u w:val="single"/>
              </w:rPr>
              <w:t xml:space="preserve"> 109 </w:t>
            </w:r>
            <w:r>
              <w:rPr>
                <w:rFonts w:cs="宋体"/>
                <w:sz w:val="24"/>
              </w:rPr>
              <w:t>度</w:t>
            </w:r>
            <w:r>
              <w:rPr>
                <w:rFonts w:cs="宋体"/>
                <w:sz w:val="24"/>
                <w:u w:val="single"/>
              </w:rPr>
              <w:t xml:space="preserve"> 42 </w:t>
            </w:r>
            <w:r>
              <w:rPr>
                <w:rFonts w:cs="宋体"/>
                <w:sz w:val="24"/>
              </w:rPr>
              <w:t>分</w:t>
            </w:r>
            <w:r>
              <w:rPr>
                <w:rFonts w:cs="宋体"/>
                <w:sz w:val="24"/>
                <w:u w:val="single"/>
              </w:rPr>
              <w:t xml:space="preserve"> 16.592 </w:t>
            </w:r>
            <w:r>
              <w:rPr>
                <w:rFonts w:cs="宋体"/>
                <w:sz w:val="24"/>
              </w:rPr>
              <w:t>秒，N：</w:t>
            </w:r>
            <w:r>
              <w:rPr>
                <w:rFonts w:cs="宋体"/>
                <w:sz w:val="24"/>
                <w:u w:val="single"/>
              </w:rPr>
              <w:t xml:space="preserve"> 39 </w:t>
            </w:r>
            <w:r>
              <w:rPr>
                <w:rFonts w:cs="宋体"/>
                <w:sz w:val="24"/>
              </w:rPr>
              <w:t>度</w:t>
            </w:r>
            <w:r>
              <w:rPr>
                <w:rFonts w:cs="宋体"/>
                <w:sz w:val="24"/>
                <w:u w:val="single"/>
              </w:rPr>
              <w:t xml:space="preserve"> 7 </w:t>
            </w:r>
            <w:r>
              <w:rPr>
                <w:rFonts w:cs="宋体"/>
                <w:sz w:val="24"/>
              </w:rPr>
              <w:t>分</w:t>
            </w:r>
            <w:r>
              <w:rPr>
                <w:rFonts w:cs="宋体"/>
                <w:sz w:val="24"/>
                <w:u w:val="single"/>
              </w:rPr>
              <w:t xml:space="preserve"> 38.775 </w:t>
            </w:r>
            <w:r>
              <w:rPr>
                <w:rFonts w:cs="宋体"/>
                <w:sz w:val="24"/>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国民经济</w:t>
            </w:r>
          </w:p>
          <w:p>
            <w:pPr>
              <w:adjustRightInd w:val="0"/>
              <w:snapToGrid w:val="0"/>
              <w:jc w:val="center"/>
              <w:rPr>
                <w:rFonts w:cs="宋体"/>
                <w:sz w:val="24"/>
              </w:rPr>
            </w:pPr>
            <w:r>
              <w:rPr>
                <w:rFonts w:hint="eastAsia" w:cs="宋体"/>
                <w:sz w:val="24"/>
              </w:rPr>
              <w:t>行业类别</w:t>
            </w:r>
          </w:p>
        </w:tc>
        <w:tc>
          <w:tcPr>
            <w:tcW w:w="2403" w:type="dxa"/>
            <w:vAlign w:val="center"/>
          </w:tcPr>
          <w:p>
            <w:pPr>
              <w:adjustRightInd w:val="0"/>
              <w:snapToGrid w:val="0"/>
              <w:jc w:val="center"/>
              <w:rPr>
                <w:rFonts w:cs="宋体"/>
                <w:sz w:val="24"/>
              </w:rPr>
            </w:pPr>
            <w:r>
              <w:rPr>
                <w:rFonts w:hint="eastAsia" w:cs="宋体"/>
                <w:sz w:val="24"/>
              </w:rPr>
              <w:t>C3021水泥制品制造</w:t>
            </w:r>
          </w:p>
        </w:tc>
        <w:tc>
          <w:tcPr>
            <w:tcW w:w="1533" w:type="dxa"/>
            <w:vAlign w:val="center"/>
          </w:tcPr>
          <w:p>
            <w:pPr>
              <w:adjustRightInd w:val="0"/>
              <w:snapToGrid w:val="0"/>
              <w:jc w:val="center"/>
              <w:rPr>
                <w:rFonts w:cs="宋体"/>
                <w:sz w:val="24"/>
              </w:rPr>
            </w:pPr>
            <w:bookmarkStart w:id="1" w:name="_Hlk49843745"/>
            <w:r>
              <w:rPr>
                <w:rFonts w:hint="eastAsia" w:cs="宋体"/>
                <w:sz w:val="24"/>
              </w:rPr>
              <w:t>建设项目</w:t>
            </w:r>
          </w:p>
          <w:p>
            <w:pPr>
              <w:adjustRightInd w:val="0"/>
              <w:snapToGrid w:val="0"/>
              <w:jc w:val="center"/>
              <w:rPr>
                <w:rFonts w:cs="宋体"/>
                <w:sz w:val="24"/>
              </w:rPr>
            </w:pPr>
            <w:r>
              <w:rPr>
                <w:rFonts w:hint="eastAsia" w:cs="宋体"/>
                <w:sz w:val="24"/>
              </w:rPr>
              <w:t>行业类别</w:t>
            </w:r>
            <w:bookmarkEnd w:id="1"/>
          </w:p>
        </w:tc>
        <w:tc>
          <w:tcPr>
            <w:tcW w:w="2762" w:type="dxa"/>
            <w:vAlign w:val="center"/>
          </w:tcPr>
          <w:p>
            <w:pPr>
              <w:adjustRightInd w:val="0"/>
              <w:snapToGrid w:val="0"/>
              <w:rPr>
                <w:rFonts w:cs="宋体"/>
                <w:sz w:val="24"/>
              </w:rPr>
            </w:pPr>
            <w:r>
              <w:rPr>
                <w:rFonts w:hint="eastAsia" w:cs="宋体"/>
                <w:sz w:val="24"/>
              </w:rPr>
              <w:t>二十七、非金属矿物制品业</w:t>
            </w:r>
            <w:r>
              <w:rPr>
                <w:rFonts w:cs="宋体"/>
                <w:sz w:val="24"/>
              </w:rPr>
              <w:t>-</w:t>
            </w:r>
            <w:r>
              <w:rPr>
                <w:rFonts w:hint="eastAsia" w:cs="宋体"/>
                <w:sz w:val="24"/>
              </w:rPr>
              <w:t>55石膏、水泥制品及类似制品制造-商品混凝土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建设性质</w:t>
            </w:r>
          </w:p>
        </w:tc>
        <w:tc>
          <w:tcPr>
            <w:tcW w:w="2403" w:type="dxa"/>
            <w:vAlign w:val="center"/>
          </w:tcPr>
          <w:p>
            <w:pPr>
              <w:jc w:val="left"/>
              <w:rPr>
                <w:rFonts w:cs="宋体"/>
                <w:sz w:val="24"/>
              </w:rPr>
            </w:pPr>
            <w:r>
              <w:rPr>
                <w:rFonts w:hint="eastAsia" w:eastAsia="MS Mincho" w:cs="MS Mincho"/>
                <w:sz w:val="24"/>
              </w:rPr>
              <w:t>☑</w:t>
            </w:r>
            <w:r>
              <w:rPr>
                <w:rFonts w:hint="eastAsia" w:cs="宋体"/>
                <w:sz w:val="24"/>
              </w:rPr>
              <w:t>新建（迁建）</w:t>
            </w:r>
          </w:p>
          <w:p>
            <w:pPr>
              <w:jc w:val="left"/>
              <w:rPr>
                <w:rFonts w:cs="宋体"/>
                <w:sz w:val="24"/>
              </w:rPr>
            </w:pPr>
            <w:r>
              <w:rPr>
                <w:rFonts w:hint="eastAsia" w:cs="宋体"/>
                <w:sz w:val="24"/>
              </w:rPr>
              <w:t>□改建</w:t>
            </w:r>
          </w:p>
          <w:p>
            <w:pPr>
              <w:jc w:val="left"/>
              <w:rPr>
                <w:rFonts w:cs="宋体"/>
                <w:sz w:val="24"/>
              </w:rPr>
            </w:pPr>
            <w:r>
              <w:rPr>
                <w:rFonts w:hint="eastAsia" w:cs="宋体"/>
                <w:sz w:val="24"/>
              </w:rPr>
              <w:t>□扩建</w:t>
            </w:r>
          </w:p>
          <w:p>
            <w:pPr>
              <w:jc w:val="left"/>
              <w:rPr>
                <w:rFonts w:cs="宋体"/>
                <w:sz w:val="24"/>
              </w:rPr>
            </w:pPr>
            <w:r>
              <w:rPr>
                <w:rFonts w:hint="eastAsia" w:cs="宋体"/>
                <w:sz w:val="24"/>
              </w:rPr>
              <w:t>□技术改造</w:t>
            </w:r>
          </w:p>
        </w:tc>
        <w:tc>
          <w:tcPr>
            <w:tcW w:w="1533" w:type="dxa"/>
            <w:vAlign w:val="center"/>
          </w:tcPr>
          <w:p>
            <w:pPr>
              <w:adjustRightInd w:val="0"/>
              <w:snapToGrid w:val="0"/>
              <w:jc w:val="center"/>
              <w:rPr>
                <w:rFonts w:cs="宋体"/>
                <w:sz w:val="24"/>
              </w:rPr>
            </w:pPr>
            <w:r>
              <w:rPr>
                <w:rFonts w:hint="eastAsia" w:cs="宋体"/>
                <w:sz w:val="24"/>
              </w:rPr>
              <w:t>建设项目</w:t>
            </w:r>
          </w:p>
          <w:p>
            <w:pPr>
              <w:adjustRightInd w:val="0"/>
              <w:snapToGrid w:val="0"/>
              <w:jc w:val="center"/>
              <w:rPr>
                <w:rFonts w:cs="宋体"/>
                <w:sz w:val="24"/>
              </w:rPr>
            </w:pPr>
            <w:r>
              <w:rPr>
                <w:rFonts w:hint="eastAsia" w:cs="宋体"/>
                <w:sz w:val="24"/>
              </w:rPr>
              <w:t>申报情形</w:t>
            </w:r>
          </w:p>
        </w:tc>
        <w:tc>
          <w:tcPr>
            <w:tcW w:w="2762" w:type="dxa"/>
            <w:vAlign w:val="center"/>
          </w:tcPr>
          <w:p>
            <w:pPr>
              <w:jc w:val="left"/>
              <w:rPr>
                <w:rFonts w:cs="宋体"/>
                <w:sz w:val="24"/>
              </w:rPr>
            </w:pPr>
            <w:r>
              <w:rPr>
                <w:rFonts w:hint="eastAsia" w:eastAsia="MS Mincho" w:cs="MS Mincho"/>
                <w:sz w:val="24"/>
              </w:rPr>
              <w:t>☑</w:t>
            </w:r>
            <w:r>
              <w:rPr>
                <w:rFonts w:hint="eastAsia" w:cs="宋体"/>
                <w:sz w:val="24"/>
              </w:rPr>
              <w:t>首次申报项目</w:t>
            </w:r>
            <w:r>
              <w:rPr>
                <w:rFonts w:cs="宋体"/>
                <w:sz w:val="24"/>
              </w:rPr>
              <w:t xml:space="preserve">             </w:t>
            </w:r>
          </w:p>
          <w:p>
            <w:pPr>
              <w:jc w:val="left"/>
              <w:rPr>
                <w:rFonts w:cs="宋体"/>
                <w:sz w:val="24"/>
              </w:rPr>
            </w:pPr>
            <w:r>
              <w:rPr>
                <w:rFonts w:hint="eastAsia" w:cs="宋体"/>
                <w:sz w:val="24"/>
              </w:rPr>
              <w:t>□不予批准后再次申报项目</w:t>
            </w:r>
          </w:p>
          <w:p>
            <w:pPr>
              <w:jc w:val="left"/>
              <w:rPr>
                <w:rFonts w:cs="宋体"/>
                <w:sz w:val="24"/>
              </w:rPr>
            </w:pPr>
            <w:r>
              <w:rPr>
                <w:rFonts w:hint="eastAsia" w:cs="宋体"/>
                <w:sz w:val="24"/>
              </w:rPr>
              <w:sym w:font="Wingdings 2" w:char="00A3"/>
            </w:r>
            <w:r>
              <w:rPr>
                <w:rFonts w:hint="eastAsia" w:cs="宋体"/>
                <w:sz w:val="24"/>
              </w:rPr>
              <w:t>超五年重新审核项目</w:t>
            </w:r>
            <w:r>
              <w:rPr>
                <w:rFonts w:cs="宋体"/>
                <w:sz w:val="24"/>
              </w:rPr>
              <w:t xml:space="preserve">     </w:t>
            </w:r>
          </w:p>
          <w:p>
            <w:pPr>
              <w:jc w:val="left"/>
              <w:rPr>
                <w:rFonts w:cs="宋体"/>
                <w:sz w:val="24"/>
              </w:rPr>
            </w:pPr>
            <w:r>
              <w:rPr>
                <w:rFonts w:hint="eastAsia" w:cs="宋体"/>
                <w:sz w:val="24"/>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项目审批（核准</w:t>
            </w:r>
            <w:r>
              <w:rPr>
                <w:rFonts w:cs="宋体"/>
                <w:sz w:val="24"/>
              </w:rPr>
              <w:t>/</w:t>
            </w:r>
          </w:p>
          <w:p>
            <w:pPr>
              <w:adjustRightInd w:val="0"/>
              <w:snapToGrid w:val="0"/>
              <w:jc w:val="center"/>
              <w:rPr>
                <w:rFonts w:cs="宋体"/>
                <w:sz w:val="24"/>
              </w:rPr>
            </w:pPr>
            <w:r>
              <w:rPr>
                <w:rFonts w:hint="eastAsia" w:cs="宋体"/>
                <w:sz w:val="24"/>
              </w:rPr>
              <w:t>备案）部门（选填）</w:t>
            </w:r>
          </w:p>
        </w:tc>
        <w:tc>
          <w:tcPr>
            <w:tcW w:w="2403" w:type="dxa"/>
            <w:vAlign w:val="center"/>
          </w:tcPr>
          <w:p>
            <w:pPr>
              <w:adjustRightInd w:val="0"/>
              <w:snapToGrid w:val="0"/>
              <w:jc w:val="center"/>
              <w:rPr>
                <w:rFonts w:cs="宋体"/>
                <w:sz w:val="24"/>
              </w:rPr>
            </w:pPr>
            <w:r>
              <w:rPr>
                <w:rFonts w:hint="eastAsia" w:cs="宋体"/>
                <w:sz w:val="24"/>
              </w:rPr>
              <w:t>伊金霍洛旗发展和改革委员会</w:t>
            </w:r>
          </w:p>
        </w:tc>
        <w:tc>
          <w:tcPr>
            <w:tcW w:w="1533" w:type="dxa"/>
            <w:vAlign w:val="center"/>
          </w:tcPr>
          <w:p>
            <w:pPr>
              <w:adjustRightInd w:val="0"/>
              <w:snapToGrid w:val="0"/>
              <w:jc w:val="center"/>
              <w:rPr>
                <w:rFonts w:cs="宋体"/>
                <w:sz w:val="24"/>
              </w:rPr>
            </w:pPr>
            <w:r>
              <w:rPr>
                <w:rFonts w:hint="eastAsia" w:cs="宋体"/>
                <w:sz w:val="24"/>
              </w:rPr>
              <w:t>项目审批（核准</w:t>
            </w:r>
            <w:r>
              <w:rPr>
                <w:rFonts w:cs="宋体"/>
                <w:sz w:val="24"/>
              </w:rPr>
              <w:t>/</w:t>
            </w:r>
            <w:r>
              <w:rPr>
                <w:rFonts w:hint="eastAsia" w:cs="宋体"/>
                <w:sz w:val="24"/>
              </w:rPr>
              <w:t>备案）文号（选填）</w:t>
            </w:r>
          </w:p>
        </w:tc>
        <w:tc>
          <w:tcPr>
            <w:tcW w:w="2762" w:type="dxa"/>
            <w:vAlign w:val="center"/>
          </w:tcPr>
          <w:p>
            <w:pPr>
              <w:adjustRightInd w:val="0"/>
              <w:snapToGrid w:val="0"/>
              <w:jc w:val="center"/>
              <w:rPr>
                <w:rFonts w:cs="宋体"/>
                <w:sz w:val="24"/>
              </w:rPr>
            </w:pPr>
            <w:r>
              <w:rPr>
                <w:rFonts w:cs="宋体"/>
                <w:sz w:val="24"/>
              </w:rPr>
              <w:t>2308-150627-04-01-938190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总投资（万元）</w:t>
            </w:r>
          </w:p>
        </w:tc>
        <w:tc>
          <w:tcPr>
            <w:tcW w:w="2403" w:type="dxa"/>
            <w:vAlign w:val="center"/>
          </w:tcPr>
          <w:p>
            <w:pPr>
              <w:adjustRightInd w:val="0"/>
              <w:snapToGrid w:val="0"/>
              <w:jc w:val="center"/>
              <w:rPr>
                <w:rFonts w:cs="宋体"/>
                <w:sz w:val="24"/>
              </w:rPr>
            </w:pPr>
            <w:r>
              <w:rPr>
                <w:rFonts w:cs="宋体"/>
                <w:sz w:val="24"/>
              </w:rPr>
              <w:t>200</w:t>
            </w:r>
          </w:p>
        </w:tc>
        <w:tc>
          <w:tcPr>
            <w:tcW w:w="1533" w:type="dxa"/>
            <w:tcMar>
              <w:top w:w="16" w:type="dxa"/>
              <w:left w:w="16" w:type="dxa"/>
              <w:right w:w="16" w:type="dxa"/>
            </w:tcMar>
            <w:vAlign w:val="center"/>
          </w:tcPr>
          <w:p>
            <w:pPr>
              <w:adjustRightInd w:val="0"/>
              <w:snapToGrid w:val="0"/>
              <w:jc w:val="center"/>
              <w:rPr>
                <w:rFonts w:cs="宋体"/>
                <w:sz w:val="24"/>
              </w:rPr>
            </w:pPr>
            <w:r>
              <w:rPr>
                <w:rFonts w:hint="eastAsia" w:cs="宋体"/>
                <w:sz w:val="24"/>
              </w:rPr>
              <w:t>环保投资（万元）</w:t>
            </w:r>
          </w:p>
        </w:tc>
        <w:tc>
          <w:tcPr>
            <w:tcW w:w="2762" w:type="dxa"/>
            <w:vAlign w:val="center"/>
          </w:tcPr>
          <w:p>
            <w:pPr>
              <w:adjustRightInd w:val="0"/>
              <w:snapToGrid w:val="0"/>
              <w:jc w:val="center"/>
              <w:rPr>
                <w:rFonts w:cs="宋体"/>
                <w:sz w:val="24"/>
              </w:rPr>
            </w:pPr>
            <w:r>
              <w:rPr>
                <w:rFonts w:cs="宋体"/>
                <w:sz w:val="24"/>
              </w:rPr>
              <w:t>57.5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环保投资占比（</w:t>
            </w:r>
            <w:r>
              <w:rPr>
                <w:rFonts w:cs="宋体"/>
                <w:sz w:val="24"/>
              </w:rPr>
              <w:t>%</w:t>
            </w:r>
            <w:r>
              <w:rPr>
                <w:rFonts w:hint="eastAsia" w:cs="宋体"/>
                <w:sz w:val="24"/>
              </w:rPr>
              <w:t>）</w:t>
            </w:r>
          </w:p>
        </w:tc>
        <w:tc>
          <w:tcPr>
            <w:tcW w:w="2403" w:type="dxa"/>
            <w:vAlign w:val="center"/>
          </w:tcPr>
          <w:p>
            <w:pPr>
              <w:adjustRightInd w:val="0"/>
              <w:snapToGrid w:val="0"/>
              <w:jc w:val="center"/>
              <w:rPr>
                <w:rFonts w:cs="宋体"/>
                <w:sz w:val="24"/>
              </w:rPr>
            </w:pPr>
            <w:r>
              <w:rPr>
                <w:rFonts w:cs="宋体"/>
                <w:sz w:val="24"/>
              </w:rPr>
              <w:t>28.8</w:t>
            </w:r>
          </w:p>
        </w:tc>
        <w:tc>
          <w:tcPr>
            <w:tcW w:w="1533" w:type="dxa"/>
            <w:tcMar>
              <w:top w:w="16" w:type="dxa"/>
              <w:left w:w="16" w:type="dxa"/>
              <w:right w:w="16" w:type="dxa"/>
            </w:tcMar>
            <w:vAlign w:val="center"/>
          </w:tcPr>
          <w:p>
            <w:pPr>
              <w:adjustRightInd w:val="0"/>
              <w:snapToGrid w:val="0"/>
              <w:jc w:val="center"/>
              <w:rPr>
                <w:rFonts w:cs="宋体"/>
                <w:sz w:val="24"/>
              </w:rPr>
            </w:pPr>
            <w:r>
              <w:rPr>
                <w:rFonts w:hint="eastAsia" w:cs="宋体"/>
                <w:sz w:val="24"/>
              </w:rPr>
              <w:t>施工工期</w:t>
            </w:r>
          </w:p>
        </w:tc>
        <w:tc>
          <w:tcPr>
            <w:tcW w:w="2762" w:type="dxa"/>
            <w:vAlign w:val="center"/>
          </w:tcPr>
          <w:p>
            <w:pPr>
              <w:adjustRightInd w:val="0"/>
              <w:snapToGrid w:val="0"/>
              <w:jc w:val="center"/>
              <w:rPr>
                <w:rFonts w:cs="宋体"/>
                <w:sz w:val="24"/>
              </w:rPr>
            </w:pPr>
            <w:r>
              <w:rPr>
                <w:rFonts w:cs="宋体"/>
                <w:sz w:val="24"/>
              </w:rPr>
              <w:t>3</w:t>
            </w:r>
            <w:r>
              <w:rPr>
                <w:rFonts w:hint="eastAsia" w:cs="宋体"/>
                <w:sz w:val="24"/>
              </w:rPr>
              <w:t>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2123" w:type="dxa"/>
            <w:tcMar>
              <w:top w:w="16" w:type="dxa"/>
              <w:left w:w="16" w:type="dxa"/>
              <w:right w:w="16" w:type="dxa"/>
            </w:tcMar>
            <w:vAlign w:val="center"/>
          </w:tcPr>
          <w:p>
            <w:pPr>
              <w:adjustRightInd w:val="0"/>
              <w:snapToGrid w:val="0"/>
              <w:jc w:val="center"/>
              <w:rPr>
                <w:rFonts w:cs="宋体"/>
                <w:sz w:val="24"/>
              </w:rPr>
            </w:pPr>
            <w:r>
              <w:rPr>
                <w:rFonts w:hint="eastAsia" w:cs="宋体"/>
                <w:sz w:val="24"/>
              </w:rPr>
              <w:t>是否开工建设</w:t>
            </w:r>
          </w:p>
        </w:tc>
        <w:tc>
          <w:tcPr>
            <w:tcW w:w="2403" w:type="dxa"/>
            <w:vAlign w:val="center"/>
          </w:tcPr>
          <w:p>
            <w:pPr>
              <w:adjustRightInd w:val="0"/>
              <w:snapToGrid w:val="0"/>
              <w:rPr>
                <w:rFonts w:cs="宋体"/>
                <w:sz w:val="24"/>
              </w:rPr>
            </w:pPr>
            <w:r>
              <w:rPr>
                <w:rFonts w:cs="宋体"/>
                <w:sz w:val="24"/>
              </w:rPr>
              <w:sym w:font="Wingdings 2" w:char="00A3"/>
            </w:r>
            <w:r>
              <w:rPr>
                <w:rFonts w:cs="宋体"/>
                <w:sz w:val="24"/>
              </w:rPr>
              <w:t xml:space="preserve"> 否</w:t>
            </w:r>
          </w:p>
          <w:p>
            <w:pPr>
              <w:adjustRightInd w:val="0"/>
              <w:snapToGrid w:val="0"/>
              <w:rPr>
                <w:rFonts w:cs="宋体"/>
                <w:sz w:val="24"/>
              </w:rPr>
            </w:pPr>
            <w:r>
              <w:rPr>
                <w:rFonts w:cs="宋体"/>
                <w:sz w:val="24"/>
              </w:rPr>
              <w:sym w:font="Wingdings 2" w:char="0052"/>
            </w:r>
            <w:r>
              <w:rPr>
                <w:rFonts w:cs="宋体"/>
                <w:sz w:val="24"/>
              </w:rPr>
              <w:t>是：</w:t>
            </w:r>
            <w:r>
              <w:rPr>
                <w:rFonts w:cs="宋体"/>
                <w:sz w:val="24"/>
                <w:u w:val="single"/>
              </w:rPr>
              <w:t>本项目</w:t>
            </w:r>
            <w:r>
              <w:rPr>
                <w:rFonts w:hint="eastAsia" w:cs="宋体"/>
                <w:sz w:val="24"/>
                <w:u w:val="single"/>
              </w:rPr>
              <w:t>于2</w:t>
            </w:r>
            <w:r>
              <w:rPr>
                <w:rFonts w:cs="宋体"/>
                <w:sz w:val="24"/>
                <w:u w:val="single"/>
              </w:rPr>
              <w:t>023</w:t>
            </w:r>
            <w:r>
              <w:rPr>
                <w:rFonts w:hint="eastAsia" w:cs="宋体"/>
                <w:sz w:val="24"/>
                <w:u w:val="single"/>
              </w:rPr>
              <w:t>年</w:t>
            </w:r>
            <w:r>
              <w:rPr>
                <w:rFonts w:cs="宋体"/>
                <w:sz w:val="24"/>
                <w:u w:val="single"/>
              </w:rPr>
              <w:t>5</w:t>
            </w:r>
            <w:r>
              <w:rPr>
                <w:rFonts w:hint="eastAsia" w:cs="宋体"/>
                <w:sz w:val="24"/>
                <w:u w:val="single"/>
              </w:rPr>
              <w:t>月至2</w:t>
            </w:r>
            <w:r>
              <w:rPr>
                <w:rFonts w:cs="宋体"/>
                <w:sz w:val="24"/>
                <w:u w:val="single"/>
              </w:rPr>
              <w:t>023</w:t>
            </w:r>
            <w:r>
              <w:rPr>
                <w:rFonts w:hint="eastAsia" w:cs="宋体"/>
                <w:sz w:val="24"/>
                <w:u w:val="single"/>
              </w:rPr>
              <w:t>年</w:t>
            </w:r>
            <w:r>
              <w:rPr>
                <w:rFonts w:cs="宋体"/>
                <w:sz w:val="24"/>
                <w:u w:val="single"/>
              </w:rPr>
              <w:t>10</w:t>
            </w:r>
            <w:r>
              <w:rPr>
                <w:rFonts w:hint="eastAsia" w:cs="宋体"/>
                <w:sz w:val="24"/>
                <w:u w:val="single"/>
              </w:rPr>
              <w:t>月</w:t>
            </w:r>
            <w:r>
              <w:rPr>
                <w:rFonts w:cs="宋体"/>
                <w:sz w:val="24"/>
                <w:u w:val="single"/>
              </w:rPr>
              <w:t>建设完成</w:t>
            </w:r>
            <w:r>
              <w:rPr>
                <w:rFonts w:hint="eastAsia" w:cs="宋体"/>
                <w:sz w:val="24"/>
                <w:u w:val="single"/>
              </w:rPr>
              <w:t>，</w:t>
            </w:r>
            <w:r>
              <w:rPr>
                <w:rFonts w:cs="宋体"/>
                <w:sz w:val="24"/>
                <w:u w:val="single"/>
              </w:rPr>
              <w:t>属于未批先建项目</w:t>
            </w:r>
            <w:r>
              <w:rPr>
                <w:rFonts w:hint="eastAsia" w:cs="宋体"/>
                <w:sz w:val="24"/>
                <w:u w:val="single"/>
              </w:rPr>
              <w:t>。</w:t>
            </w:r>
            <w:r>
              <w:rPr>
                <w:rFonts w:cs="宋体"/>
                <w:sz w:val="24"/>
                <w:u w:val="single"/>
              </w:rPr>
              <w:t>2023年12月6日，鄂尔多斯市生态环境局出具《行政处罚决定书》（鄂环罚[2023]5-48号）。</w:t>
            </w:r>
            <w:r>
              <w:rPr>
                <w:rFonts w:hint="eastAsia" w:cs="宋体"/>
                <w:sz w:val="24"/>
                <w:u w:val="single"/>
              </w:rPr>
              <w:t>2</w:t>
            </w:r>
            <w:r>
              <w:rPr>
                <w:rFonts w:cs="宋体"/>
                <w:sz w:val="24"/>
                <w:u w:val="single"/>
              </w:rPr>
              <w:t>023</w:t>
            </w:r>
            <w:r>
              <w:rPr>
                <w:rFonts w:hint="eastAsia" w:cs="宋体"/>
                <w:sz w:val="24"/>
                <w:u w:val="single"/>
              </w:rPr>
              <w:t>年1</w:t>
            </w:r>
            <w:r>
              <w:rPr>
                <w:rFonts w:cs="宋体"/>
                <w:sz w:val="24"/>
                <w:u w:val="single"/>
              </w:rPr>
              <w:t>2</w:t>
            </w:r>
            <w:r>
              <w:rPr>
                <w:rFonts w:hint="eastAsia" w:cs="宋体"/>
                <w:sz w:val="24"/>
                <w:u w:val="single"/>
              </w:rPr>
              <w:t>月7日，已全额缴纳罚款4</w:t>
            </w:r>
            <w:r>
              <w:rPr>
                <w:rFonts w:cs="宋体"/>
                <w:sz w:val="24"/>
                <w:u w:val="single"/>
              </w:rPr>
              <w:t>0000</w:t>
            </w:r>
            <w:r>
              <w:rPr>
                <w:rFonts w:hint="eastAsia" w:cs="宋体"/>
                <w:sz w:val="24"/>
                <w:u w:val="single"/>
              </w:rPr>
              <w:t>元。</w:t>
            </w:r>
          </w:p>
        </w:tc>
        <w:tc>
          <w:tcPr>
            <w:tcW w:w="1533" w:type="dxa"/>
            <w:tcMar>
              <w:top w:w="16" w:type="dxa"/>
              <w:left w:w="16" w:type="dxa"/>
              <w:right w:w="16" w:type="dxa"/>
            </w:tcMar>
            <w:vAlign w:val="center"/>
          </w:tcPr>
          <w:p>
            <w:pPr>
              <w:adjustRightInd w:val="0"/>
              <w:snapToGrid w:val="0"/>
              <w:jc w:val="center"/>
              <w:rPr>
                <w:rFonts w:cs="宋体"/>
                <w:sz w:val="24"/>
              </w:rPr>
            </w:pPr>
            <w:r>
              <w:rPr>
                <w:rFonts w:hint="eastAsia" w:cs="宋体"/>
                <w:spacing w:val="-6"/>
                <w:sz w:val="24"/>
              </w:rPr>
              <w:t>用地面积（</w:t>
            </w:r>
            <w:r>
              <w:rPr>
                <w:rFonts w:cs="宋体"/>
                <w:spacing w:val="-6"/>
                <w:sz w:val="24"/>
              </w:rPr>
              <w:t>m</w:t>
            </w:r>
            <w:r>
              <w:rPr>
                <w:rFonts w:cs="宋体"/>
                <w:spacing w:val="-6"/>
                <w:sz w:val="24"/>
                <w:vertAlign w:val="superscript"/>
              </w:rPr>
              <w:t>2</w:t>
            </w:r>
            <w:r>
              <w:rPr>
                <w:rFonts w:hint="eastAsia" w:cs="宋体"/>
                <w:spacing w:val="-6"/>
                <w:sz w:val="24"/>
              </w:rPr>
              <w:t>）</w:t>
            </w:r>
          </w:p>
        </w:tc>
        <w:tc>
          <w:tcPr>
            <w:tcW w:w="2762" w:type="dxa"/>
            <w:vAlign w:val="center"/>
          </w:tcPr>
          <w:p>
            <w:pPr>
              <w:adjustRightInd w:val="0"/>
              <w:snapToGrid w:val="0"/>
              <w:jc w:val="center"/>
              <w:rPr>
                <w:rFonts w:cs="宋体"/>
                <w:sz w:val="24"/>
              </w:rPr>
            </w:pPr>
            <w:r>
              <w:rPr>
                <w:rFonts w:hint="eastAsia" w:cs="宋体"/>
                <w:sz w:val="24"/>
              </w:rPr>
              <w:t>7538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123" w:type="dxa"/>
            <w:vAlign w:val="center"/>
          </w:tcPr>
          <w:p>
            <w:pPr>
              <w:autoSpaceDE w:val="0"/>
              <w:autoSpaceDN w:val="0"/>
              <w:adjustRightInd w:val="0"/>
              <w:snapToGrid w:val="0"/>
              <w:jc w:val="center"/>
              <w:rPr>
                <w:rFonts w:cs="宋体"/>
                <w:kern w:val="0"/>
                <w:sz w:val="24"/>
              </w:rPr>
            </w:pPr>
            <w:r>
              <w:rPr>
                <w:rFonts w:hint="eastAsia" w:cs="宋体"/>
                <w:kern w:val="0"/>
                <w:sz w:val="24"/>
              </w:rPr>
              <w:t>专项评价设置情况</w:t>
            </w:r>
          </w:p>
        </w:tc>
        <w:tc>
          <w:tcPr>
            <w:tcW w:w="6698" w:type="dxa"/>
            <w:gridSpan w:val="3"/>
            <w:vAlign w:val="center"/>
          </w:tcPr>
          <w:p>
            <w:pPr>
              <w:autoSpaceDE w:val="0"/>
              <w:autoSpaceDN w:val="0"/>
              <w:adjustRightInd w:val="0"/>
              <w:snapToGrid w:val="0"/>
              <w:jc w:val="center"/>
              <w:rPr>
                <w:rFonts w:cs="宋体"/>
                <w:kern w:val="0"/>
                <w:sz w:val="24"/>
              </w:rPr>
            </w:pPr>
            <w:r>
              <w:rPr>
                <w:rFonts w:hint="eastAsia" w:cs="宋体"/>
                <w:kern w:val="0"/>
                <w:sz w:val="24"/>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123" w:type="dxa"/>
            <w:vAlign w:val="center"/>
          </w:tcPr>
          <w:p>
            <w:pPr>
              <w:autoSpaceDE w:val="0"/>
              <w:autoSpaceDN w:val="0"/>
              <w:adjustRightInd w:val="0"/>
              <w:snapToGrid w:val="0"/>
              <w:jc w:val="center"/>
              <w:rPr>
                <w:rFonts w:cs="宋体"/>
                <w:kern w:val="0"/>
                <w:sz w:val="24"/>
              </w:rPr>
            </w:pPr>
            <w:r>
              <w:rPr>
                <w:rFonts w:hint="eastAsia" w:cs="宋体"/>
                <w:sz w:val="24"/>
              </w:rPr>
              <w:t>规划情况</w:t>
            </w:r>
          </w:p>
        </w:tc>
        <w:tc>
          <w:tcPr>
            <w:tcW w:w="6698" w:type="dxa"/>
            <w:gridSpan w:val="3"/>
            <w:vAlign w:val="center"/>
          </w:tcPr>
          <w:p>
            <w:pPr>
              <w:autoSpaceDE w:val="0"/>
              <w:autoSpaceDN w:val="0"/>
              <w:adjustRightInd w:val="0"/>
              <w:snapToGrid w:val="0"/>
              <w:jc w:val="center"/>
              <w:rPr>
                <w:rFonts w:cs="宋体"/>
                <w:kern w:val="0"/>
                <w:sz w:val="24"/>
              </w:rPr>
            </w:pPr>
            <w:r>
              <w:rPr>
                <w:rFonts w:hint="eastAsia" w:cs="宋体"/>
                <w:kern w:val="0"/>
                <w:sz w:val="24"/>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123" w:type="dxa"/>
            <w:vAlign w:val="center"/>
          </w:tcPr>
          <w:p>
            <w:pPr>
              <w:adjustRightInd w:val="0"/>
              <w:snapToGrid w:val="0"/>
              <w:jc w:val="center"/>
              <w:rPr>
                <w:rFonts w:cs="宋体"/>
                <w:sz w:val="24"/>
              </w:rPr>
            </w:pPr>
            <w:r>
              <w:rPr>
                <w:rFonts w:hint="eastAsia" w:cs="宋体"/>
                <w:sz w:val="24"/>
              </w:rPr>
              <w:t>规划环境影响</w:t>
            </w:r>
          </w:p>
          <w:p>
            <w:pPr>
              <w:adjustRightInd w:val="0"/>
              <w:snapToGrid w:val="0"/>
              <w:jc w:val="center"/>
              <w:rPr>
                <w:rFonts w:cs="宋体"/>
                <w:kern w:val="0"/>
                <w:sz w:val="24"/>
              </w:rPr>
            </w:pPr>
            <w:r>
              <w:rPr>
                <w:rFonts w:hint="eastAsia" w:cs="宋体"/>
                <w:sz w:val="24"/>
              </w:rPr>
              <w:t>评价情况</w:t>
            </w:r>
          </w:p>
        </w:tc>
        <w:tc>
          <w:tcPr>
            <w:tcW w:w="6698" w:type="dxa"/>
            <w:gridSpan w:val="3"/>
            <w:vAlign w:val="center"/>
          </w:tcPr>
          <w:p>
            <w:pPr>
              <w:autoSpaceDE w:val="0"/>
              <w:autoSpaceDN w:val="0"/>
              <w:adjustRightInd w:val="0"/>
              <w:snapToGrid w:val="0"/>
              <w:spacing w:line="360" w:lineRule="auto"/>
              <w:jc w:val="center"/>
              <w:rPr>
                <w:rFonts w:cs="宋体"/>
                <w:kern w:val="0"/>
                <w:sz w:val="24"/>
              </w:rPr>
            </w:pPr>
            <w:r>
              <w:rPr>
                <w:rFonts w:hint="eastAsia" w:cs="宋体"/>
                <w:kern w:val="0"/>
                <w:sz w:val="24"/>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123" w:type="dxa"/>
            <w:vAlign w:val="center"/>
          </w:tcPr>
          <w:p>
            <w:pPr>
              <w:autoSpaceDE w:val="0"/>
              <w:autoSpaceDN w:val="0"/>
              <w:adjustRightInd w:val="0"/>
              <w:snapToGrid w:val="0"/>
              <w:spacing w:line="360" w:lineRule="auto"/>
              <w:jc w:val="center"/>
              <w:rPr>
                <w:rFonts w:cs="宋体"/>
                <w:kern w:val="0"/>
                <w:sz w:val="24"/>
              </w:rPr>
            </w:pPr>
            <w:r>
              <w:rPr>
                <w:rFonts w:hint="eastAsia" w:cs="宋体"/>
                <w:kern w:val="0"/>
                <w:sz w:val="24"/>
              </w:rPr>
              <w:t>规划及规划环境</w:t>
            </w:r>
          </w:p>
          <w:p>
            <w:pPr>
              <w:autoSpaceDE w:val="0"/>
              <w:autoSpaceDN w:val="0"/>
              <w:adjustRightInd w:val="0"/>
              <w:snapToGrid w:val="0"/>
              <w:spacing w:line="360" w:lineRule="auto"/>
              <w:jc w:val="center"/>
              <w:rPr>
                <w:rFonts w:cs="宋体"/>
                <w:kern w:val="0"/>
                <w:sz w:val="24"/>
              </w:rPr>
            </w:pPr>
            <w:r>
              <w:rPr>
                <w:rFonts w:hint="eastAsia" w:cs="宋体"/>
                <w:kern w:val="0"/>
                <w:sz w:val="24"/>
              </w:rPr>
              <w:t>影响评价符合性分析</w:t>
            </w:r>
          </w:p>
        </w:tc>
        <w:tc>
          <w:tcPr>
            <w:tcW w:w="6698" w:type="dxa"/>
            <w:gridSpan w:val="3"/>
            <w:vAlign w:val="center"/>
          </w:tcPr>
          <w:p>
            <w:pPr>
              <w:autoSpaceDE w:val="0"/>
              <w:autoSpaceDN w:val="0"/>
              <w:adjustRightInd w:val="0"/>
              <w:snapToGrid w:val="0"/>
              <w:spacing w:line="360" w:lineRule="auto"/>
              <w:jc w:val="center"/>
              <w:rPr>
                <w:rFonts w:cs="宋体"/>
                <w:bCs/>
                <w:kern w:val="0"/>
                <w:sz w:val="24"/>
              </w:rPr>
            </w:pPr>
            <w:r>
              <w:rPr>
                <w:rFonts w:hint="eastAsia" w:cs="宋体"/>
                <w:bCs/>
                <w:kern w:val="0"/>
                <w:sz w:val="24"/>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123" w:type="dxa"/>
            <w:vAlign w:val="center"/>
          </w:tcPr>
          <w:p>
            <w:pPr>
              <w:autoSpaceDE w:val="0"/>
              <w:autoSpaceDN w:val="0"/>
              <w:adjustRightInd w:val="0"/>
              <w:snapToGrid w:val="0"/>
              <w:jc w:val="center"/>
              <w:rPr>
                <w:rFonts w:cs="宋体"/>
                <w:kern w:val="0"/>
                <w:sz w:val="24"/>
              </w:rPr>
            </w:pPr>
            <w:r>
              <w:rPr>
                <w:rFonts w:hint="eastAsia" w:cs="宋体"/>
                <w:kern w:val="0"/>
                <w:sz w:val="24"/>
              </w:rPr>
              <w:t>其他符合性分析</w:t>
            </w:r>
          </w:p>
        </w:tc>
        <w:tc>
          <w:tcPr>
            <w:tcW w:w="6698" w:type="dxa"/>
            <w:gridSpan w:val="3"/>
            <w:vAlign w:val="center"/>
          </w:tcPr>
          <w:p>
            <w:pPr>
              <w:autoSpaceDE w:val="0"/>
              <w:autoSpaceDN w:val="0"/>
              <w:adjustRightInd w:val="0"/>
              <w:snapToGrid w:val="0"/>
              <w:spacing w:line="360" w:lineRule="auto"/>
              <w:ind w:firstLine="480" w:firstLineChars="200"/>
              <w:jc w:val="left"/>
              <w:rPr>
                <w:sz w:val="24"/>
              </w:rPr>
            </w:pPr>
            <w:r>
              <w:rPr>
                <w:rFonts w:hint="eastAsia"/>
                <w:sz w:val="24"/>
              </w:rPr>
              <w:t>1</w:t>
            </w:r>
            <w:r>
              <w:rPr>
                <w:sz w:val="24"/>
              </w:rPr>
              <w:t>、</w:t>
            </w:r>
            <w:r>
              <w:rPr>
                <w:rFonts w:hint="eastAsia"/>
                <w:sz w:val="24"/>
              </w:rPr>
              <w:t>“</w:t>
            </w:r>
            <w:r>
              <w:rPr>
                <w:sz w:val="24"/>
              </w:rPr>
              <w:t>三线一单</w:t>
            </w:r>
            <w:r>
              <w:rPr>
                <w:rFonts w:hint="eastAsia"/>
                <w:sz w:val="24"/>
              </w:rPr>
              <w:t>”</w:t>
            </w:r>
            <w:r>
              <w:rPr>
                <w:sz w:val="24"/>
              </w:rPr>
              <w:t>符合性分析</w:t>
            </w:r>
          </w:p>
          <w:p>
            <w:pPr>
              <w:autoSpaceDE w:val="0"/>
              <w:autoSpaceDN w:val="0"/>
              <w:adjustRightInd w:val="0"/>
              <w:snapToGrid w:val="0"/>
              <w:spacing w:line="360" w:lineRule="auto"/>
              <w:ind w:firstLine="480" w:firstLineChars="200"/>
              <w:jc w:val="left"/>
              <w:rPr>
                <w:sz w:val="24"/>
              </w:rPr>
            </w:pPr>
            <w:r>
              <w:rPr>
                <w:rFonts w:hint="eastAsia"/>
                <w:sz w:val="24"/>
              </w:rPr>
              <w:t>（1）生态保护红线</w:t>
            </w:r>
          </w:p>
          <w:p>
            <w:pPr>
              <w:autoSpaceDE w:val="0"/>
              <w:autoSpaceDN w:val="0"/>
              <w:adjustRightInd w:val="0"/>
              <w:snapToGrid w:val="0"/>
              <w:spacing w:line="360" w:lineRule="auto"/>
              <w:ind w:firstLine="480" w:firstLineChars="200"/>
              <w:jc w:val="left"/>
              <w:rPr>
                <w:sz w:val="24"/>
              </w:rPr>
            </w:pPr>
            <w:r>
              <w:rPr>
                <w:sz w:val="24"/>
              </w:rPr>
              <w:t>根据《</w:t>
            </w:r>
            <w:r>
              <w:rPr>
                <w:rFonts w:hint="eastAsia"/>
                <w:sz w:val="24"/>
              </w:rPr>
              <w:t>鄂尔多斯市人民政府关于“三线一单”生态环境分区管控的实施意见</w:t>
            </w:r>
            <w:r>
              <w:rPr>
                <w:sz w:val="24"/>
              </w:rPr>
              <w:t>》（</w:t>
            </w:r>
            <w:r>
              <w:rPr>
                <w:rFonts w:hint="eastAsia"/>
                <w:sz w:val="24"/>
              </w:rPr>
              <w:t>鄂府发〔2021〕218号</w:t>
            </w:r>
            <w:r>
              <w:rPr>
                <w:sz w:val="24"/>
              </w:rPr>
              <w:t>）</w:t>
            </w:r>
            <w:r>
              <w:rPr>
                <w:rFonts w:hint="eastAsia"/>
                <w:sz w:val="24"/>
              </w:rPr>
              <w:t>（以下简称实施意见）</w:t>
            </w:r>
            <w:r>
              <w:rPr>
                <w:sz w:val="24"/>
              </w:rPr>
              <w:t>，</w:t>
            </w:r>
            <w:r>
              <w:rPr>
                <w:rFonts w:hint="eastAsia"/>
                <w:sz w:val="24"/>
              </w:rPr>
              <w:t>全市共划定环境管控单元163个，包括优先保护单元、重点管控单元、一般管控单元三类</w:t>
            </w:r>
            <w:r>
              <w:rPr>
                <w:sz w:val="24"/>
              </w:rPr>
              <w:t>，实施分类管控。</w:t>
            </w:r>
            <w:r>
              <w:rPr>
                <w:rFonts w:hint="eastAsia"/>
                <w:sz w:val="24"/>
              </w:rPr>
              <w:t>基于生态保护红线、环境质量底线、资源利用上线，充分吸纳整合已有相关规划、功能区划、行动计划等要求，从空间布局约束、污染物排放管控、环境风险防控和资源利用效率等方面明确生态环境准入要求，建立两级生态环境准入清单管控体系（即1个鄂尔多斯市总体准入清单、163个环境管控单元准入清单）</w:t>
            </w:r>
            <w:r>
              <w:rPr>
                <w:sz w:val="24"/>
              </w:rPr>
              <w:t>。</w:t>
            </w:r>
          </w:p>
          <w:p>
            <w:pPr>
              <w:autoSpaceDE w:val="0"/>
              <w:autoSpaceDN w:val="0"/>
              <w:adjustRightInd w:val="0"/>
              <w:snapToGrid w:val="0"/>
              <w:spacing w:line="360" w:lineRule="auto"/>
              <w:ind w:firstLine="480" w:firstLineChars="200"/>
              <w:jc w:val="left"/>
              <w:rPr>
                <w:sz w:val="24"/>
              </w:rPr>
            </w:pPr>
            <w:r>
              <w:rPr>
                <w:sz w:val="24"/>
              </w:rPr>
              <w:t>本项目</w:t>
            </w:r>
            <w:r>
              <w:rPr>
                <w:rFonts w:hint="eastAsia"/>
                <w:sz w:val="24"/>
              </w:rPr>
              <w:t>所在地为重点管控单元，</w:t>
            </w:r>
            <w:r>
              <w:rPr>
                <w:sz w:val="24"/>
              </w:rPr>
              <w:t>项目不在名胜古迹、风景名胜区、自然保护区、饮用水源保护区范围内</w:t>
            </w:r>
            <w:r>
              <w:rPr>
                <w:rFonts w:hint="eastAsia"/>
                <w:sz w:val="24"/>
              </w:rPr>
              <w:t>（水源地）</w:t>
            </w:r>
            <w:r>
              <w:rPr>
                <w:sz w:val="24"/>
              </w:rPr>
              <w:t>；依据生态保护红线规划分区，项目不在生态</w:t>
            </w:r>
            <w:r>
              <w:rPr>
                <w:rFonts w:hint="eastAsia"/>
                <w:sz w:val="24"/>
              </w:rPr>
              <w:t>保护</w:t>
            </w:r>
            <w:r>
              <w:rPr>
                <w:rFonts w:hint="eastAsia"/>
                <w:sz w:val="24"/>
                <w:lang w:val="en-US" w:eastAsia="zh-CN"/>
              </w:rPr>
              <w:t>红</w:t>
            </w:r>
            <w:r>
              <w:rPr>
                <w:sz w:val="24"/>
              </w:rPr>
              <w:t>线区范围内，符合生态保护红线要求。</w:t>
            </w:r>
          </w:p>
          <w:p>
            <w:pPr>
              <w:autoSpaceDE w:val="0"/>
              <w:autoSpaceDN w:val="0"/>
              <w:adjustRightInd w:val="0"/>
              <w:snapToGrid w:val="0"/>
              <w:spacing w:line="360" w:lineRule="auto"/>
              <w:ind w:firstLine="480" w:firstLineChars="200"/>
              <w:jc w:val="left"/>
              <w:rPr>
                <w:sz w:val="24"/>
              </w:rPr>
            </w:pPr>
            <w:r>
              <w:rPr>
                <w:sz w:val="24"/>
              </w:rPr>
              <w:t>（2）环境质量底线</w:t>
            </w:r>
          </w:p>
          <w:p>
            <w:pPr>
              <w:autoSpaceDE w:val="0"/>
              <w:autoSpaceDN w:val="0"/>
              <w:adjustRightInd w:val="0"/>
              <w:snapToGrid w:val="0"/>
              <w:spacing w:line="360" w:lineRule="auto"/>
              <w:ind w:firstLine="480" w:firstLineChars="200"/>
              <w:jc w:val="left"/>
              <w:rPr>
                <w:sz w:val="24"/>
              </w:rPr>
            </w:pPr>
            <w:r>
              <w:rPr>
                <w:bCs/>
                <w:sz w:val="24"/>
              </w:rPr>
              <w:t>根据本项目所在地环境质量现状数据可知，本项目所在区域为达标区。本项目为</w:t>
            </w:r>
            <w:r>
              <w:rPr>
                <w:rFonts w:hint="eastAsia"/>
                <w:bCs/>
                <w:sz w:val="24"/>
              </w:rPr>
              <w:t>商砼站建设项目</w:t>
            </w:r>
            <w:r>
              <w:rPr>
                <w:bCs/>
                <w:sz w:val="24"/>
              </w:rPr>
              <w:t>，通过对废气、废水、噪声、固废采取相应防治措施后，运营期各类污染物的排放不会对周边环境造成不良影响，对区域环境质量影响很小。</w:t>
            </w:r>
          </w:p>
          <w:p>
            <w:pPr>
              <w:autoSpaceDE w:val="0"/>
              <w:autoSpaceDN w:val="0"/>
              <w:adjustRightInd w:val="0"/>
              <w:snapToGrid w:val="0"/>
              <w:spacing w:line="360" w:lineRule="auto"/>
              <w:ind w:firstLine="480" w:firstLineChars="200"/>
              <w:jc w:val="left"/>
              <w:rPr>
                <w:sz w:val="24"/>
              </w:rPr>
            </w:pPr>
            <w:r>
              <w:rPr>
                <w:sz w:val="24"/>
              </w:rPr>
              <w:t>（3）资源利用上线</w:t>
            </w:r>
          </w:p>
          <w:p>
            <w:pPr>
              <w:autoSpaceDE w:val="0"/>
              <w:autoSpaceDN w:val="0"/>
              <w:adjustRightInd w:val="0"/>
              <w:snapToGrid w:val="0"/>
              <w:spacing w:line="360" w:lineRule="auto"/>
              <w:ind w:firstLine="480" w:firstLineChars="200"/>
              <w:rPr>
                <w:sz w:val="24"/>
              </w:rPr>
            </w:pPr>
            <w:r>
              <w:rPr>
                <w:rFonts w:hint="eastAsia"/>
                <w:sz w:val="24"/>
              </w:rPr>
              <w:t>“实施意见”中第一条中的第（三）主要目标中，表示鄂尔多斯市资源利用上线的主要目标是“到</w:t>
            </w:r>
            <w:r>
              <w:rPr>
                <w:sz w:val="24"/>
              </w:rPr>
              <w:t>2025</w:t>
            </w:r>
            <w:r>
              <w:rPr>
                <w:rFonts w:hint="eastAsia"/>
                <w:sz w:val="24"/>
              </w:rPr>
              <w:t>年，全市国土空间开发强度、能源消费总量得到合理控制。到</w:t>
            </w:r>
            <w:r>
              <w:rPr>
                <w:sz w:val="24"/>
              </w:rPr>
              <w:t>2030</w:t>
            </w:r>
            <w:r>
              <w:rPr>
                <w:rFonts w:hint="eastAsia"/>
                <w:sz w:val="24"/>
              </w:rPr>
              <w:t>年，全市用水总量控制在</w:t>
            </w:r>
            <w:r>
              <w:rPr>
                <w:sz w:val="24"/>
              </w:rPr>
              <w:t>19.94</w:t>
            </w:r>
            <w:r>
              <w:rPr>
                <w:rFonts w:hint="eastAsia"/>
                <w:sz w:val="24"/>
              </w:rPr>
              <w:t>亿立方米以内....”。</w:t>
            </w:r>
            <w:r>
              <w:rPr>
                <w:sz w:val="24"/>
              </w:rPr>
              <w:t>本项目运营过程主要资源消耗为电能及用水，其中年用电量为</w:t>
            </w:r>
            <w:r>
              <w:rPr>
                <w:rFonts w:hint="eastAsia"/>
                <w:sz w:val="24"/>
              </w:rPr>
              <w:t>50000</w:t>
            </w:r>
            <w:r>
              <w:rPr>
                <w:sz w:val="24"/>
              </w:rPr>
              <w:t xml:space="preserve"> KW·h，由</w:t>
            </w:r>
            <w:r>
              <w:rPr>
                <w:rFonts w:hint="eastAsia"/>
                <w:sz w:val="24"/>
              </w:rPr>
              <w:t>附近变电站</w:t>
            </w:r>
            <w:r>
              <w:rPr>
                <w:sz w:val="24"/>
              </w:rPr>
              <w:t>引入厂区变压设备后使用</w:t>
            </w:r>
            <w:r>
              <w:rPr>
                <w:rFonts w:hint="eastAsia"/>
                <w:sz w:val="24"/>
              </w:rPr>
              <w:t>；</w:t>
            </w:r>
            <w:r>
              <w:rPr>
                <w:sz w:val="24"/>
              </w:rPr>
              <w:t>本项目</w:t>
            </w:r>
            <w:r>
              <w:rPr>
                <w:rFonts w:hint="eastAsia"/>
                <w:sz w:val="24"/>
              </w:rPr>
              <w:t>生产新水</w:t>
            </w:r>
            <w:r>
              <w:rPr>
                <w:sz w:val="24"/>
              </w:rPr>
              <w:t>用量为</w:t>
            </w:r>
            <w:r>
              <w:rPr>
                <w:rFonts w:hint="eastAsia"/>
                <w:sz w:val="24"/>
              </w:rPr>
              <w:t>303.</w:t>
            </w:r>
            <w:r>
              <w:rPr>
                <w:sz w:val="24"/>
              </w:rPr>
              <w:t>79m</w:t>
            </w:r>
            <w:r>
              <w:rPr>
                <w:sz w:val="24"/>
                <w:vertAlign w:val="superscript"/>
              </w:rPr>
              <w:t>3</w:t>
            </w:r>
            <w:r>
              <w:rPr>
                <w:sz w:val="24"/>
              </w:rPr>
              <w:t>/d，资源消耗量较小</w:t>
            </w:r>
            <w:r>
              <w:rPr>
                <w:rFonts w:hint="eastAsia"/>
                <w:sz w:val="24"/>
              </w:rPr>
              <w:t>，</w:t>
            </w:r>
            <w:r>
              <w:rPr>
                <w:sz w:val="24"/>
              </w:rPr>
              <w:t>不会超出当地资源利用上线。</w:t>
            </w:r>
          </w:p>
          <w:p>
            <w:pPr>
              <w:autoSpaceDE w:val="0"/>
              <w:autoSpaceDN w:val="0"/>
              <w:spacing w:line="360" w:lineRule="auto"/>
              <w:ind w:firstLine="480" w:firstLineChars="200"/>
              <w:jc w:val="left"/>
              <w:rPr>
                <w:sz w:val="24"/>
              </w:rPr>
            </w:pPr>
            <w:r>
              <w:rPr>
                <w:sz w:val="24"/>
              </w:rPr>
              <w:t>（4）生态环境准入清单</w:t>
            </w:r>
          </w:p>
          <w:p>
            <w:pPr>
              <w:spacing w:line="360" w:lineRule="auto"/>
              <w:ind w:firstLine="480" w:firstLineChars="200"/>
              <w:rPr>
                <w:sz w:val="24"/>
              </w:rPr>
            </w:pPr>
            <w:r>
              <w:rPr>
                <w:rFonts w:hint="eastAsia"/>
                <w:sz w:val="24"/>
              </w:rPr>
              <w:t>对照《鄂尔多斯市环境准入清单》，本项目位于鄂尔多斯市伊金霍洛旗札萨克镇</w:t>
            </w:r>
            <w:r>
              <w:rPr>
                <w:sz w:val="24"/>
              </w:rPr>
              <w:t>，属于其中的重点管控单元，环境管控单元名称为</w:t>
            </w:r>
            <w:r>
              <w:rPr>
                <w:rFonts w:hint="eastAsia"/>
                <w:sz w:val="24"/>
              </w:rPr>
              <w:t>新街台格庙矿区</w:t>
            </w:r>
            <w:r>
              <w:rPr>
                <w:sz w:val="24"/>
              </w:rPr>
              <w:t>，环境管控单元编码为ZH15062720008。本项目与该单元的管控要求符合性见下表：</w:t>
            </w:r>
          </w:p>
          <w:p>
            <w:pPr>
              <w:pStyle w:val="22"/>
            </w:pPr>
            <w:r>
              <w:t>表</w:t>
            </w:r>
            <w:r>
              <w:rPr>
                <w:rFonts w:hint="eastAsia"/>
              </w:rPr>
              <w:t>1</w:t>
            </w:r>
            <w:r>
              <w:t>-1</w:t>
            </w:r>
            <w:r>
              <w:rPr>
                <w:rFonts w:hint="eastAsia"/>
              </w:rPr>
              <w:t xml:space="preserve">  </w:t>
            </w:r>
            <w:r>
              <w:t>项目与《</w:t>
            </w:r>
            <w:r>
              <w:rPr>
                <w:rFonts w:hint="eastAsia"/>
              </w:rPr>
              <w:t>鄂尔多斯市生态环境准入清单</w:t>
            </w:r>
            <w:r>
              <w:t>》相符性分析</w:t>
            </w:r>
          </w:p>
          <w:tbl>
            <w:tblPr>
              <w:tblStyle w:val="14"/>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56"/>
              <w:gridCol w:w="2991"/>
              <w:gridCol w:w="2389"/>
              <w:gridCol w:w="6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352" w:type="pct"/>
                  <w:vAlign w:val="center"/>
                </w:tcPr>
                <w:p>
                  <w:pPr>
                    <w:adjustRightInd w:val="0"/>
                    <w:snapToGrid w:val="0"/>
                    <w:jc w:val="center"/>
                    <w:rPr>
                      <w:szCs w:val="21"/>
                    </w:rPr>
                  </w:pPr>
                  <w:r>
                    <w:rPr>
                      <w:szCs w:val="21"/>
                    </w:rPr>
                    <w:t>内容</w:t>
                  </w:r>
                </w:p>
              </w:tc>
              <w:tc>
                <w:tcPr>
                  <w:tcW w:w="2309" w:type="pct"/>
                  <w:vAlign w:val="center"/>
                </w:tcPr>
                <w:p>
                  <w:pPr>
                    <w:adjustRightInd w:val="0"/>
                    <w:snapToGrid w:val="0"/>
                    <w:jc w:val="center"/>
                    <w:rPr>
                      <w:szCs w:val="21"/>
                    </w:rPr>
                  </w:pPr>
                  <w:r>
                    <w:rPr>
                      <w:rFonts w:hint="eastAsia"/>
                      <w:szCs w:val="21"/>
                    </w:rPr>
                    <w:t>管控要求</w:t>
                  </w:r>
                </w:p>
              </w:tc>
              <w:tc>
                <w:tcPr>
                  <w:tcW w:w="1844" w:type="pct"/>
                  <w:vAlign w:val="center"/>
                </w:tcPr>
                <w:p>
                  <w:pPr>
                    <w:adjustRightInd w:val="0"/>
                    <w:snapToGrid w:val="0"/>
                    <w:jc w:val="center"/>
                    <w:rPr>
                      <w:szCs w:val="21"/>
                    </w:rPr>
                  </w:pPr>
                  <w:r>
                    <w:rPr>
                      <w:szCs w:val="21"/>
                    </w:rPr>
                    <w:t>符合性分析</w:t>
                  </w:r>
                </w:p>
              </w:tc>
              <w:tc>
                <w:tcPr>
                  <w:tcW w:w="495" w:type="pct"/>
                  <w:vAlign w:val="center"/>
                </w:tcPr>
                <w:p>
                  <w:pPr>
                    <w:adjustRightInd w:val="0"/>
                    <w:snapToGrid w:val="0"/>
                    <w:jc w:val="center"/>
                    <w:rPr>
                      <w:szCs w:val="21"/>
                    </w:rPr>
                  </w:pPr>
                  <w:r>
                    <w:rPr>
                      <w:szCs w:val="21"/>
                    </w:rPr>
                    <w:t>相符性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352" w:type="pct"/>
                  <w:vAlign w:val="center"/>
                </w:tcPr>
                <w:p>
                  <w:pPr>
                    <w:adjustRightInd w:val="0"/>
                    <w:snapToGrid w:val="0"/>
                    <w:jc w:val="center"/>
                    <w:rPr>
                      <w:szCs w:val="21"/>
                    </w:rPr>
                  </w:pPr>
                  <w:r>
                    <w:rPr>
                      <w:rFonts w:hint="eastAsia"/>
                      <w:szCs w:val="21"/>
                    </w:rPr>
                    <w:t>空间布局约束</w:t>
                  </w:r>
                </w:p>
              </w:tc>
              <w:tc>
                <w:tcPr>
                  <w:tcW w:w="2309" w:type="pct"/>
                  <w:vAlign w:val="center"/>
                </w:tcPr>
                <w:p>
                  <w:pPr>
                    <w:adjustRightInd w:val="0"/>
                    <w:snapToGrid w:val="0"/>
                    <w:jc w:val="left"/>
                    <w:rPr>
                      <w:szCs w:val="21"/>
                    </w:rPr>
                  </w:pPr>
                  <w:r>
                    <w:rPr>
                      <w:rFonts w:hint="eastAsia"/>
                      <w:szCs w:val="21"/>
                    </w:rPr>
                    <w:t>1.非经国务院授权的有关主管部门同意，不得在《中华人民共和国矿产资源法（修正）》中所列的6种地区开采矿产资源。</w:t>
                  </w:r>
                </w:p>
                <w:p>
                  <w:pPr>
                    <w:adjustRightInd w:val="0"/>
                    <w:snapToGrid w:val="0"/>
                    <w:jc w:val="left"/>
                    <w:rPr>
                      <w:szCs w:val="21"/>
                    </w:rPr>
                  </w:pPr>
                  <w:r>
                    <w:rPr>
                      <w:rFonts w:hint="eastAsia"/>
                      <w:szCs w:val="21"/>
                    </w:rPr>
                    <w:t>2.禁止新建、扩建《产业结构调整指导目录（2019年本）》明确的淘汰类项目；严格执行《自治区国家重点生态功能区产业准入负面清单（试行）》（内政发〔2018〕11 号）中采矿业管控要求。</w:t>
                  </w:r>
                </w:p>
                <w:p>
                  <w:pPr>
                    <w:adjustRightInd w:val="0"/>
                    <w:snapToGrid w:val="0"/>
                    <w:jc w:val="left"/>
                    <w:rPr>
                      <w:szCs w:val="21"/>
                    </w:rPr>
                  </w:pPr>
                  <w:r>
                    <w:rPr>
                      <w:rFonts w:hint="eastAsia"/>
                      <w:szCs w:val="21"/>
                    </w:rPr>
                    <w:t>3.严格控制草原上新建矿产资源开发项目。新上矿产资源开发项目在开展前期工作时，应征求林业和草原行政主管部门意见，严格执行国家林草局草原征占用审核审批管理制度，把先预审、再立项、后建设的源头把控原则落到实处。</w:t>
                  </w:r>
                </w:p>
                <w:p>
                  <w:pPr>
                    <w:adjustRightInd w:val="0"/>
                    <w:snapToGrid w:val="0"/>
                    <w:jc w:val="left"/>
                    <w:rPr>
                      <w:szCs w:val="21"/>
                    </w:rPr>
                  </w:pPr>
                  <w:r>
                    <w:rPr>
                      <w:rFonts w:hint="eastAsia"/>
                      <w:szCs w:val="21"/>
                    </w:rPr>
                    <w:t>4.严格规范草原上已建矿产资源开发项目。对依法批准的草原上已建和在建矿产资源开发项目，不得在依法确定的矿区范围外平面增扩面积，不得未经批准由井工开采变为露天开采，严格控制排渣场、排土场、煤矸石堆场、场区道路占用草原面积。</w:t>
                  </w:r>
                </w:p>
                <w:p>
                  <w:pPr>
                    <w:adjustRightInd w:val="0"/>
                    <w:snapToGrid w:val="0"/>
                    <w:jc w:val="left"/>
                    <w:rPr>
                      <w:szCs w:val="21"/>
                    </w:rPr>
                  </w:pPr>
                  <w:r>
                    <w:rPr>
                      <w:rFonts w:hint="eastAsia"/>
                      <w:szCs w:val="21"/>
                    </w:rPr>
                    <w:t>5.执行《内蒙古自治区矿产资源总体规划（2016~2020）》中最低开采规模相关要求。</w:t>
                  </w:r>
                </w:p>
              </w:tc>
              <w:tc>
                <w:tcPr>
                  <w:tcW w:w="1844" w:type="pct"/>
                  <w:vAlign w:val="center"/>
                </w:tcPr>
                <w:p>
                  <w:pPr>
                    <w:adjustRightInd w:val="0"/>
                    <w:snapToGrid w:val="0"/>
                    <w:rPr>
                      <w:szCs w:val="21"/>
                    </w:rPr>
                  </w:pPr>
                  <w:r>
                    <w:rPr>
                      <w:rFonts w:hint="eastAsia"/>
                      <w:szCs w:val="21"/>
                    </w:rPr>
                    <w:t>1</w:t>
                  </w:r>
                  <w:r>
                    <w:rPr>
                      <w:szCs w:val="21"/>
                    </w:rPr>
                    <w:t>.</w:t>
                  </w:r>
                  <w:r>
                    <w:rPr>
                      <w:rFonts w:hint="eastAsia"/>
                      <w:szCs w:val="21"/>
                    </w:rPr>
                    <w:t>本项目为商砼站项目，不涉及开采矿产资源。</w:t>
                  </w:r>
                </w:p>
                <w:p>
                  <w:pPr>
                    <w:adjustRightInd w:val="0"/>
                    <w:snapToGrid w:val="0"/>
                    <w:rPr>
                      <w:szCs w:val="21"/>
                    </w:rPr>
                  </w:pPr>
                  <w:r>
                    <w:rPr>
                      <w:rFonts w:hint="eastAsia"/>
                      <w:szCs w:val="21"/>
                    </w:rPr>
                    <w:t>2</w:t>
                  </w:r>
                  <w:r>
                    <w:rPr>
                      <w:szCs w:val="21"/>
                    </w:rPr>
                    <w:t>.</w:t>
                  </w:r>
                  <w:r>
                    <w:rPr>
                      <w:rFonts w:hint="eastAsia"/>
                      <w:szCs w:val="21"/>
                    </w:rPr>
                    <w:t>本项目不属于《产业结构调整指导目录（2019年本）（2021修订）》中的淘汰类项目；本项目不属于采矿类项目。</w:t>
                  </w:r>
                </w:p>
                <w:p>
                  <w:pPr>
                    <w:adjustRightInd w:val="0"/>
                    <w:snapToGrid w:val="0"/>
                    <w:rPr>
                      <w:szCs w:val="21"/>
                    </w:rPr>
                  </w:pPr>
                  <w:r>
                    <w:rPr>
                      <w:rFonts w:hint="eastAsia"/>
                      <w:szCs w:val="21"/>
                    </w:rPr>
                    <w:t>3</w:t>
                  </w:r>
                  <w:r>
                    <w:rPr>
                      <w:szCs w:val="21"/>
                    </w:rPr>
                    <w:t>.</w:t>
                  </w:r>
                  <w:r>
                    <w:rPr>
                      <w:rFonts w:hint="eastAsia"/>
                      <w:szCs w:val="21"/>
                    </w:rPr>
                    <w:t>本项目不属于矿产资源开发项目。</w:t>
                  </w:r>
                </w:p>
                <w:p>
                  <w:pPr>
                    <w:adjustRightInd w:val="0"/>
                    <w:snapToGrid w:val="0"/>
                    <w:rPr>
                      <w:szCs w:val="21"/>
                    </w:rPr>
                  </w:pPr>
                  <w:r>
                    <w:rPr>
                      <w:rFonts w:hint="eastAsia"/>
                      <w:szCs w:val="21"/>
                    </w:rPr>
                    <w:t>4</w:t>
                  </w:r>
                  <w:r>
                    <w:rPr>
                      <w:szCs w:val="21"/>
                    </w:rPr>
                    <w:t>.本项目不属于</w:t>
                  </w:r>
                  <w:r>
                    <w:rPr>
                      <w:rFonts w:hint="eastAsia"/>
                      <w:szCs w:val="21"/>
                    </w:rPr>
                    <w:t>矿产资源开发项目。</w:t>
                  </w:r>
                </w:p>
                <w:p>
                  <w:pPr>
                    <w:adjustRightInd w:val="0"/>
                    <w:snapToGrid w:val="0"/>
                    <w:rPr>
                      <w:szCs w:val="21"/>
                    </w:rPr>
                  </w:pPr>
                  <w:r>
                    <w:rPr>
                      <w:szCs w:val="21"/>
                    </w:rPr>
                    <w:t>5.本项目不涉及</w:t>
                  </w:r>
                  <w:r>
                    <w:rPr>
                      <w:rFonts w:hint="eastAsia"/>
                      <w:szCs w:val="21"/>
                    </w:rPr>
                    <w:t>开采矿产资源。</w:t>
                  </w:r>
                </w:p>
              </w:tc>
              <w:tc>
                <w:tcPr>
                  <w:tcW w:w="495" w:type="pct"/>
                  <w:vAlign w:val="center"/>
                </w:tcPr>
                <w:p>
                  <w:pPr>
                    <w:adjustRightInd w:val="0"/>
                    <w:snapToGrid w:val="0"/>
                    <w:jc w:val="center"/>
                    <w:rPr>
                      <w:szCs w:val="21"/>
                    </w:rPr>
                  </w:pPr>
                  <w:r>
                    <w:rPr>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352" w:type="pct"/>
                  <w:vAlign w:val="center"/>
                </w:tcPr>
                <w:p>
                  <w:pPr>
                    <w:adjustRightInd w:val="0"/>
                    <w:snapToGrid w:val="0"/>
                    <w:jc w:val="center"/>
                    <w:rPr>
                      <w:szCs w:val="21"/>
                    </w:rPr>
                  </w:pPr>
                  <w:r>
                    <w:rPr>
                      <w:rFonts w:hint="eastAsia"/>
                      <w:szCs w:val="21"/>
                    </w:rPr>
                    <w:t>污染物排放管控</w:t>
                  </w:r>
                </w:p>
              </w:tc>
              <w:tc>
                <w:tcPr>
                  <w:tcW w:w="2309" w:type="pct"/>
                  <w:vAlign w:val="center"/>
                </w:tcPr>
                <w:p>
                  <w:pPr>
                    <w:adjustRightInd w:val="0"/>
                    <w:snapToGrid w:val="0"/>
                    <w:jc w:val="left"/>
                    <w:rPr>
                      <w:szCs w:val="21"/>
                    </w:rPr>
                  </w:pPr>
                  <w:r>
                    <w:rPr>
                      <w:rFonts w:hint="eastAsia"/>
                      <w:szCs w:val="21"/>
                    </w:rPr>
                    <w:t>1.矿产资源勘查以及采选过程中排土场、露天采场、尾矿库、矿区专用道路、矿山工业场地、沉陷区、矸石场、矿山污染场地等的生态环境保护与治理恢复工作须满足《矿山生态环境保护与治理恢复技术规范（试行）》（HJ651-2013）要求。落实边开采、边保护、边复垦的要求，使新建、在建矿山损毁土地得到全面复垦。</w:t>
                  </w:r>
                </w:p>
                <w:p>
                  <w:pPr>
                    <w:adjustRightInd w:val="0"/>
                    <w:snapToGrid w:val="0"/>
                    <w:jc w:val="left"/>
                    <w:rPr>
                      <w:szCs w:val="21"/>
                    </w:rPr>
                  </w:pPr>
                  <w:r>
                    <w:rPr>
                      <w:rFonts w:hint="eastAsia"/>
                      <w:szCs w:val="21"/>
                    </w:rPr>
                    <w:t>2.生产矿山年度占用土地面积与年度治理面积基本达到平衡，“三废”排放符合环保指标要求。</w:t>
                  </w:r>
                </w:p>
                <w:p>
                  <w:pPr>
                    <w:adjustRightInd w:val="0"/>
                    <w:snapToGrid w:val="0"/>
                    <w:jc w:val="left"/>
                    <w:rPr>
                      <w:szCs w:val="21"/>
                    </w:rPr>
                  </w:pPr>
                  <w:r>
                    <w:rPr>
                      <w:rFonts w:hint="eastAsia"/>
                      <w:szCs w:val="21"/>
                    </w:rPr>
                    <w:t>3.煤矿地面运煤系统、运输设备、煤炭贮存场所应当全封闭。鼓励有条件的露天矿山采用密闭式皮带运输系统，煤炭企业应当负责矿权范围内和排矸场等着火点灭火工作；提高煤矸石、矿井水的综合利用。</w:t>
                  </w:r>
                </w:p>
                <w:p>
                  <w:pPr>
                    <w:adjustRightInd w:val="0"/>
                    <w:snapToGrid w:val="0"/>
                    <w:jc w:val="left"/>
                    <w:rPr>
                      <w:szCs w:val="21"/>
                    </w:rPr>
                  </w:pPr>
                  <w:r>
                    <w:rPr>
                      <w:rFonts w:hint="eastAsia"/>
                      <w:szCs w:val="21"/>
                    </w:rPr>
                    <w:t>4.对新建硫份大于1.5%的煤矿，应配套建设煤炭洗选设施；对现有硫份大于2%的煤矿，应补建配套煤炭洗选设施。</w:t>
                  </w:r>
                </w:p>
              </w:tc>
              <w:tc>
                <w:tcPr>
                  <w:tcW w:w="1844" w:type="pct"/>
                  <w:vAlign w:val="center"/>
                </w:tcPr>
                <w:p>
                  <w:pPr>
                    <w:adjustRightInd w:val="0"/>
                    <w:snapToGrid w:val="0"/>
                    <w:jc w:val="left"/>
                    <w:rPr>
                      <w:szCs w:val="21"/>
                    </w:rPr>
                  </w:pPr>
                  <w:r>
                    <w:rPr>
                      <w:rFonts w:hint="eastAsia"/>
                      <w:szCs w:val="21"/>
                    </w:rPr>
                    <w:t>1</w:t>
                  </w:r>
                  <w:r>
                    <w:rPr>
                      <w:szCs w:val="21"/>
                    </w:rPr>
                    <w:t>.本项目</w:t>
                  </w:r>
                  <w:r>
                    <w:rPr>
                      <w:rFonts w:hint="eastAsia"/>
                      <w:szCs w:val="21"/>
                    </w:rPr>
                    <w:t>为商砼站项目，不涉及矿产资源勘查以及采选。</w:t>
                  </w:r>
                </w:p>
                <w:p>
                  <w:pPr>
                    <w:adjustRightInd w:val="0"/>
                    <w:snapToGrid w:val="0"/>
                    <w:jc w:val="left"/>
                    <w:rPr>
                      <w:szCs w:val="21"/>
                    </w:rPr>
                  </w:pPr>
                  <w:r>
                    <w:rPr>
                      <w:rFonts w:hint="eastAsia"/>
                      <w:szCs w:val="21"/>
                    </w:rPr>
                    <w:t>2</w:t>
                  </w:r>
                  <w:r>
                    <w:rPr>
                      <w:szCs w:val="21"/>
                    </w:rPr>
                    <w:t>.</w:t>
                  </w:r>
                  <w:r>
                    <w:rPr>
                      <w:rFonts w:hint="eastAsia"/>
                    </w:rPr>
                    <w:t xml:space="preserve"> 废气：</w:t>
                  </w:r>
                  <w:r>
                    <w:rPr>
                      <w:rFonts w:hint="eastAsia"/>
                      <w:szCs w:val="21"/>
                    </w:rPr>
                    <w:t>水泥筒仓、粉煤灰筒仓粉尘，经布袋除尘器及各筒仓顶滤芯除尘器等处理后排放，满足《水泥工业大气污染物排放标准》（GB4915-2013）表2标准排放要求；原料储存装卸粉尘，砂石配料、输送过程扬尘，搅拌机入料口产生的粉尘以及运输车辆扬尘等，采用全封闭储料棚、布袋除尘器、喷淋洒水抑尘措施处理后排放，满足《水泥工业大气污染物排放标准》（GB4915-2013）无组织排放标准排放要求。废水：料棚抑尘用水、道路抑尘洒水全部自然蒸发，不外排；搅拌机及运输车辆清洗废水经沉淀后回用于生产，不外排；生活污水经化粪池收集后，定期拉运至札萨克镇台格办事处污水处理厂。固废：生活垃圾集中收集后，委托环卫部门及时清运。布袋除尘器收集的除尘灰、沉淀池沉渣收集后回用于生产工序，综合利用。本项目“三废”排放符合环保指标要求。</w:t>
                  </w:r>
                </w:p>
                <w:p>
                  <w:pPr>
                    <w:adjustRightInd w:val="0"/>
                    <w:snapToGrid w:val="0"/>
                    <w:jc w:val="left"/>
                    <w:rPr>
                      <w:szCs w:val="21"/>
                    </w:rPr>
                  </w:pPr>
                  <w:r>
                    <w:rPr>
                      <w:rFonts w:hint="eastAsia"/>
                      <w:szCs w:val="21"/>
                    </w:rPr>
                    <w:t>3</w:t>
                  </w:r>
                  <w:r>
                    <w:rPr>
                      <w:szCs w:val="21"/>
                    </w:rPr>
                    <w:t>.</w:t>
                  </w:r>
                  <w:r>
                    <w:rPr>
                      <w:rFonts w:hint="eastAsia"/>
                      <w:szCs w:val="21"/>
                    </w:rPr>
                    <w:t>本项目不涉及煤矿、煤炭企业等。</w:t>
                  </w:r>
                </w:p>
                <w:p>
                  <w:pPr>
                    <w:adjustRightInd w:val="0"/>
                    <w:snapToGrid w:val="0"/>
                    <w:jc w:val="left"/>
                    <w:rPr>
                      <w:szCs w:val="21"/>
                    </w:rPr>
                  </w:pPr>
                  <w:r>
                    <w:rPr>
                      <w:rFonts w:hint="eastAsia"/>
                      <w:szCs w:val="21"/>
                    </w:rPr>
                    <w:t>4</w:t>
                  </w:r>
                  <w:r>
                    <w:rPr>
                      <w:szCs w:val="21"/>
                    </w:rPr>
                    <w:t>.</w:t>
                  </w:r>
                  <w:r>
                    <w:rPr>
                      <w:rFonts w:hint="eastAsia"/>
                      <w:szCs w:val="21"/>
                    </w:rPr>
                    <w:t>本项目不涉及煤炭洗选等。</w:t>
                  </w:r>
                </w:p>
              </w:tc>
              <w:tc>
                <w:tcPr>
                  <w:tcW w:w="495" w:type="pct"/>
                  <w:vAlign w:val="center"/>
                </w:tcPr>
                <w:p>
                  <w:pPr>
                    <w:jc w:val="center"/>
                    <w:rPr>
                      <w:szCs w:val="21"/>
                    </w:rPr>
                  </w:pPr>
                  <w:r>
                    <w:rPr>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352" w:type="pct"/>
                  <w:vAlign w:val="center"/>
                </w:tcPr>
                <w:p>
                  <w:pPr>
                    <w:adjustRightInd w:val="0"/>
                    <w:snapToGrid w:val="0"/>
                    <w:jc w:val="center"/>
                    <w:rPr>
                      <w:szCs w:val="21"/>
                    </w:rPr>
                  </w:pPr>
                  <w:r>
                    <w:rPr>
                      <w:rFonts w:hint="eastAsia"/>
                      <w:szCs w:val="21"/>
                    </w:rPr>
                    <w:t>环境风险防控</w:t>
                  </w:r>
                </w:p>
              </w:tc>
              <w:tc>
                <w:tcPr>
                  <w:tcW w:w="2309" w:type="pct"/>
                  <w:vAlign w:val="center"/>
                </w:tcPr>
                <w:p>
                  <w:pPr>
                    <w:adjustRightInd w:val="0"/>
                    <w:snapToGrid w:val="0"/>
                    <w:jc w:val="left"/>
                    <w:rPr>
                      <w:szCs w:val="21"/>
                    </w:rPr>
                  </w:pPr>
                  <w:r>
                    <w:rPr>
                      <w:rFonts w:hint="eastAsia"/>
                      <w:szCs w:val="21"/>
                    </w:rPr>
                    <w:t>1.制定环境风险应急预案，成立应急组织机构，配备必要的应急设施和应急物资，定期开展环境风险应急演练。</w:t>
                  </w:r>
                </w:p>
                <w:p>
                  <w:pPr>
                    <w:adjustRightInd w:val="0"/>
                    <w:snapToGrid w:val="0"/>
                    <w:jc w:val="left"/>
                    <w:rPr>
                      <w:szCs w:val="21"/>
                    </w:rPr>
                  </w:pPr>
                  <w:r>
                    <w:rPr>
                      <w:rFonts w:hint="eastAsia"/>
                      <w:szCs w:val="21"/>
                    </w:rPr>
                    <w:t>2.加强采矿引起的滑坡、塌陷等次生地质灾害的防范和治理，及时回填废弃巷道和采空区，要充分利用采矿疏干排出的地下水，最大限度的维持矿区生态平衡。</w:t>
                  </w:r>
                </w:p>
              </w:tc>
              <w:tc>
                <w:tcPr>
                  <w:tcW w:w="1844" w:type="pct"/>
                  <w:vAlign w:val="center"/>
                </w:tcPr>
                <w:p>
                  <w:pPr>
                    <w:adjustRightInd w:val="0"/>
                    <w:snapToGrid w:val="0"/>
                    <w:jc w:val="left"/>
                    <w:rPr>
                      <w:szCs w:val="21"/>
                    </w:rPr>
                  </w:pPr>
                  <w:r>
                    <w:rPr>
                      <w:rFonts w:hint="eastAsia"/>
                      <w:szCs w:val="21"/>
                    </w:rPr>
                    <w:t>1</w:t>
                  </w:r>
                  <w:r>
                    <w:rPr>
                      <w:szCs w:val="21"/>
                    </w:rPr>
                    <w:t>.</w:t>
                  </w:r>
                  <w:r>
                    <w:rPr>
                      <w:rFonts w:hint="eastAsia"/>
                      <w:szCs w:val="21"/>
                    </w:rPr>
                    <w:t>建设单位已制定环境风险应急预案，成立应急组织机构，配备必要的应急设施和应急物资等。</w:t>
                  </w:r>
                </w:p>
                <w:p>
                  <w:pPr>
                    <w:adjustRightInd w:val="0"/>
                    <w:snapToGrid w:val="0"/>
                    <w:jc w:val="left"/>
                    <w:rPr>
                      <w:szCs w:val="21"/>
                    </w:rPr>
                  </w:pPr>
                  <w:r>
                    <w:rPr>
                      <w:rFonts w:hint="eastAsia"/>
                      <w:szCs w:val="21"/>
                    </w:rPr>
                    <w:t>2</w:t>
                  </w:r>
                  <w:r>
                    <w:rPr>
                      <w:szCs w:val="21"/>
                    </w:rPr>
                    <w:t>.</w:t>
                  </w:r>
                  <w:r>
                    <w:rPr>
                      <w:rFonts w:hint="eastAsia"/>
                      <w:szCs w:val="21"/>
                    </w:rPr>
                    <w:t>本项目不涉及采矿业。</w:t>
                  </w:r>
                </w:p>
              </w:tc>
              <w:tc>
                <w:tcPr>
                  <w:tcW w:w="495" w:type="pct"/>
                  <w:vAlign w:val="center"/>
                </w:tcPr>
                <w:p>
                  <w:pPr>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352" w:type="pct"/>
                  <w:vAlign w:val="center"/>
                </w:tcPr>
                <w:p>
                  <w:pPr>
                    <w:adjustRightInd w:val="0"/>
                    <w:snapToGrid w:val="0"/>
                    <w:jc w:val="center"/>
                    <w:rPr>
                      <w:szCs w:val="21"/>
                    </w:rPr>
                  </w:pPr>
                  <w:r>
                    <w:rPr>
                      <w:rFonts w:hint="eastAsia"/>
                      <w:szCs w:val="21"/>
                    </w:rPr>
                    <w:t>资源利用效率要求</w:t>
                  </w:r>
                </w:p>
              </w:tc>
              <w:tc>
                <w:tcPr>
                  <w:tcW w:w="2309" w:type="pct"/>
                  <w:vAlign w:val="center"/>
                </w:tcPr>
                <w:p>
                  <w:pPr>
                    <w:adjustRightInd w:val="0"/>
                    <w:snapToGrid w:val="0"/>
                    <w:jc w:val="left"/>
                    <w:rPr>
                      <w:szCs w:val="21"/>
                    </w:rPr>
                  </w:pPr>
                  <w:r>
                    <w:rPr>
                      <w:rFonts w:hint="eastAsia"/>
                      <w:szCs w:val="21"/>
                    </w:rPr>
                    <w:t>1.原煤入选率不低于75%；煤矸石综合利用率应达到75%以上；矿井水、疏干水应采用洁净化、资源化技术和工艺进行合理处置，处置率达到100%。</w:t>
                  </w:r>
                </w:p>
                <w:p>
                  <w:pPr>
                    <w:adjustRightInd w:val="0"/>
                    <w:snapToGrid w:val="0"/>
                    <w:jc w:val="left"/>
                    <w:rPr>
                      <w:szCs w:val="21"/>
                    </w:rPr>
                  </w:pPr>
                  <w:r>
                    <w:rPr>
                      <w:rFonts w:hint="eastAsia"/>
                      <w:szCs w:val="21"/>
                    </w:rPr>
                    <w:t>2.煤矿采区回采率、原煤入选率、煤矸石与共伴生矿产资源综合利用率等三项指标符合自然资源部发布的《煤炭资源合理开发利用“三率”指标要求（试行）》。</w:t>
                  </w:r>
                </w:p>
              </w:tc>
              <w:tc>
                <w:tcPr>
                  <w:tcW w:w="1844" w:type="pct"/>
                  <w:vAlign w:val="center"/>
                </w:tcPr>
                <w:p>
                  <w:pPr>
                    <w:adjustRightInd w:val="0"/>
                    <w:snapToGrid w:val="0"/>
                    <w:rPr>
                      <w:szCs w:val="21"/>
                    </w:rPr>
                  </w:pPr>
                  <w:r>
                    <w:rPr>
                      <w:rFonts w:hint="eastAsia"/>
                      <w:szCs w:val="21"/>
                    </w:rPr>
                    <w:t>1</w:t>
                  </w:r>
                  <w:r>
                    <w:rPr>
                      <w:szCs w:val="21"/>
                    </w:rPr>
                    <w:t>.本项目</w:t>
                  </w:r>
                  <w:r>
                    <w:rPr>
                      <w:rFonts w:hint="eastAsia"/>
                      <w:szCs w:val="21"/>
                    </w:rPr>
                    <w:t>为商砼站项目，不涉及煤炭业。</w:t>
                  </w:r>
                </w:p>
                <w:p>
                  <w:pPr>
                    <w:adjustRightInd w:val="0"/>
                    <w:snapToGrid w:val="0"/>
                    <w:rPr>
                      <w:szCs w:val="21"/>
                    </w:rPr>
                  </w:pPr>
                  <w:r>
                    <w:rPr>
                      <w:rFonts w:hint="eastAsia"/>
                      <w:szCs w:val="21"/>
                    </w:rPr>
                    <w:t>2.</w:t>
                  </w:r>
                  <w:r>
                    <w:rPr>
                      <w:szCs w:val="21"/>
                    </w:rPr>
                    <w:t xml:space="preserve"> 本项目</w:t>
                  </w:r>
                  <w:r>
                    <w:rPr>
                      <w:rFonts w:hint="eastAsia"/>
                      <w:szCs w:val="21"/>
                    </w:rPr>
                    <w:t>为商砼站项目，不涉及煤炭业。</w:t>
                  </w:r>
                </w:p>
              </w:tc>
              <w:tc>
                <w:tcPr>
                  <w:tcW w:w="495" w:type="pct"/>
                  <w:vAlign w:val="center"/>
                </w:tcPr>
                <w:p>
                  <w:pPr>
                    <w:jc w:val="center"/>
                    <w:rPr>
                      <w:szCs w:val="21"/>
                    </w:rPr>
                  </w:pPr>
                  <w:r>
                    <w:rPr>
                      <w:szCs w:val="21"/>
                    </w:rPr>
                    <w:t>符合</w:t>
                  </w:r>
                </w:p>
              </w:tc>
            </w:tr>
          </w:tbl>
          <w:p>
            <w:pPr>
              <w:autoSpaceDE w:val="0"/>
              <w:autoSpaceDN w:val="0"/>
              <w:spacing w:line="360" w:lineRule="auto"/>
              <w:ind w:firstLine="480" w:firstLineChars="200"/>
              <w:jc w:val="left"/>
              <w:rPr>
                <w:sz w:val="24"/>
              </w:rPr>
            </w:pPr>
            <w:r>
              <w:rPr>
                <w:rFonts w:hint="eastAsia"/>
                <w:sz w:val="24"/>
              </w:rPr>
              <w:t>2</w:t>
            </w:r>
            <w:r>
              <w:rPr>
                <w:sz w:val="24"/>
              </w:rPr>
              <w:t>、选址合理性分析</w:t>
            </w:r>
          </w:p>
          <w:p>
            <w:pPr>
              <w:autoSpaceDE w:val="0"/>
              <w:autoSpaceDN w:val="0"/>
              <w:spacing w:line="360" w:lineRule="auto"/>
              <w:ind w:firstLine="480" w:firstLineChars="200"/>
              <w:rPr>
                <w:sz w:val="24"/>
              </w:rPr>
            </w:pPr>
            <w:r>
              <w:rPr>
                <w:rFonts w:hint="eastAsia"/>
                <w:sz w:val="24"/>
              </w:rPr>
              <w:t xml:space="preserve">本项目位于鄂尔多斯市伊金霍洛旗札萨克镇高勒庙村，为村集体经济，占用高勒庙村村集体土地（土地证见附件3）；所在区域未占用农田、林地、自然保护区、风景名胜区等，本项目选址合理。 </w:t>
            </w:r>
          </w:p>
          <w:p>
            <w:pPr>
              <w:autoSpaceDE w:val="0"/>
              <w:autoSpaceDN w:val="0"/>
              <w:spacing w:line="360" w:lineRule="auto"/>
              <w:ind w:firstLine="480" w:firstLineChars="200"/>
              <w:jc w:val="left"/>
              <w:rPr>
                <w:sz w:val="24"/>
              </w:rPr>
            </w:pPr>
            <w:r>
              <w:rPr>
                <w:rFonts w:hint="eastAsia"/>
                <w:sz w:val="24"/>
              </w:rPr>
              <w:t>3、产业政策符合性分析</w:t>
            </w:r>
          </w:p>
          <w:p>
            <w:pPr>
              <w:autoSpaceDE w:val="0"/>
              <w:autoSpaceDN w:val="0"/>
              <w:spacing w:line="360" w:lineRule="auto"/>
              <w:ind w:firstLine="480" w:firstLineChars="200"/>
              <w:jc w:val="left"/>
              <w:rPr>
                <w:sz w:val="24"/>
              </w:rPr>
            </w:pPr>
            <w:r>
              <w:rPr>
                <w:rFonts w:hint="eastAsia"/>
                <w:sz w:val="24"/>
              </w:rPr>
              <w:t>本项目属于水泥制品制造业，项目不属于《产业结构调整指导目录（2</w:t>
            </w:r>
            <w:r>
              <w:rPr>
                <w:sz w:val="24"/>
              </w:rPr>
              <w:t>019</w:t>
            </w:r>
            <w:r>
              <w:rPr>
                <w:rFonts w:hint="eastAsia"/>
                <w:sz w:val="24"/>
              </w:rPr>
              <w:t>年本）（2021修订）》（中华人民共和国国家发展和改革委员会令第49号）中限制类、淘汰类、鼓励类项目，项目的建设符合国家产业政策。</w:t>
            </w:r>
          </w:p>
        </w:tc>
      </w:tr>
    </w:tbl>
    <w:p>
      <w:pPr>
        <w:spacing w:line="360" w:lineRule="auto"/>
        <w:outlineLvl w:val="0"/>
        <w:rPr>
          <w:rFonts w:eastAsia="黑体"/>
          <w:sz w:val="30"/>
        </w:rPr>
        <w:sectPr>
          <w:footerReference r:id="rId5" w:type="default"/>
          <w:pgSz w:w="11906" w:h="16838"/>
          <w:pgMar w:top="1701" w:right="1531" w:bottom="1701" w:left="1531" w:header="851" w:footer="1328" w:gutter="0"/>
          <w:pgNumType w:start="1"/>
          <w:cols w:space="720" w:num="1"/>
          <w:docGrid w:linePitch="312" w:charSpace="0"/>
        </w:sectPr>
      </w:pPr>
    </w:p>
    <w:p>
      <w:pPr>
        <w:pStyle w:val="13"/>
        <w:jc w:val="center"/>
        <w:outlineLvl w:val="0"/>
        <w:rPr>
          <w:rFonts w:ascii="Times New Roman" w:hAnsi="Times New Roman" w:eastAsia="黑体"/>
          <w:snapToGrid w:val="0"/>
          <w:sz w:val="30"/>
          <w:szCs w:val="30"/>
        </w:rPr>
      </w:pPr>
      <w:r>
        <w:rPr>
          <w:rFonts w:hint="eastAsia" w:ascii="Times New Roman" w:hAnsi="Times New Roman" w:eastAsia="黑体"/>
          <w:snapToGrid w:val="0"/>
          <w:sz w:val="30"/>
          <w:szCs w:val="30"/>
        </w:rPr>
        <w:t>二、建设项目工程分析</w:t>
      </w:r>
    </w:p>
    <w:tbl>
      <w:tblPr>
        <w:tblStyle w:val="14"/>
        <w:tblW w:w="497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84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2" w:hRule="atLeast"/>
          <w:jc w:val="center"/>
        </w:trPr>
        <w:tc>
          <w:tcPr>
            <w:tcW w:w="314" w:type="pct"/>
            <w:vAlign w:val="center"/>
          </w:tcPr>
          <w:p>
            <w:pPr>
              <w:pStyle w:val="13"/>
              <w:adjustRightInd w:val="0"/>
              <w:snapToGrid w:val="0"/>
              <w:spacing w:before="0" w:beforeAutospacing="0" w:after="0" w:afterAutospacing="0"/>
              <w:jc w:val="center"/>
              <w:rPr>
                <w:rFonts w:ascii="Times New Roman" w:hAnsi="Times New Roman" w:cs="宋体"/>
                <w:sz w:val="21"/>
                <w:szCs w:val="21"/>
              </w:rPr>
            </w:pPr>
            <w:r>
              <w:rPr>
                <w:rFonts w:hint="eastAsia" w:ascii="Times New Roman" w:hAnsi="Times New Roman" w:cs="宋体"/>
                <w:sz w:val="21"/>
                <w:szCs w:val="21"/>
              </w:rPr>
              <w:t>建设内容</w:t>
            </w:r>
          </w:p>
        </w:tc>
        <w:tc>
          <w:tcPr>
            <w:tcW w:w="4686" w:type="pct"/>
          </w:tcPr>
          <w:p>
            <w:pPr>
              <w:spacing w:line="360" w:lineRule="auto"/>
              <w:jc w:val="left"/>
              <w:rPr>
                <w:rFonts w:cs="宋体"/>
                <w:b/>
                <w:bCs/>
                <w:sz w:val="24"/>
              </w:rPr>
            </w:pPr>
            <w:r>
              <w:rPr>
                <w:rFonts w:cs="宋体"/>
                <w:b/>
                <w:bCs/>
                <w:sz w:val="24"/>
              </w:rPr>
              <w:t>1</w:t>
            </w:r>
            <w:r>
              <w:rPr>
                <w:rFonts w:hint="eastAsia" w:cs="宋体"/>
                <w:b/>
                <w:bCs/>
                <w:sz w:val="24"/>
              </w:rPr>
              <w:t>、</w:t>
            </w:r>
            <w:r>
              <w:rPr>
                <w:rFonts w:cs="宋体"/>
                <w:b/>
                <w:bCs/>
                <w:sz w:val="24"/>
              </w:rPr>
              <w:t>项目基本情况</w:t>
            </w:r>
          </w:p>
          <w:p>
            <w:pPr>
              <w:spacing w:line="360" w:lineRule="auto"/>
              <w:ind w:firstLine="482" w:firstLineChars="200"/>
              <w:jc w:val="left"/>
              <w:rPr>
                <w:rFonts w:cs="宋体"/>
                <w:bCs/>
                <w:sz w:val="24"/>
              </w:rPr>
            </w:pPr>
            <w:r>
              <w:rPr>
                <w:rFonts w:cs="宋体"/>
                <w:b/>
                <w:bCs/>
                <w:sz w:val="24"/>
              </w:rPr>
              <w:t>项目名称：</w:t>
            </w:r>
            <w:r>
              <w:rPr>
                <w:rFonts w:hint="eastAsia" w:cs="宋体"/>
                <w:bCs/>
                <w:sz w:val="24"/>
              </w:rPr>
              <w:t>伊金霍洛旗红星兆劳务有限责任公司吉祥商砼站项目</w:t>
            </w:r>
          </w:p>
          <w:p>
            <w:pPr>
              <w:spacing w:line="360" w:lineRule="auto"/>
              <w:ind w:firstLine="482" w:firstLineChars="200"/>
              <w:jc w:val="left"/>
              <w:rPr>
                <w:rFonts w:cs="宋体"/>
                <w:b/>
                <w:bCs/>
                <w:sz w:val="24"/>
              </w:rPr>
            </w:pPr>
            <w:r>
              <w:rPr>
                <w:rFonts w:cs="宋体"/>
                <w:b/>
                <w:bCs/>
                <w:sz w:val="24"/>
              </w:rPr>
              <w:t>建设单位：</w:t>
            </w:r>
            <w:r>
              <w:rPr>
                <w:rFonts w:hint="eastAsia" w:cs="宋体"/>
                <w:sz w:val="24"/>
              </w:rPr>
              <w:t>伊金霍洛旗红星兆劳务有限责任公司</w:t>
            </w:r>
          </w:p>
          <w:p>
            <w:pPr>
              <w:spacing w:line="360" w:lineRule="auto"/>
              <w:ind w:firstLine="482" w:firstLineChars="200"/>
              <w:jc w:val="left"/>
              <w:rPr>
                <w:rFonts w:cs="宋体"/>
                <w:b/>
                <w:bCs/>
                <w:sz w:val="24"/>
              </w:rPr>
            </w:pPr>
            <w:r>
              <w:rPr>
                <w:rFonts w:cs="宋体"/>
                <w:b/>
                <w:bCs/>
                <w:sz w:val="24"/>
              </w:rPr>
              <w:t>建设性质：</w:t>
            </w:r>
            <w:r>
              <w:rPr>
                <w:rFonts w:cs="宋体"/>
                <w:bCs/>
                <w:sz w:val="24"/>
              </w:rPr>
              <w:t>新建</w:t>
            </w:r>
            <w:r>
              <w:rPr>
                <w:rFonts w:hint="eastAsia" w:cs="宋体"/>
                <w:bCs/>
                <w:sz w:val="24"/>
              </w:rPr>
              <w:t>（未批先建）</w:t>
            </w:r>
          </w:p>
          <w:p>
            <w:pPr>
              <w:spacing w:line="360" w:lineRule="auto"/>
              <w:ind w:firstLine="482" w:firstLineChars="200"/>
              <w:jc w:val="left"/>
              <w:rPr>
                <w:rFonts w:cs="宋体"/>
                <w:bCs/>
                <w:sz w:val="24"/>
              </w:rPr>
            </w:pPr>
            <w:r>
              <w:rPr>
                <w:rFonts w:cs="宋体"/>
                <w:b/>
                <w:bCs/>
                <w:sz w:val="24"/>
              </w:rPr>
              <w:t>建设地点：</w:t>
            </w:r>
            <w:r>
              <w:rPr>
                <w:rFonts w:hint="eastAsia" w:cs="宋体"/>
                <w:bCs/>
                <w:sz w:val="24"/>
              </w:rPr>
              <w:t>位于鄂尔多斯市伊金霍洛旗札萨克镇高勒庙村，</w:t>
            </w:r>
            <w:r>
              <w:rPr>
                <w:rFonts w:cs="宋体"/>
                <w:bCs/>
                <w:sz w:val="24"/>
              </w:rPr>
              <w:t>厂址中心地理坐标为：</w:t>
            </w:r>
            <w:bookmarkStart w:id="2" w:name="_Hlk80536582"/>
            <w:r>
              <w:rPr>
                <w:rFonts w:cs="宋体"/>
                <w:bCs/>
                <w:sz w:val="24"/>
              </w:rPr>
              <w:t>E109°42'16.592″，N39°7'</w:t>
            </w:r>
            <w:bookmarkStart w:id="3" w:name="_Hlk103777433"/>
            <w:r>
              <w:rPr>
                <w:rFonts w:cs="宋体"/>
                <w:bCs/>
                <w:sz w:val="24"/>
              </w:rPr>
              <w:t>38775″</w:t>
            </w:r>
            <w:bookmarkEnd w:id="2"/>
            <w:bookmarkEnd w:id="3"/>
            <w:r>
              <w:rPr>
                <w:rFonts w:cs="宋体"/>
                <w:bCs/>
                <w:sz w:val="24"/>
              </w:rPr>
              <w:t>。项目地理位置图见附图2。</w:t>
            </w:r>
          </w:p>
          <w:p>
            <w:pPr>
              <w:spacing w:line="360" w:lineRule="auto"/>
              <w:ind w:firstLine="482" w:firstLineChars="200"/>
              <w:jc w:val="left"/>
              <w:rPr>
                <w:rFonts w:cs="宋体"/>
                <w:bCs/>
                <w:sz w:val="24"/>
              </w:rPr>
            </w:pPr>
            <w:r>
              <w:rPr>
                <w:rFonts w:cs="宋体"/>
                <w:b/>
                <w:bCs/>
                <w:sz w:val="24"/>
              </w:rPr>
              <w:t>建设内容及规模：</w:t>
            </w:r>
            <w:r>
              <w:rPr>
                <w:rFonts w:hint="eastAsia" w:cs="宋体"/>
                <w:color w:val="FF0000"/>
                <w:sz w:val="24"/>
              </w:rPr>
              <w:t>项目主要建设年产</w:t>
            </w:r>
            <w:r>
              <w:rPr>
                <w:rFonts w:cs="宋体"/>
                <w:bCs/>
                <w:color w:val="FF0000"/>
                <w:sz w:val="24"/>
              </w:rPr>
              <w:t>30</w:t>
            </w:r>
            <w:r>
              <w:rPr>
                <w:rFonts w:hint="eastAsia" w:cs="宋体"/>
                <w:bCs/>
                <w:color w:val="FF0000"/>
                <w:sz w:val="24"/>
              </w:rPr>
              <w:t>万m</w:t>
            </w:r>
            <w:r>
              <w:rPr>
                <w:rFonts w:hint="eastAsia" w:cs="宋体"/>
                <w:bCs/>
                <w:color w:val="FF0000"/>
                <w:sz w:val="24"/>
                <w:vertAlign w:val="superscript"/>
              </w:rPr>
              <w:t>3</w:t>
            </w:r>
            <w:r>
              <w:rPr>
                <w:rFonts w:hint="eastAsia" w:cs="宋体"/>
                <w:bCs/>
                <w:color w:val="FF0000"/>
                <w:sz w:val="24"/>
              </w:rPr>
              <w:t>商砼混凝土拌合站一座，</w:t>
            </w:r>
            <w:r>
              <w:rPr>
                <w:rFonts w:cs="宋体"/>
                <w:bCs/>
                <w:color w:val="FF0000"/>
                <w:sz w:val="24"/>
              </w:rPr>
              <w:t>水泥</w:t>
            </w:r>
            <w:r>
              <w:rPr>
                <w:rFonts w:hint="eastAsia" w:cs="宋体"/>
                <w:bCs/>
                <w:color w:val="FF0000"/>
                <w:sz w:val="24"/>
              </w:rPr>
              <w:t>和</w:t>
            </w:r>
            <w:r>
              <w:rPr>
                <w:rFonts w:cs="宋体"/>
                <w:bCs/>
                <w:color w:val="FF0000"/>
                <w:sz w:val="24"/>
              </w:rPr>
              <w:t>粉煤灰</w:t>
            </w:r>
            <w:r>
              <w:rPr>
                <w:rFonts w:hint="eastAsia" w:cs="宋体"/>
                <w:bCs/>
                <w:color w:val="FF0000"/>
                <w:sz w:val="24"/>
              </w:rPr>
              <w:t>存储</w:t>
            </w:r>
            <w:r>
              <w:rPr>
                <w:rFonts w:cs="宋体"/>
                <w:bCs/>
                <w:color w:val="FF0000"/>
                <w:sz w:val="24"/>
              </w:rPr>
              <w:t>筒仓</w:t>
            </w:r>
            <w:r>
              <w:rPr>
                <w:rFonts w:hint="eastAsia" w:cs="宋体"/>
                <w:bCs/>
                <w:color w:val="FF0000"/>
                <w:sz w:val="24"/>
              </w:rPr>
              <w:t>、砂石储料棚、生活办公区等配套基础设施。</w:t>
            </w:r>
          </w:p>
          <w:p>
            <w:pPr>
              <w:spacing w:line="360" w:lineRule="auto"/>
              <w:ind w:firstLine="482" w:firstLineChars="200"/>
              <w:jc w:val="left"/>
              <w:rPr>
                <w:rFonts w:cs="宋体"/>
                <w:bCs/>
                <w:sz w:val="24"/>
              </w:rPr>
            </w:pPr>
            <w:r>
              <w:rPr>
                <w:rFonts w:cs="宋体"/>
                <w:b/>
                <w:bCs/>
                <w:sz w:val="24"/>
              </w:rPr>
              <w:t>项目投资：</w:t>
            </w:r>
            <w:r>
              <w:rPr>
                <w:rFonts w:cs="宋体"/>
                <w:bCs/>
                <w:sz w:val="24"/>
              </w:rPr>
              <w:t>本项目总投资为200万元，其中环保投资为57.5万元。</w:t>
            </w:r>
          </w:p>
          <w:p>
            <w:pPr>
              <w:spacing w:line="360" w:lineRule="auto"/>
              <w:ind w:firstLine="480" w:firstLineChars="200"/>
              <w:jc w:val="left"/>
              <w:rPr>
                <w:rFonts w:cs="宋体"/>
                <w:bCs/>
                <w:sz w:val="24"/>
              </w:rPr>
            </w:pPr>
            <w:r>
              <w:rPr>
                <w:rFonts w:hint="eastAsia" w:cs="宋体"/>
                <w:bCs/>
                <w:sz w:val="24"/>
              </w:rPr>
              <w:t>本项目工程具体组成见表</w:t>
            </w:r>
            <w:r>
              <w:rPr>
                <w:rFonts w:cs="宋体"/>
                <w:bCs/>
                <w:sz w:val="24"/>
              </w:rPr>
              <w:t>2-1</w:t>
            </w:r>
            <w:r>
              <w:rPr>
                <w:rFonts w:hint="eastAsia" w:cs="宋体"/>
                <w:bCs/>
                <w:sz w:val="24"/>
              </w:rPr>
              <w:t>。</w:t>
            </w:r>
          </w:p>
          <w:p>
            <w:pPr>
              <w:pStyle w:val="22"/>
            </w:pPr>
            <w:r>
              <w:rPr>
                <w:rFonts w:hint="eastAsia"/>
              </w:rPr>
              <w:t>表2</w:t>
            </w:r>
            <w:r>
              <w:t>-1 项目组成一览表</w:t>
            </w:r>
          </w:p>
          <w:tbl>
            <w:tblPr>
              <w:tblStyle w:val="1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1306"/>
              <w:gridCol w:w="5200"/>
              <w:gridCol w:w="106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tcMar>
                    <w:left w:w="28" w:type="dxa"/>
                    <w:right w:w="28" w:type="dxa"/>
                  </w:tcMar>
                  <w:vAlign w:val="center"/>
                </w:tcPr>
                <w:p>
                  <w:pPr>
                    <w:adjustRightInd w:val="0"/>
                    <w:snapToGrid w:val="0"/>
                    <w:jc w:val="center"/>
                    <w:rPr>
                      <w:szCs w:val="21"/>
                    </w:rPr>
                  </w:pPr>
                  <w:r>
                    <w:rPr>
                      <w:szCs w:val="21"/>
                    </w:rPr>
                    <w:t>类别</w:t>
                  </w:r>
                </w:p>
              </w:tc>
              <w:tc>
                <w:tcPr>
                  <w:tcW w:w="1271" w:type="dxa"/>
                  <w:tcMar>
                    <w:left w:w="28" w:type="dxa"/>
                    <w:right w:w="28" w:type="dxa"/>
                  </w:tcMar>
                  <w:vAlign w:val="center"/>
                </w:tcPr>
                <w:p>
                  <w:pPr>
                    <w:adjustRightInd w:val="0"/>
                    <w:snapToGrid w:val="0"/>
                    <w:jc w:val="center"/>
                    <w:rPr>
                      <w:szCs w:val="21"/>
                    </w:rPr>
                  </w:pPr>
                  <w:r>
                    <w:rPr>
                      <w:szCs w:val="21"/>
                    </w:rPr>
                    <w:t>工程名称</w:t>
                  </w:r>
                </w:p>
              </w:tc>
              <w:tc>
                <w:tcPr>
                  <w:tcW w:w="5061" w:type="dxa"/>
                  <w:tcMar>
                    <w:left w:w="28" w:type="dxa"/>
                    <w:right w:w="28" w:type="dxa"/>
                  </w:tcMar>
                  <w:vAlign w:val="center"/>
                </w:tcPr>
                <w:p>
                  <w:pPr>
                    <w:adjustRightInd w:val="0"/>
                    <w:snapToGrid w:val="0"/>
                    <w:jc w:val="center"/>
                    <w:rPr>
                      <w:szCs w:val="21"/>
                    </w:rPr>
                  </w:pPr>
                  <w:r>
                    <w:rPr>
                      <w:szCs w:val="21"/>
                    </w:rPr>
                    <w:t>建设内容及规模</w:t>
                  </w:r>
                </w:p>
              </w:tc>
              <w:tc>
                <w:tcPr>
                  <w:tcW w:w="1040" w:type="dxa"/>
                  <w:vAlign w:val="center"/>
                </w:tcPr>
                <w:p>
                  <w:pPr>
                    <w:adjustRightInd w:val="0"/>
                    <w:snapToGrid w:val="0"/>
                    <w:jc w:val="center"/>
                    <w:rPr>
                      <w:szCs w:val="21"/>
                    </w:rPr>
                  </w:pPr>
                  <w:r>
                    <w:rPr>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tcMar>
                    <w:left w:w="28" w:type="dxa"/>
                    <w:right w:w="28" w:type="dxa"/>
                  </w:tcMar>
                  <w:vAlign w:val="center"/>
                </w:tcPr>
                <w:p>
                  <w:pPr>
                    <w:adjustRightInd w:val="0"/>
                    <w:snapToGrid w:val="0"/>
                    <w:jc w:val="center"/>
                    <w:rPr>
                      <w:szCs w:val="21"/>
                    </w:rPr>
                  </w:pPr>
                  <w:r>
                    <w:rPr>
                      <w:szCs w:val="21"/>
                    </w:rPr>
                    <w:t>主体</w:t>
                  </w:r>
                </w:p>
                <w:p>
                  <w:pPr>
                    <w:adjustRightInd w:val="0"/>
                    <w:snapToGrid w:val="0"/>
                    <w:jc w:val="center"/>
                    <w:rPr>
                      <w:szCs w:val="21"/>
                    </w:rPr>
                  </w:pPr>
                  <w:r>
                    <w:rPr>
                      <w:szCs w:val="21"/>
                    </w:rPr>
                    <w:t>工程</w:t>
                  </w:r>
                </w:p>
              </w:tc>
              <w:tc>
                <w:tcPr>
                  <w:tcW w:w="1271" w:type="dxa"/>
                  <w:tcMar>
                    <w:left w:w="28" w:type="dxa"/>
                    <w:right w:w="28" w:type="dxa"/>
                  </w:tcMar>
                  <w:vAlign w:val="center"/>
                </w:tcPr>
                <w:p>
                  <w:pPr>
                    <w:adjustRightInd w:val="0"/>
                    <w:snapToGrid w:val="0"/>
                    <w:jc w:val="center"/>
                    <w:rPr>
                      <w:szCs w:val="21"/>
                    </w:rPr>
                  </w:pPr>
                  <w:r>
                    <w:rPr>
                      <w:rFonts w:hint="eastAsia"/>
                      <w:szCs w:val="21"/>
                    </w:rPr>
                    <w:t>混凝土</w:t>
                  </w:r>
                  <w:r>
                    <w:rPr>
                      <w:szCs w:val="21"/>
                    </w:rPr>
                    <w:t>搅拌</w:t>
                  </w:r>
                  <w:r>
                    <w:rPr>
                      <w:rFonts w:hint="eastAsia"/>
                      <w:szCs w:val="21"/>
                    </w:rPr>
                    <w:t>站</w:t>
                  </w:r>
                </w:p>
              </w:tc>
              <w:tc>
                <w:tcPr>
                  <w:tcW w:w="5061" w:type="dxa"/>
                  <w:tcMar>
                    <w:left w:w="28" w:type="dxa"/>
                    <w:right w:w="28" w:type="dxa"/>
                  </w:tcMar>
                  <w:vAlign w:val="center"/>
                </w:tcPr>
                <w:p>
                  <w:pPr>
                    <w:adjustRightInd w:val="0"/>
                    <w:snapToGrid w:val="0"/>
                    <w:rPr>
                      <w:szCs w:val="21"/>
                    </w:rPr>
                  </w:pPr>
                  <w:r>
                    <w:rPr>
                      <w:rFonts w:hint="eastAsia"/>
                      <w:szCs w:val="21"/>
                    </w:rPr>
                    <w:t>建设1条生产线，HZS180混凝土搅拌站</w:t>
                  </w:r>
                  <w:r>
                    <w:rPr>
                      <w:szCs w:val="21"/>
                    </w:rPr>
                    <w:t>1套，包含</w:t>
                  </w:r>
                  <w:r>
                    <w:rPr>
                      <w:rFonts w:hint="eastAsia"/>
                      <w:szCs w:val="21"/>
                    </w:rPr>
                    <w:t>骨料配料机、斜皮带输送机等，年生产混凝土</w:t>
                  </w:r>
                  <w:r>
                    <w:rPr>
                      <w:szCs w:val="21"/>
                    </w:rPr>
                    <w:t>30</w:t>
                  </w:r>
                  <w:r>
                    <w:rPr>
                      <w:rFonts w:hint="eastAsia"/>
                      <w:szCs w:val="21"/>
                    </w:rPr>
                    <w:t>万m</w:t>
                  </w:r>
                  <w:r>
                    <w:rPr>
                      <w:rFonts w:hint="eastAsia"/>
                      <w:szCs w:val="21"/>
                      <w:vertAlign w:val="superscript"/>
                    </w:rPr>
                    <w:t>3</w:t>
                  </w:r>
                  <w:r>
                    <w:rPr>
                      <w:rFonts w:hint="eastAsia"/>
                      <w:szCs w:val="21"/>
                    </w:rPr>
                    <w:t>。</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restart"/>
                  <w:tcMar>
                    <w:left w:w="28" w:type="dxa"/>
                    <w:right w:w="28" w:type="dxa"/>
                  </w:tcMar>
                  <w:vAlign w:val="center"/>
                </w:tcPr>
                <w:p>
                  <w:pPr>
                    <w:adjustRightInd w:val="0"/>
                    <w:snapToGrid w:val="0"/>
                    <w:jc w:val="center"/>
                    <w:rPr>
                      <w:szCs w:val="21"/>
                    </w:rPr>
                  </w:pPr>
                  <w:r>
                    <w:rPr>
                      <w:szCs w:val="21"/>
                    </w:rPr>
                    <w:t>储运工程</w:t>
                  </w:r>
                </w:p>
              </w:tc>
              <w:tc>
                <w:tcPr>
                  <w:tcW w:w="1271" w:type="dxa"/>
                  <w:tcMar>
                    <w:left w:w="28" w:type="dxa"/>
                    <w:right w:w="28" w:type="dxa"/>
                  </w:tcMar>
                  <w:vAlign w:val="center"/>
                </w:tcPr>
                <w:p>
                  <w:pPr>
                    <w:widowControl/>
                    <w:adjustRightInd w:val="0"/>
                    <w:snapToGrid w:val="0"/>
                    <w:jc w:val="center"/>
                    <w:rPr>
                      <w:kern w:val="0"/>
                      <w:szCs w:val="21"/>
                    </w:rPr>
                  </w:pPr>
                  <w:r>
                    <w:rPr>
                      <w:rFonts w:hint="eastAsia"/>
                      <w:kern w:val="0"/>
                      <w:szCs w:val="21"/>
                    </w:rPr>
                    <w:t>砂石储料棚</w:t>
                  </w:r>
                </w:p>
              </w:tc>
              <w:tc>
                <w:tcPr>
                  <w:tcW w:w="5061" w:type="dxa"/>
                  <w:tcMar>
                    <w:left w:w="28" w:type="dxa"/>
                    <w:right w:w="28" w:type="dxa"/>
                  </w:tcMar>
                  <w:vAlign w:val="center"/>
                </w:tcPr>
                <w:p>
                  <w:pPr>
                    <w:adjustRightInd w:val="0"/>
                    <w:snapToGrid w:val="0"/>
                    <w:rPr>
                      <w:szCs w:val="21"/>
                    </w:rPr>
                  </w:pPr>
                  <w:r>
                    <w:rPr>
                      <w:rFonts w:hint="eastAsia"/>
                      <w:szCs w:val="21"/>
                    </w:rPr>
                    <w:t>厂区建设1座砂石储料棚，全封闭钢结构，</w:t>
                  </w:r>
                  <w:r>
                    <w:rPr>
                      <w:szCs w:val="21"/>
                    </w:rPr>
                    <w:t>水泥硬化地面，</w:t>
                  </w:r>
                  <w:r>
                    <w:rPr>
                      <w:rFonts w:hint="eastAsia"/>
                      <w:szCs w:val="21"/>
                    </w:rPr>
                    <w:t>碎石、砂料库房内分区堆放，占地面积</w:t>
                  </w:r>
                  <w:r>
                    <w:rPr>
                      <w:szCs w:val="21"/>
                    </w:rPr>
                    <w:t>1750</w:t>
                  </w:r>
                  <w:r>
                    <w:rPr>
                      <w:rFonts w:hint="eastAsia"/>
                      <w:szCs w:val="21"/>
                    </w:rPr>
                    <w:t>m</w:t>
                  </w:r>
                  <w:r>
                    <w:rPr>
                      <w:rFonts w:hint="eastAsia"/>
                      <w:szCs w:val="21"/>
                      <w:vertAlign w:val="superscript"/>
                    </w:rPr>
                    <w:t>2</w:t>
                  </w:r>
                  <w:r>
                    <w:rPr>
                      <w:rFonts w:hint="eastAsia"/>
                      <w:szCs w:val="21"/>
                    </w:rPr>
                    <w:t>，高11m。</w:t>
                  </w:r>
                  <w:r>
                    <w:rPr>
                      <w:szCs w:val="21"/>
                    </w:rPr>
                    <w:t xml:space="preserve"> </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tcMar>
                    <w:left w:w="28" w:type="dxa"/>
                    <w:right w:w="28" w:type="dxa"/>
                  </w:tcMar>
                  <w:vAlign w:val="center"/>
                </w:tcPr>
                <w:p>
                  <w:pPr>
                    <w:widowControl/>
                    <w:adjustRightInd w:val="0"/>
                    <w:snapToGrid w:val="0"/>
                    <w:jc w:val="center"/>
                    <w:rPr>
                      <w:kern w:val="0"/>
                      <w:szCs w:val="21"/>
                    </w:rPr>
                  </w:pPr>
                  <w:r>
                    <w:rPr>
                      <w:rFonts w:hint="eastAsia"/>
                      <w:kern w:val="0"/>
                      <w:szCs w:val="21"/>
                    </w:rPr>
                    <w:t>砂石配料机</w:t>
                  </w:r>
                </w:p>
              </w:tc>
              <w:tc>
                <w:tcPr>
                  <w:tcW w:w="5061" w:type="dxa"/>
                  <w:tcMar>
                    <w:left w:w="28" w:type="dxa"/>
                    <w:right w:w="28" w:type="dxa"/>
                  </w:tcMar>
                  <w:vAlign w:val="center"/>
                </w:tcPr>
                <w:p>
                  <w:pPr>
                    <w:adjustRightInd w:val="0"/>
                    <w:snapToGrid w:val="0"/>
                    <w:rPr>
                      <w:szCs w:val="21"/>
                    </w:rPr>
                  </w:pPr>
                  <w:r>
                    <w:rPr>
                      <w:rFonts w:hint="eastAsia"/>
                      <w:szCs w:val="21"/>
                    </w:rPr>
                    <w:t>建有</w:t>
                  </w:r>
                  <w:r>
                    <w:rPr>
                      <w:szCs w:val="21"/>
                    </w:rPr>
                    <w:t>1</w:t>
                  </w:r>
                  <w:r>
                    <w:rPr>
                      <w:rFonts w:hint="eastAsia"/>
                      <w:szCs w:val="21"/>
                    </w:rPr>
                    <w:t>座封闭式配料机，设有四个骨料仓。</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tcMar>
                    <w:left w:w="28" w:type="dxa"/>
                    <w:right w:w="28" w:type="dxa"/>
                  </w:tcMar>
                  <w:vAlign w:val="center"/>
                </w:tcPr>
                <w:p>
                  <w:pPr>
                    <w:widowControl/>
                    <w:adjustRightInd w:val="0"/>
                    <w:snapToGrid w:val="0"/>
                    <w:jc w:val="center"/>
                    <w:rPr>
                      <w:kern w:val="0"/>
                      <w:szCs w:val="21"/>
                    </w:rPr>
                  </w:pPr>
                  <w:r>
                    <w:rPr>
                      <w:kern w:val="0"/>
                      <w:szCs w:val="21"/>
                    </w:rPr>
                    <w:t>水泥</w:t>
                  </w:r>
                  <w:r>
                    <w:rPr>
                      <w:rFonts w:hint="eastAsia"/>
                      <w:kern w:val="0"/>
                      <w:szCs w:val="21"/>
                    </w:rPr>
                    <w:t>、</w:t>
                  </w:r>
                  <w:r>
                    <w:rPr>
                      <w:kern w:val="0"/>
                      <w:szCs w:val="21"/>
                    </w:rPr>
                    <w:t>粉煤灰筒</w:t>
                  </w:r>
                  <w:r>
                    <w:rPr>
                      <w:rFonts w:hint="eastAsia"/>
                      <w:kern w:val="0"/>
                      <w:szCs w:val="21"/>
                    </w:rPr>
                    <w:t>料</w:t>
                  </w:r>
                  <w:r>
                    <w:rPr>
                      <w:kern w:val="0"/>
                      <w:szCs w:val="21"/>
                    </w:rPr>
                    <w:t>仓</w:t>
                  </w:r>
                </w:p>
              </w:tc>
              <w:tc>
                <w:tcPr>
                  <w:tcW w:w="5061" w:type="dxa"/>
                  <w:tcMar>
                    <w:left w:w="28" w:type="dxa"/>
                    <w:right w:w="28" w:type="dxa"/>
                  </w:tcMar>
                  <w:vAlign w:val="center"/>
                </w:tcPr>
                <w:p>
                  <w:pPr>
                    <w:adjustRightInd w:val="0"/>
                    <w:snapToGrid w:val="0"/>
                    <w:rPr>
                      <w:szCs w:val="21"/>
                    </w:rPr>
                  </w:pPr>
                  <w:r>
                    <w:rPr>
                      <w:rFonts w:hint="eastAsia"/>
                      <w:szCs w:val="21"/>
                    </w:rPr>
                    <w:t>水泥储存仓为</w:t>
                  </w:r>
                  <w:r>
                    <w:rPr>
                      <w:szCs w:val="21"/>
                    </w:rPr>
                    <w:t>2</w:t>
                  </w:r>
                  <w:r>
                    <w:rPr>
                      <w:rFonts w:hint="eastAsia"/>
                      <w:szCs w:val="21"/>
                    </w:rPr>
                    <w:t>个钢板圆筒仓，单个容量为</w:t>
                  </w:r>
                  <w:r>
                    <w:rPr>
                      <w:szCs w:val="21"/>
                    </w:rPr>
                    <w:t>1</w:t>
                  </w:r>
                  <w:r>
                    <w:rPr>
                      <w:rFonts w:hint="eastAsia"/>
                      <w:szCs w:val="21"/>
                    </w:rPr>
                    <w:t>00t；粉煤灰储存仓为2个钢板圆筒仓，容量为</w:t>
                  </w:r>
                  <w:r>
                    <w:rPr>
                      <w:szCs w:val="21"/>
                    </w:rPr>
                    <w:t>1</w:t>
                  </w:r>
                  <w:r>
                    <w:rPr>
                      <w:rFonts w:hint="eastAsia"/>
                      <w:szCs w:val="21"/>
                    </w:rPr>
                    <w:t>00t。</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tcMar>
                    <w:left w:w="28" w:type="dxa"/>
                    <w:right w:w="28" w:type="dxa"/>
                  </w:tcMar>
                  <w:vAlign w:val="center"/>
                </w:tcPr>
                <w:p>
                  <w:pPr>
                    <w:widowControl/>
                    <w:adjustRightInd w:val="0"/>
                    <w:snapToGrid w:val="0"/>
                    <w:jc w:val="center"/>
                    <w:rPr>
                      <w:kern w:val="0"/>
                      <w:szCs w:val="21"/>
                    </w:rPr>
                  </w:pPr>
                  <w:r>
                    <w:rPr>
                      <w:kern w:val="0"/>
                      <w:szCs w:val="21"/>
                    </w:rPr>
                    <w:t>添加剂</w:t>
                  </w:r>
                  <w:r>
                    <w:rPr>
                      <w:rFonts w:hint="eastAsia"/>
                      <w:kern w:val="0"/>
                      <w:szCs w:val="21"/>
                    </w:rPr>
                    <w:t>罐</w:t>
                  </w:r>
                </w:p>
              </w:tc>
              <w:tc>
                <w:tcPr>
                  <w:tcW w:w="5061" w:type="dxa"/>
                  <w:tcMar>
                    <w:left w:w="28" w:type="dxa"/>
                    <w:right w:w="28" w:type="dxa"/>
                  </w:tcMar>
                  <w:vAlign w:val="center"/>
                </w:tcPr>
                <w:p>
                  <w:pPr>
                    <w:adjustRightInd w:val="0"/>
                    <w:snapToGrid w:val="0"/>
                    <w:rPr>
                      <w:szCs w:val="21"/>
                    </w:rPr>
                  </w:pPr>
                  <w:r>
                    <w:rPr>
                      <w:szCs w:val="21"/>
                    </w:rPr>
                    <w:t>添加剂为液体，设置</w:t>
                  </w:r>
                  <w:r>
                    <w:rPr>
                      <w:rFonts w:hint="eastAsia"/>
                      <w:szCs w:val="21"/>
                    </w:rPr>
                    <w:t>2</w:t>
                  </w:r>
                  <w:r>
                    <w:rPr>
                      <w:szCs w:val="21"/>
                    </w:rPr>
                    <w:t>个添加剂罐，单个容量为</w:t>
                  </w:r>
                  <w:r>
                    <w:rPr>
                      <w:rFonts w:hint="eastAsia"/>
                      <w:szCs w:val="21"/>
                    </w:rPr>
                    <w:t>10</w:t>
                  </w:r>
                  <w:r>
                    <w:rPr>
                      <w:szCs w:val="21"/>
                    </w:rPr>
                    <w:t>t</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tcMar>
                    <w:left w:w="28" w:type="dxa"/>
                    <w:right w:w="28" w:type="dxa"/>
                  </w:tcMar>
                  <w:vAlign w:val="center"/>
                </w:tcPr>
                <w:p>
                  <w:pPr>
                    <w:widowControl/>
                    <w:adjustRightInd w:val="0"/>
                    <w:snapToGrid w:val="0"/>
                    <w:jc w:val="center"/>
                    <w:rPr>
                      <w:kern w:val="0"/>
                      <w:szCs w:val="21"/>
                    </w:rPr>
                  </w:pPr>
                  <w:r>
                    <w:rPr>
                      <w:rFonts w:hint="eastAsia"/>
                      <w:kern w:val="0"/>
                      <w:szCs w:val="21"/>
                    </w:rPr>
                    <w:t>输送带</w:t>
                  </w:r>
                </w:p>
              </w:tc>
              <w:tc>
                <w:tcPr>
                  <w:tcW w:w="5061" w:type="dxa"/>
                  <w:tcMar>
                    <w:left w:w="28" w:type="dxa"/>
                    <w:right w:w="28" w:type="dxa"/>
                  </w:tcMar>
                  <w:vAlign w:val="center"/>
                </w:tcPr>
                <w:p>
                  <w:pPr>
                    <w:adjustRightInd w:val="0"/>
                    <w:snapToGrid w:val="0"/>
                    <w:rPr>
                      <w:szCs w:val="21"/>
                    </w:rPr>
                  </w:pPr>
                  <w:r>
                    <w:rPr>
                      <w:rFonts w:hint="eastAsia"/>
                      <w:szCs w:val="21"/>
                    </w:rPr>
                    <w:t>厂区设置</w:t>
                  </w:r>
                  <w:r>
                    <w:rPr>
                      <w:szCs w:val="21"/>
                    </w:rPr>
                    <w:t>19</w:t>
                  </w:r>
                  <w:r>
                    <w:rPr>
                      <w:rFonts w:hint="eastAsia"/>
                      <w:szCs w:val="21"/>
                    </w:rPr>
                    <w:t>m全封闭式输送带。</w:t>
                  </w:r>
                  <w:r>
                    <w:rPr>
                      <w:bCs/>
                      <w:szCs w:val="21"/>
                    </w:rPr>
                    <w:t>砂石原料利用装载机由砂石原料库运至上料仓，项目砂、石提升以输送带输送方式完成，出料口密闭接入搅拌站</w:t>
                  </w:r>
                  <w:r>
                    <w:rPr>
                      <w:rFonts w:hint="eastAsia"/>
                      <w:bCs/>
                      <w:szCs w:val="21"/>
                    </w:rPr>
                    <w:t>。</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tcMar>
                    <w:left w:w="28" w:type="dxa"/>
                    <w:right w:w="28" w:type="dxa"/>
                  </w:tcMar>
                  <w:vAlign w:val="center"/>
                </w:tcPr>
                <w:p>
                  <w:pPr>
                    <w:adjustRightInd w:val="0"/>
                    <w:snapToGrid w:val="0"/>
                    <w:jc w:val="center"/>
                    <w:rPr>
                      <w:szCs w:val="21"/>
                    </w:rPr>
                  </w:pPr>
                  <w:r>
                    <w:rPr>
                      <w:szCs w:val="21"/>
                    </w:rPr>
                    <w:t>辅助工程</w:t>
                  </w:r>
                </w:p>
              </w:tc>
              <w:tc>
                <w:tcPr>
                  <w:tcW w:w="1271" w:type="dxa"/>
                  <w:tcBorders>
                    <w:top w:val="single" w:color="auto" w:sz="4" w:space="0"/>
                  </w:tcBorders>
                  <w:tcMar>
                    <w:left w:w="28" w:type="dxa"/>
                    <w:right w:w="28" w:type="dxa"/>
                  </w:tcMar>
                  <w:vAlign w:val="center"/>
                </w:tcPr>
                <w:p>
                  <w:pPr>
                    <w:adjustRightInd w:val="0"/>
                    <w:snapToGrid w:val="0"/>
                    <w:jc w:val="center"/>
                    <w:rPr>
                      <w:kern w:val="0"/>
                      <w:szCs w:val="21"/>
                    </w:rPr>
                  </w:pPr>
                  <w:r>
                    <w:rPr>
                      <w:kern w:val="0"/>
                      <w:szCs w:val="21"/>
                    </w:rPr>
                    <w:t>办公</w:t>
                  </w:r>
                  <w:r>
                    <w:rPr>
                      <w:rFonts w:hint="eastAsia"/>
                      <w:kern w:val="0"/>
                      <w:szCs w:val="21"/>
                    </w:rPr>
                    <w:t>区</w:t>
                  </w:r>
                </w:p>
              </w:tc>
              <w:tc>
                <w:tcPr>
                  <w:tcW w:w="5061" w:type="dxa"/>
                  <w:tcBorders>
                    <w:top w:val="single" w:color="auto" w:sz="4" w:space="0"/>
                  </w:tcBorders>
                  <w:tcMar>
                    <w:left w:w="28" w:type="dxa"/>
                    <w:right w:w="28" w:type="dxa"/>
                  </w:tcMar>
                  <w:vAlign w:val="center"/>
                </w:tcPr>
                <w:p>
                  <w:pPr>
                    <w:adjustRightInd w:val="0"/>
                    <w:snapToGrid w:val="0"/>
                    <w:rPr>
                      <w:szCs w:val="21"/>
                    </w:rPr>
                  </w:pPr>
                  <w:r>
                    <w:rPr>
                      <w:rFonts w:hint="eastAsia"/>
                      <w:szCs w:val="21"/>
                    </w:rPr>
                    <w:t>位于厂区中部，建筑面积</w:t>
                  </w:r>
                  <w:r>
                    <w:rPr>
                      <w:szCs w:val="21"/>
                    </w:rPr>
                    <w:t>722m</w:t>
                  </w:r>
                  <w:r>
                    <w:rPr>
                      <w:szCs w:val="21"/>
                      <w:vertAlign w:val="superscript"/>
                    </w:rPr>
                    <w:t>2</w:t>
                  </w:r>
                  <w:r>
                    <w:rPr>
                      <w:szCs w:val="21"/>
                    </w:rPr>
                    <w:t>，</w:t>
                  </w:r>
                  <w:r>
                    <w:rPr>
                      <w:rFonts w:hint="eastAsia"/>
                      <w:szCs w:val="21"/>
                    </w:rPr>
                    <w:t>砖混</w:t>
                  </w:r>
                  <w:r>
                    <w:rPr>
                      <w:szCs w:val="21"/>
                    </w:rPr>
                    <w:t>结构</w:t>
                  </w:r>
                  <w:r>
                    <w:rPr>
                      <w:rFonts w:hint="eastAsia"/>
                      <w:szCs w:val="21"/>
                    </w:rPr>
                    <w:t>，内设操作室、办公室。</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restart"/>
                  <w:tcMar>
                    <w:left w:w="28" w:type="dxa"/>
                    <w:right w:w="28" w:type="dxa"/>
                  </w:tcMar>
                  <w:vAlign w:val="center"/>
                </w:tcPr>
                <w:p>
                  <w:pPr>
                    <w:adjustRightInd w:val="0"/>
                    <w:snapToGrid w:val="0"/>
                    <w:jc w:val="center"/>
                    <w:rPr>
                      <w:szCs w:val="21"/>
                    </w:rPr>
                  </w:pPr>
                  <w:r>
                    <w:rPr>
                      <w:szCs w:val="21"/>
                    </w:rPr>
                    <w:t>公用</w:t>
                  </w:r>
                </w:p>
                <w:p>
                  <w:pPr>
                    <w:adjustRightInd w:val="0"/>
                    <w:snapToGrid w:val="0"/>
                    <w:jc w:val="center"/>
                    <w:rPr>
                      <w:szCs w:val="21"/>
                    </w:rPr>
                  </w:pPr>
                  <w:r>
                    <w:rPr>
                      <w:szCs w:val="21"/>
                    </w:rPr>
                    <w:t>工程</w:t>
                  </w:r>
                </w:p>
              </w:tc>
              <w:tc>
                <w:tcPr>
                  <w:tcW w:w="1271" w:type="dxa"/>
                  <w:tcMar>
                    <w:left w:w="28" w:type="dxa"/>
                    <w:right w:w="28" w:type="dxa"/>
                  </w:tcMar>
                  <w:vAlign w:val="center"/>
                </w:tcPr>
                <w:p>
                  <w:pPr>
                    <w:adjustRightInd w:val="0"/>
                    <w:snapToGrid w:val="0"/>
                    <w:jc w:val="center"/>
                    <w:rPr>
                      <w:szCs w:val="21"/>
                    </w:rPr>
                  </w:pPr>
                  <w:r>
                    <w:rPr>
                      <w:szCs w:val="21"/>
                    </w:rPr>
                    <w:t>给水工程</w:t>
                  </w:r>
                </w:p>
              </w:tc>
              <w:tc>
                <w:tcPr>
                  <w:tcW w:w="5061" w:type="dxa"/>
                  <w:tcMar>
                    <w:left w:w="28" w:type="dxa"/>
                    <w:right w:w="28" w:type="dxa"/>
                  </w:tcMar>
                  <w:vAlign w:val="center"/>
                </w:tcPr>
                <w:p>
                  <w:pPr>
                    <w:adjustRightInd w:val="0"/>
                    <w:snapToGrid w:val="0"/>
                    <w:rPr>
                      <w:szCs w:val="21"/>
                    </w:rPr>
                  </w:pPr>
                  <w:r>
                    <w:rPr>
                      <w:szCs w:val="21"/>
                    </w:rPr>
                    <w:t>生活用水拉运</w:t>
                  </w:r>
                  <w:r>
                    <w:rPr>
                      <w:rFonts w:hint="eastAsia"/>
                      <w:bCs/>
                      <w:szCs w:val="21"/>
                    </w:rPr>
                    <w:t>高勒庙村</w:t>
                  </w:r>
                  <w:r>
                    <w:rPr>
                      <w:szCs w:val="21"/>
                    </w:rPr>
                    <w:t>井水。</w:t>
                  </w:r>
                </w:p>
                <w:p>
                  <w:pPr>
                    <w:adjustRightInd w:val="0"/>
                    <w:snapToGrid w:val="0"/>
                    <w:rPr>
                      <w:szCs w:val="21"/>
                    </w:rPr>
                  </w:pPr>
                  <w:r>
                    <w:rPr>
                      <w:szCs w:val="21"/>
                    </w:rPr>
                    <w:t>生产用水</w:t>
                  </w:r>
                  <w:r>
                    <w:rPr>
                      <w:rFonts w:hint="eastAsia"/>
                      <w:szCs w:val="21"/>
                    </w:rPr>
                    <w:t>为札萨克镇台格办事处污水处理厂经过处理产生的中水</w:t>
                  </w:r>
                  <w:r>
                    <w:rPr>
                      <w:szCs w:val="21"/>
                    </w:rPr>
                    <w:t>。</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tcMar>
                    <w:left w:w="28" w:type="dxa"/>
                    <w:right w:w="28" w:type="dxa"/>
                  </w:tcMar>
                  <w:vAlign w:val="center"/>
                </w:tcPr>
                <w:p>
                  <w:pPr>
                    <w:adjustRightInd w:val="0"/>
                    <w:snapToGrid w:val="0"/>
                    <w:jc w:val="center"/>
                    <w:rPr>
                      <w:szCs w:val="21"/>
                    </w:rPr>
                  </w:pPr>
                  <w:r>
                    <w:rPr>
                      <w:szCs w:val="21"/>
                    </w:rPr>
                    <w:t>排水工程</w:t>
                  </w:r>
                </w:p>
              </w:tc>
              <w:tc>
                <w:tcPr>
                  <w:tcW w:w="5061" w:type="dxa"/>
                  <w:tcMar>
                    <w:left w:w="28" w:type="dxa"/>
                    <w:right w:w="28" w:type="dxa"/>
                  </w:tcMar>
                  <w:vAlign w:val="center"/>
                </w:tcPr>
                <w:p>
                  <w:pPr>
                    <w:adjustRightInd w:val="0"/>
                    <w:snapToGrid w:val="0"/>
                    <w:rPr>
                      <w:szCs w:val="21"/>
                    </w:rPr>
                  </w:pPr>
                  <w:r>
                    <w:rPr>
                      <w:rFonts w:hint="eastAsia"/>
                      <w:szCs w:val="21"/>
                    </w:rPr>
                    <w:t>本项目生活污水经化粪池收集后，定期拉运至札萨克镇台格办事处污水处理厂处理；生产废水循环使用，无外排。</w:t>
                  </w:r>
                </w:p>
              </w:tc>
              <w:tc>
                <w:tcPr>
                  <w:tcW w:w="1040" w:type="dxa"/>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tcMar>
                    <w:left w:w="28" w:type="dxa"/>
                    <w:right w:w="28" w:type="dxa"/>
                  </w:tcMar>
                  <w:vAlign w:val="center"/>
                </w:tcPr>
                <w:p>
                  <w:pPr>
                    <w:adjustRightInd w:val="0"/>
                    <w:snapToGrid w:val="0"/>
                    <w:jc w:val="center"/>
                    <w:rPr>
                      <w:szCs w:val="21"/>
                    </w:rPr>
                  </w:pPr>
                  <w:r>
                    <w:rPr>
                      <w:szCs w:val="21"/>
                    </w:rPr>
                    <w:t>供电工程</w:t>
                  </w:r>
                </w:p>
              </w:tc>
              <w:tc>
                <w:tcPr>
                  <w:tcW w:w="5061" w:type="dxa"/>
                  <w:tcMar>
                    <w:left w:w="28" w:type="dxa"/>
                    <w:right w:w="28" w:type="dxa"/>
                  </w:tcMar>
                  <w:vAlign w:val="center"/>
                </w:tcPr>
                <w:p>
                  <w:pPr>
                    <w:adjustRightInd w:val="0"/>
                    <w:snapToGrid w:val="0"/>
                    <w:rPr>
                      <w:szCs w:val="21"/>
                    </w:rPr>
                  </w:pPr>
                  <w:r>
                    <w:rPr>
                      <w:szCs w:val="21"/>
                    </w:rPr>
                    <w:t>由</w:t>
                  </w:r>
                  <w:r>
                    <w:rPr>
                      <w:rFonts w:hint="eastAsia"/>
                      <w:szCs w:val="21"/>
                    </w:rPr>
                    <w:t>当地电网供给。</w:t>
                  </w:r>
                </w:p>
              </w:tc>
              <w:tc>
                <w:tcPr>
                  <w:tcW w:w="1040" w:type="dxa"/>
                  <w:vAlign w:val="center"/>
                </w:tcPr>
                <w:p>
                  <w:pPr>
                    <w:adjustRightInd w:val="0"/>
                    <w:snapToGrid w:val="0"/>
                    <w:jc w:val="center"/>
                    <w:rPr>
                      <w:szCs w:val="21"/>
                    </w:rPr>
                  </w:pPr>
                  <w:r>
                    <w:rPr>
                      <w:rFonts w:hint="eastAsia"/>
                      <w:szCs w:val="21"/>
                    </w:rPr>
                    <w:t>-</w:t>
                  </w:r>
                  <w:r>
                    <w:rPr>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tcMar>
                    <w:left w:w="28" w:type="dxa"/>
                    <w:right w:w="28" w:type="dxa"/>
                  </w:tcMar>
                  <w:vAlign w:val="center"/>
                </w:tcPr>
                <w:p>
                  <w:pPr>
                    <w:adjustRightInd w:val="0"/>
                    <w:snapToGrid w:val="0"/>
                    <w:jc w:val="center"/>
                    <w:rPr>
                      <w:szCs w:val="21"/>
                    </w:rPr>
                  </w:pPr>
                  <w:r>
                    <w:rPr>
                      <w:szCs w:val="21"/>
                    </w:rPr>
                    <w:t>供暖工程</w:t>
                  </w:r>
                </w:p>
              </w:tc>
              <w:tc>
                <w:tcPr>
                  <w:tcW w:w="5061" w:type="dxa"/>
                  <w:tcMar>
                    <w:left w:w="28" w:type="dxa"/>
                    <w:right w:w="28" w:type="dxa"/>
                  </w:tcMar>
                  <w:vAlign w:val="center"/>
                </w:tcPr>
                <w:p>
                  <w:pPr>
                    <w:adjustRightInd w:val="0"/>
                    <w:snapToGrid w:val="0"/>
                    <w:rPr>
                      <w:szCs w:val="21"/>
                    </w:rPr>
                  </w:pPr>
                  <w:r>
                    <w:rPr>
                      <w:szCs w:val="21"/>
                    </w:rPr>
                    <w:t>冬季不生产，无需取暖</w:t>
                  </w:r>
                  <w:r>
                    <w:rPr>
                      <w:rFonts w:hint="eastAsia"/>
                      <w:szCs w:val="21"/>
                    </w:rPr>
                    <w:t>。</w:t>
                  </w:r>
                </w:p>
              </w:tc>
              <w:tc>
                <w:tcPr>
                  <w:tcW w:w="1040" w:type="dxa"/>
                  <w:vAlign w:val="center"/>
                </w:tcPr>
                <w:p>
                  <w:pPr>
                    <w:adjustRightInd w:val="0"/>
                    <w:snapToGrid w:val="0"/>
                    <w:jc w:val="center"/>
                    <w:rPr>
                      <w:szCs w:val="21"/>
                    </w:rPr>
                  </w:pPr>
                  <w:r>
                    <w:rPr>
                      <w:rFonts w:hint="eastAsia"/>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restart"/>
                  <w:tcMar>
                    <w:left w:w="28" w:type="dxa"/>
                    <w:right w:w="28" w:type="dxa"/>
                  </w:tcMar>
                  <w:vAlign w:val="center"/>
                </w:tcPr>
                <w:p>
                  <w:pPr>
                    <w:adjustRightInd w:val="0"/>
                    <w:snapToGrid w:val="0"/>
                    <w:jc w:val="center"/>
                    <w:rPr>
                      <w:szCs w:val="21"/>
                    </w:rPr>
                  </w:pPr>
                  <w:r>
                    <w:rPr>
                      <w:szCs w:val="21"/>
                    </w:rPr>
                    <w:t>环保</w:t>
                  </w:r>
                </w:p>
                <w:p>
                  <w:pPr>
                    <w:adjustRightInd w:val="0"/>
                    <w:snapToGrid w:val="0"/>
                    <w:jc w:val="center"/>
                    <w:rPr>
                      <w:szCs w:val="21"/>
                    </w:rPr>
                  </w:pPr>
                  <w:r>
                    <w:rPr>
                      <w:szCs w:val="21"/>
                    </w:rPr>
                    <w:t>工程</w:t>
                  </w:r>
                </w:p>
              </w:tc>
              <w:tc>
                <w:tcPr>
                  <w:tcW w:w="1271" w:type="dxa"/>
                  <w:vMerge w:val="restart"/>
                  <w:tcMar>
                    <w:left w:w="28" w:type="dxa"/>
                    <w:right w:w="28" w:type="dxa"/>
                  </w:tcMar>
                  <w:vAlign w:val="center"/>
                </w:tcPr>
                <w:p>
                  <w:pPr>
                    <w:adjustRightInd w:val="0"/>
                    <w:snapToGrid w:val="0"/>
                    <w:jc w:val="center"/>
                    <w:rPr>
                      <w:szCs w:val="21"/>
                    </w:rPr>
                  </w:pPr>
                  <w:r>
                    <w:rPr>
                      <w:szCs w:val="21"/>
                    </w:rPr>
                    <w:t>废气</w:t>
                  </w:r>
                </w:p>
              </w:tc>
              <w:tc>
                <w:tcPr>
                  <w:tcW w:w="5061" w:type="dxa"/>
                  <w:tcMar>
                    <w:left w:w="28" w:type="dxa"/>
                    <w:right w:w="28" w:type="dxa"/>
                  </w:tcMar>
                  <w:vAlign w:val="center"/>
                </w:tcPr>
                <w:p>
                  <w:pPr>
                    <w:adjustRightInd w:val="0"/>
                    <w:snapToGrid w:val="0"/>
                    <w:rPr>
                      <w:szCs w:val="21"/>
                    </w:rPr>
                  </w:pPr>
                  <w:r>
                    <w:rPr>
                      <w:rFonts w:hint="eastAsia" w:ascii="宋体" w:hAnsi="宋体"/>
                      <w:szCs w:val="21"/>
                    </w:rPr>
                    <w:t>砂石储料棚装卸堆存粉尘：</w:t>
                  </w:r>
                  <w:r>
                    <w:rPr>
                      <w:rFonts w:hint="eastAsia"/>
                      <w:szCs w:val="21"/>
                    </w:rPr>
                    <w:t>碎石</w:t>
                  </w:r>
                  <w:r>
                    <w:rPr>
                      <w:szCs w:val="21"/>
                    </w:rPr>
                    <w:t>和砂</w:t>
                  </w:r>
                  <w:r>
                    <w:rPr>
                      <w:rFonts w:hint="eastAsia"/>
                      <w:szCs w:val="21"/>
                    </w:rPr>
                    <w:t>子</w:t>
                  </w:r>
                  <w:r>
                    <w:rPr>
                      <w:szCs w:val="21"/>
                    </w:rPr>
                    <w:t>采用封闭</w:t>
                  </w:r>
                  <w:r>
                    <w:rPr>
                      <w:rFonts w:hint="eastAsia"/>
                      <w:szCs w:val="21"/>
                    </w:rPr>
                    <w:t>储料库</w:t>
                  </w:r>
                  <w:r>
                    <w:rPr>
                      <w:szCs w:val="21"/>
                    </w:rPr>
                    <w:t>储存，</w:t>
                  </w:r>
                  <w:r>
                    <w:rPr>
                      <w:rFonts w:hint="eastAsia"/>
                      <w:szCs w:val="21"/>
                    </w:rPr>
                    <w:t>砂石堆放区上方设置喷淋设施，</w:t>
                  </w:r>
                  <w:r>
                    <w:rPr>
                      <w:rFonts w:hint="eastAsia"/>
                      <w:bCs/>
                      <w:szCs w:val="21"/>
                    </w:rPr>
                    <w:t>原料装卸过程尽量减小卸料落差，输料采用</w:t>
                  </w:r>
                  <w:r>
                    <w:rPr>
                      <w:rFonts w:hint="eastAsia"/>
                      <w:szCs w:val="21"/>
                    </w:rPr>
                    <w:t>全封闭输送带；储料库四周</w:t>
                  </w:r>
                  <w:r>
                    <w:rPr>
                      <w:szCs w:val="21"/>
                    </w:rPr>
                    <w:t>地面硬化</w:t>
                  </w:r>
                  <w:r>
                    <w:rPr>
                      <w:rFonts w:hint="eastAsia"/>
                      <w:szCs w:val="21"/>
                    </w:rPr>
                    <w:t>。</w:t>
                  </w:r>
                </w:p>
              </w:tc>
              <w:tc>
                <w:tcPr>
                  <w:tcW w:w="1040" w:type="dxa"/>
                  <w:vMerge w:val="restart"/>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continue"/>
                  <w:tcMar>
                    <w:left w:w="28" w:type="dxa"/>
                    <w:right w:w="28" w:type="dxa"/>
                  </w:tcMar>
                  <w:vAlign w:val="center"/>
                </w:tcPr>
                <w:p>
                  <w:pPr>
                    <w:adjustRightInd w:val="0"/>
                    <w:snapToGrid w:val="0"/>
                    <w:jc w:val="center"/>
                    <w:rPr>
                      <w:szCs w:val="21"/>
                    </w:rPr>
                  </w:pPr>
                </w:p>
              </w:tc>
              <w:tc>
                <w:tcPr>
                  <w:tcW w:w="5061" w:type="dxa"/>
                  <w:tcMar>
                    <w:left w:w="28" w:type="dxa"/>
                    <w:right w:w="28" w:type="dxa"/>
                  </w:tcMar>
                  <w:vAlign w:val="center"/>
                </w:tcPr>
                <w:p>
                  <w:pPr>
                    <w:adjustRightInd w:val="0"/>
                    <w:snapToGrid w:val="0"/>
                    <w:rPr>
                      <w:szCs w:val="21"/>
                    </w:rPr>
                  </w:pPr>
                  <w:r>
                    <w:rPr>
                      <w:rFonts w:hint="eastAsia" w:ascii="宋体" w:hAnsi="宋体"/>
                      <w:bCs/>
                      <w:szCs w:val="21"/>
                    </w:rPr>
                    <w:t>物料输送粉尘</w:t>
                  </w:r>
                  <w:r>
                    <w:rPr>
                      <w:rFonts w:hint="eastAsia" w:ascii="宋体" w:hAnsi="宋体"/>
                      <w:szCs w:val="21"/>
                    </w:rPr>
                    <w:t>：输送带密闭、上料仓密闭，上料仓顶部设置洒水抑尘装置。</w:t>
                  </w:r>
                  <w:r>
                    <w:rPr>
                      <w:szCs w:val="21"/>
                    </w:rPr>
                    <w:t>水泥、粉煤灰</w:t>
                  </w:r>
                  <w:r>
                    <w:rPr>
                      <w:rFonts w:hint="eastAsia"/>
                      <w:szCs w:val="21"/>
                    </w:rPr>
                    <w:t>等</w:t>
                  </w:r>
                  <w:r>
                    <w:rPr>
                      <w:szCs w:val="21"/>
                    </w:rPr>
                    <w:t>粉筒仓</w:t>
                  </w:r>
                  <w:r>
                    <w:rPr>
                      <w:rFonts w:hint="eastAsia"/>
                      <w:szCs w:val="21"/>
                    </w:rPr>
                    <w:t>为</w:t>
                  </w:r>
                  <w:r>
                    <w:rPr>
                      <w:szCs w:val="21"/>
                    </w:rPr>
                    <w:t>全封闭筒仓</w:t>
                  </w:r>
                  <w:r>
                    <w:rPr>
                      <w:rFonts w:hint="eastAsia"/>
                      <w:szCs w:val="21"/>
                    </w:rPr>
                    <w:t>，</w:t>
                  </w:r>
                  <w:r>
                    <w:rPr>
                      <w:szCs w:val="21"/>
                    </w:rPr>
                    <w:t>筒仓顶部</w:t>
                  </w:r>
                  <w:r>
                    <w:rPr>
                      <w:rFonts w:hint="eastAsia"/>
                      <w:szCs w:val="21"/>
                    </w:rPr>
                    <w:t>配有</w:t>
                  </w:r>
                  <w:r>
                    <w:rPr>
                      <w:szCs w:val="21"/>
                    </w:rPr>
                    <w:t>仓顶除尘器（共</w:t>
                  </w:r>
                  <w:r>
                    <w:rPr>
                      <w:rFonts w:hint="eastAsia"/>
                      <w:szCs w:val="21"/>
                    </w:rPr>
                    <w:t>4</w:t>
                  </w:r>
                  <w:r>
                    <w:rPr>
                      <w:szCs w:val="21"/>
                    </w:rPr>
                    <w:t>套）</w:t>
                  </w:r>
                  <w:r>
                    <w:rPr>
                      <w:rFonts w:hint="eastAsia"/>
                      <w:szCs w:val="21"/>
                    </w:rPr>
                    <w:t>，处理后经</w:t>
                  </w:r>
                  <w:r>
                    <w:rPr>
                      <w:szCs w:val="21"/>
                    </w:rPr>
                    <w:t>仓顶除尘器</w:t>
                  </w:r>
                  <w:r>
                    <w:rPr>
                      <w:rFonts w:hint="eastAsia"/>
                      <w:szCs w:val="21"/>
                    </w:rPr>
                    <w:t>排气筒排放。</w:t>
                  </w:r>
                </w:p>
              </w:tc>
              <w:tc>
                <w:tcPr>
                  <w:tcW w:w="1040" w:type="dxa"/>
                  <w:vMerge w:val="continue"/>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continue"/>
                  <w:tcMar>
                    <w:left w:w="28" w:type="dxa"/>
                    <w:right w:w="28" w:type="dxa"/>
                  </w:tcMar>
                  <w:vAlign w:val="center"/>
                </w:tcPr>
                <w:p>
                  <w:pPr>
                    <w:adjustRightInd w:val="0"/>
                    <w:snapToGrid w:val="0"/>
                    <w:jc w:val="center"/>
                    <w:rPr>
                      <w:szCs w:val="21"/>
                    </w:rPr>
                  </w:pPr>
                </w:p>
              </w:tc>
              <w:tc>
                <w:tcPr>
                  <w:tcW w:w="5061" w:type="dxa"/>
                  <w:tcMar>
                    <w:left w:w="28" w:type="dxa"/>
                    <w:right w:w="28" w:type="dxa"/>
                  </w:tcMar>
                  <w:vAlign w:val="center"/>
                </w:tcPr>
                <w:p>
                  <w:pPr>
                    <w:adjustRightInd w:val="0"/>
                    <w:snapToGrid w:val="0"/>
                    <w:rPr>
                      <w:szCs w:val="21"/>
                    </w:rPr>
                  </w:pPr>
                  <w:r>
                    <w:rPr>
                      <w:rFonts w:hint="eastAsia" w:ascii="宋体" w:hAnsi="宋体"/>
                      <w:szCs w:val="21"/>
                    </w:rPr>
                    <w:t>搅拌机入料口粉尘：</w:t>
                  </w:r>
                  <w:r>
                    <w:rPr>
                      <w:rFonts w:hint="eastAsia"/>
                      <w:szCs w:val="21"/>
                    </w:rPr>
                    <w:t>混凝土</w:t>
                  </w:r>
                  <w:r>
                    <w:rPr>
                      <w:szCs w:val="21"/>
                    </w:rPr>
                    <w:t>搅拌</w:t>
                  </w:r>
                  <w:r>
                    <w:rPr>
                      <w:rFonts w:hint="eastAsia"/>
                      <w:szCs w:val="21"/>
                    </w:rPr>
                    <w:t>站设备</w:t>
                  </w:r>
                  <w:r>
                    <w:rPr>
                      <w:szCs w:val="21"/>
                    </w:rPr>
                    <w:t>全封闭</w:t>
                  </w:r>
                  <w:r>
                    <w:rPr>
                      <w:rFonts w:hint="eastAsia"/>
                      <w:szCs w:val="21"/>
                    </w:rPr>
                    <w:t>，</w:t>
                  </w:r>
                  <w:r>
                    <w:rPr>
                      <w:szCs w:val="21"/>
                    </w:rPr>
                    <w:t>搅拌机</w:t>
                  </w:r>
                  <w:r>
                    <w:rPr>
                      <w:rFonts w:hint="eastAsia"/>
                      <w:szCs w:val="21"/>
                    </w:rPr>
                    <w:t>配有一套</w:t>
                  </w:r>
                  <w:r>
                    <w:rPr>
                      <w:szCs w:val="21"/>
                    </w:rPr>
                    <w:t>脉冲布袋除尘器</w:t>
                  </w:r>
                  <w:r>
                    <w:rPr>
                      <w:rFonts w:hint="eastAsia"/>
                      <w:szCs w:val="21"/>
                    </w:rPr>
                    <w:t>，除尘器直接安装在缓存斗盖上，缓存斗盖与搅拌机为封闭状态，经除尘器排气口无组织排放；</w:t>
                  </w:r>
                  <w:r>
                    <w:rPr>
                      <w:szCs w:val="21"/>
                    </w:rPr>
                    <w:t>输送带和搅拌主机之间用帆布软连接</w:t>
                  </w:r>
                  <w:r>
                    <w:rPr>
                      <w:rFonts w:hint="eastAsia"/>
                      <w:szCs w:val="21"/>
                    </w:rPr>
                    <w:t>。</w:t>
                  </w:r>
                </w:p>
              </w:tc>
              <w:tc>
                <w:tcPr>
                  <w:tcW w:w="1040" w:type="dxa"/>
                  <w:vMerge w:val="continue"/>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continue"/>
                  <w:tcMar>
                    <w:left w:w="28" w:type="dxa"/>
                    <w:right w:w="28" w:type="dxa"/>
                  </w:tcMar>
                  <w:vAlign w:val="center"/>
                </w:tcPr>
                <w:p>
                  <w:pPr>
                    <w:adjustRightInd w:val="0"/>
                    <w:snapToGrid w:val="0"/>
                    <w:jc w:val="center"/>
                    <w:rPr>
                      <w:szCs w:val="21"/>
                    </w:rPr>
                  </w:pPr>
                </w:p>
              </w:tc>
              <w:tc>
                <w:tcPr>
                  <w:tcW w:w="5061" w:type="dxa"/>
                  <w:tcMar>
                    <w:left w:w="28" w:type="dxa"/>
                    <w:right w:w="28" w:type="dxa"/>
                  </w:tcMar>
                  <w:vAlign w:val="center"/>
                </w:tcPr>
                <w:p>
                  <w:pPr>
                    <w:adjustRightInd w:val="0"/>
                    <w:snapToGrid w:val="0"/>
                    <w:rPr>
                      <w:szCs w:val="21"/>
                    </w:rPr>
                  </w:pPr>
                  <w:r>
                    <w:rPr>
                      <w:rFonts w:hint="eastAsia" w:ascii="宋体" w:hAnsi="宋体"/>
                      <w:szCs w:val="21"/>
                    </w:rPr>
                    <w:t>运输车辆动力起尘：</w:t>
                  </w:r>
                  <w:r>
                    <w:rPr>
                      <w:szCs w:val="21"/>
                    </w:rPr>
                    <w:t>厂区道路</w:t>
                  </w:r>
                  <w:r>
                    <w:rPr>
                      <w:rFonts w:hint="eastAsia"/>
                      <w:szCs w:val="21"/>
                    </w:rPr>
                    <w:t>、停车场及其他地面</w:t>
                  </w:r>
                  <w:r>
                    <w:rPr>
                      <w:szCs w:val="21"/>
                    </w:rPr>
                    <w:t>硬化绿化</w:t>
                  </w:r>
                  <w:r>
                    <w:rPr>
                      <w:rFonts w:hint="eastAsia"/>
                      <w:szCs w:val="21"/>
                    </w:rPr>
                    <w:t>，</w:t>
                  </w:r>
                  <w:r>
                    <w:rPr>
                      <w:szCs w:val="21"/>
                    </w:rPr>
                    <w:t>定时洒水</w:t>
                  </w:r>
                  <w:r>
                    <w:rPr>
                      <w:rFonts w:hint="eastAsia"/>
                      <w:szCs w:val="21"/>
                    </w:rPr>
                    <w:t>；</w:t>
                  </w:r>
                  <w:r>
                    <w:rPr>
                      <w:szCs w:val="21"/>
                    </w:rPr>
                    <w:t>降低车辆运输速度</w:t>
                  </w:r>
                  <w:r>
                    <w:rPr>
                      <w:rFonts w:hint="eastAsia"/>
                      <w:szCs w:val="21"/>
                    </w:rPr>
                    <w:t>；并配备高压水枪设备对驶出车辆进行冲洗清洁；厂区有保洁人员及时对散落的物料进行清扫收集。</w:t>
                  </w:r>
                </w:p>
              </w:tc>
              <w:tc>
                <w:tcPr>
                  <w:tcW w:w="1040" w:type="dxa"/>
                  <w:vMerge w:val="continue"/>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restart"/>
                  <w:tcMar>
                    <w:left w:w="28" w:type="dxa"/>
                    <w:right w:w="28" w:type="dxa"/>
                  </w:tcMar>
                  <w:vAlign w:val="center"/>
                </w:tcPr>
                <w:p>
                  <w:pPr>
                    <w:adjustRightInd w:val="0"/>
                    <w:snapToGrid w:val="0"/>
                    <w:jc w:val="center"/>
                    <w:rPr>
                      <w:szCs w:val="21"/>
                    </w:rPr>
                  </w:pPr>
                  <w:r>
                    <w:rPr>
                      <w:szCs w:val="21"/>
                    </w:rPr>
                    <w:t>废水</w:t>
                  </w:r>
                </w:p>
              </w:tc>
              <w:tc>
                <w:tcPr>
                  <w:tcW w:w="5061" w:type="dxa"/>
                  <w:tcMar>
                    <w:left w:w="28" w:type="dxa"/>
                    <w:right w:w="28" w:type="dxa"/>
                  </w:tcMar>
                  <w:vAlign w:val="center"/>
                </w:tcPr>
                <w:p>
                  <w:pPr>
                    <w:adjustRightInd w:val="0"/>
                    <w:snapToGrid w:val="0"/>
                    <w:rPr>
                      <w:szCs w:val="21"/>
                    </w:rPr>
                  </w:pPr>
                  <w:r>
                    <w:rPr>
                      <w:szCs w:val="21"/>
                    </w:rPr>
                    <w:t>搅拌机、运输车辆</w:t>
                  </w:r>
                  <w:r>
                    <w:rPr>
                      <w:rFonts w:hint="eastAsia"/>
                      <w:szCs w:val="21"/>
                    </w:rPr>
                    <w:t>清洗</w:t>
                  </w:r>
                  <w:r>
                    <w:rPr>
                      <w:szCs w:val="21"/>
                    </w:rPr>
                    <w:t>废水经收集三级沉淀处理后回用于</w:t>
                  </w:r>
                  <w:r>
                    <w:rPr>
                      <w:rFonts w:hint="eastAsia"/>
                      <w:szCs w:val="21"/>
                    </w:rPr>
                    <w:t>混凝土搅拌混合</w:t>
                  </w:r>
                  <w:r>
                    <w:rPr>
                      <w:szCs w:val="21"/>
                    </w:rPr>
                    <w:t>，不外排</w:t>
                  </w:r>
                  <w:r>
                    <w:rPr>
                      <w:rFonts w:hint="eastAsia"/>
                      <w:szCs w:val="21"/>
                    </w:rPr>
                    <w:t>。</w:t>
                  </w:r>
                  <w:r>
                    <w:rPr>
                      <w:szCs w:val="21"/>
                    </w:rPr>
                    <w:t>厂区设置了三级沉淀池</w:t>
                  </w:r>
                  <w:r>
                    <w:rPr>
                      <w:rFonts w:hint="eastAsia"/>
                      <w:szCs w:val="21"/>
                    </w:rPr>
                    <w:t>，三级</w:t>
                  </w:r>
                  <w:r>
                    <w:rPr>
                      <w:szCs w:val="21"/>
                    </w:rPr>
                    <w:t>沉淀池均为混凝土结构</w:t>
                  </w:r>
                  <w:r>
                    <w:rPr>
                      <w:rFonts w:hint="eastAsia"/>
                      <w:szCs w:val="21"/>
                    </w:rPr>
                    <w:t>，</w:t>
                  </w:r>
                  <w:r>
                    <w:rPr>
                      <w:szCs w:val="21"/>
                    </w:rPr>
                    <w:t>容积均</w:t>
                  </w:r>
                  <w:r>
                    <w:rPr>
                      <w:rFonts w:hint="eastAsia"/>
                      <w:szCs w:val="21"/>
                    </w:rPr>
                    <w:t>1</w:t>
                  </w:r>
                  <w:r>
                    <w:rPr>
                      <w:szCs w:val="21"/>
                    </w:rPr>
                    <w:t>2</w:t>
                  </w:r>
                  <w:r>
                    <w:rPr>
                      <w:rFonts w:hint="eastAsia"/>
                      <w:szCs w:val="21"/>
                    </w:rPr>
                    <w:t>5m</w:t>
                  </w:r>
                  <w:r>
                    <w:rPr>
                      <w:rFonts w:hint="eastAsia"/>
                      <w:szCs w:val="21"/>
                      <w:vertAlign w:val="superscript"/>
                    </w:rPr>
                    <w:t>3</w:t>
                  </w:r>
                  <w:r>
                    <w:rPr>
                      <w:rFonts w:hint="eastAsia"/>
                      <w:szCs w:val="21"/>
                    </w:rPr>
                    <w:t>，沉淀池采用一般防渗，</w:t>
                  </w:r>
                  <w:r>
                    <w:rPr>
                      <w:szCs w:val="21"/>
                    </w:rPr>
                    <w:t>等效黏土防渗层Mb≥1.5m，K≤1×10</w:t>
                  </w:r>
                  <w:r>
                    <w:rPr>
                      <w:szCs w:val="21"/>
                      <w:vertAlign w:val="superscript"/>
                    </w:rPr>
                    <w:t>-7</w:t>
                  </w:r>
                  <w:r>
                    <w:rPr>
                      <w:szCs w:val="21"/>
                    </w:rPr>
                    <w:t>cm/s</w:t>
                  </w:r>
                  <w:r>
                    <w:rPr>
                      <w:rFonts w:hint="eastAsia"/>
                      <w:szCs w:val="21"/>
                    </w:rPr>
                    <w:t>。</w:t>
                  </w:r>
                </w:p>
              </w:tc>
              <w:tc>
                <w:tcPr>
                  <w:tcW w:w="1040" w:type="dxa"/>
                  <w:vMerge w:val="restart"/>
                  <w:vAlign w:val="center"/>
                </w:tcPr>
                <w:p>
                  <w:pPr>
                    <w:adjustRightInd w:val="0"/>
                    <w:snapToGrid w:val="0"/>
                    <w:jc w:val="center"/>
                    <w:rPr>
                      <w:szCs w:val="21"/>
                    </w:rPr>
                  </w:pPr>
                  <w:r>
                    <w:rPr>
                      <w:rFonts w:hint="eastAsia"/>
                      <w:szCs w:val="21"/>
                    </w:rPr>
                    <w:t>已建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continue"/>
                  <w:tcMar>
                    <w:left w:w="28" w:type="dxa"/>
                    <w:right w:w="28" w:type="dxa"/>
                  </w:tcMar>
                  <w:vAlign w:val="center"/>
                </w:tcPr>
                <w:p>
                  <w:pPr>
                    <w:adjustRightInd w:val="0"/>
                    <w:snapToGrid w:val="0"/>
                    <w:jc w:val="center"/>
                    <w:rPr>
                      <w:szCs w:val="21"/>
                    </w:rPr>
                  </w:pPr>
                </w:p>
              </w:tc>
              <w:tc>
                <w:tcPr>
                  <w:tcW w:w="5061" w:type="dxa"/>
                  <w:tcMar>
                    <w:left w:w="28" w:type="dxa"/>
                    <w:right w:w="28" w:type="dxa"/>
                  </w:tcMar>
                  <w:vAlign w:val="center"/>
                </w:tcPr>
                <w:p>
                  <w:pPr>
                    <w:adjustRightInd w:val="0"/>
                    <w:snapToGrid w:val="0"/>
                    <w:rPr>
                      <w:szCs w:val="21"/>
                    </w:rPr>
                  </w:pPr>
                  <w:r>
                    <w:rPr>
                      <w:rFonts w:hint="eastAsia"/>
                      <w:szCs w:val="21"/>
                    </w:rPr>
                    <w:t>搅拌混合用水全部进入产品；料棚抑尘用水、道路抑尘用水全部自然蒸发。</w:t>
                  </w:r>
                </w:p>
              </w:tc>
              <w:tc>
                <w:tcPr>
                  <w:tcW w:w="1040" w:type="dxa"/>
                  <w:vMerge w:val="continue"/>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continue"/>
                  <w:tcMar>
                    <w:left w:w="28" w:type="dxa"/>
                    <w:right w:w="28" w:type="dxa"/>
                  </w:tcMar>
                  <w:vAlign w:val="center"/>
                </w:tcPr>
                <w:p>
                  <w:pPr>
                    <w:adjustRightInd w:val="0"/>
                    <w:snapToGrid w:val="0"/>
                    <w:jc w:val="center"/>
                    <w:rPr>
                      <w:szCs w:val="21"/>
                    </w:rPr>
                  </w:pPr>
                </w:p>
              </w:tc>
              <w:tc>
                <w:tcPr>
                  <w:tcW w:w="5061" w:type="dxa"/>
                  <w:tcMar>
                    <w:left w:w="28" w:type="dxa"/>
                    <w:right w:w="28" w:type="dxa"/>
                  </w:tcMar>
                  <w:vAlign w:val="center"/>
                </w:tcPr>
                <w:p>
                  <w:pPr>
                    <w:adjustRightInd w:val="0"/>
                    <w:snapToGrid w:val="0"/>
                    <w:rPr>
                      <w:szCs w:val="21"/>
                    </w:rPr>
                  </w:pPr>
                  <w:r>
                    <w:rPr>
                      <w:rFonts w:hint="eastAsia"/>
                      <w:szCs w:val="21"/>
                    </w:rPr>
                    <w:t>建设一座</w:t>
                  </w:r>
                  <w:r>
                    <w:rPr>
                      <w:szCs w:val="21"/>
                    </w:rPr>
                    <w:t>1</w:t>
                  </w:r>
                  <w:r>
                    <w:rPr>
                      <w:rFonts w:hint="eastAsia"/>
                      <w:szCs w:val="21"/>
                    </w:rPr>
                    <w:t>0m</w:t>
                  </w:r>
                  <w:r>
                    <w:rPr>
                      <w:rFonts w:hint="eastAsia"/>
                      <w:szCs w:val="21"/>
                      <w:vertAlign w:val="superscript"/>
                    </w:rPr>
                    <w:t>3</w:t>
                  </w:r>
                  <w:r>
                    <w:rPr>
                      <w:rFonts w:hint="eastAsia"/>
                      <w:szCs w:val="21"/>
                    </w:rPr>
                    <w:t>防渗化粪池，</w:t>
                  </w:r>
                  <w:r>
                    <w:rPr>
                      <w:szCs w:val="21"/>
                    </w:rPr>
                    <w:t>生活污水</w:t>
                  </w:r>
                  <w:r>
                    <w:rPr>
                      <w:rFonts w:hint="eastAsia"/>
                      <w:szCs w:val="21"/>
                    </w:rPr>
                    <w:t>经化粪池收集后，定期拉运至札萨克镇台格办事处污水处理厂处理。</w:t>
                  </w:r>
                </w:p>
              </w:tc>
              <w:tc>
                <w:tcPr>
                  <w:tcW w:w="1040" w:type="dxa"/>
                  <w:vMerge w:val="continue"/>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restart"/>
                  <w:tcMar>
                    <w:left w:w="28" w:type="dxa"/>
                    <w:right w:w="28" w:type="dxa"/>
                  </w:tcMar>
                  <w:vAlign w:val="center"/>
                </w:tcPr>
                <w:p>
                  <w:pPr>
                    <w:adjustRightInd w:val="0"/>
                    <w:snapToGrid w:val="0"/>
                    <w:jc w:val="center"/>
                    <w:rPr>
                      <w:szCs w:val="21"/>
                    </w:rPr>
                  </w:pPr>
                  <w:r>
                    <w:rPr>
                      <w:szCs w:val="21"/>
                    </w:rPr>
                    <w:t>固</w:t>
                  </w:r>
                  <w:r>
                    <w:rPr>
                      <w:rFonts w:hint="eastAsia"/>
                      <w:szCs w:val="21"/>
                    </w:rPr>
                    <w:t>废</w:t>
                  </w:r>
                </w:p>
              </w:tc>
              <w:tc>
                <w:tcPr>
                  <w:tcW w:w="5061" w:type="dxa"/>
                  <w:tcMar>
                    <w:left w:w="28" w:type="dxa"/>
                    <w:right w:w="28" w:type="dxa"/>
                  </w:tcMar>
                  <w:vAlign w:val="center"/>
                </w:tcPr>
                <w:p>
                  <w:pPr>
                    <w:adjustRightInd w:val="0"/>
                    <w:snapToGrid w:val="0"/>
                    <w:rPr>
                      <w:szCs w:val="21"/>
                    </w:rPr>
                  </w:pPr>
                  <w:r>
                    <w:rPr>
                      <w:rFonts w:hint="eastAsia"/>
                      <w:szCs w:val="21"/>
                    </w:rPr>
                    <w:t>水泥筒仓、粉煤灰筒仓、搅拌站</w:t>
                  </w:r>
                  <w:r>
                    <w:rPr>
                      <w:szCs w:val="21"/>
                    </w:rPr>
                    <w:t>除尘器收集的粉尘返回生产系统回用</w:t>
                  </w:r>
                  <w:r>
                    <w:rPr>
                      <w:rFonts w:hint="eastAsia"/>
                      <w:szCs w:val="21"/>
                    </w:rPr>
                    <w:t>。</w:t>
                  </w:r>
                </w:p>
              </w:tc>
              <w:tc>
                <w:tcPr>
                  <w:tcW w:w="1040" w:type="dxa"/>
                  <w:vMerge w:val="restart"/>
                  <w:vAlign w:val="center"/>
                </w:tcPr>
                <w:p>
                  <w:pPr>
                    <w:adjustRightInd w:val="0"/>
                    <w:snapToGrid w:val="0"/>
                    <w:jc w:val="center"/>
                    <w:rPr>
                      <w:szCs w:val="21"/>
                    </w:rPr>
                  </w:pPr>
                  <w:r>
                    <w:rPr>
                      <w:rFonts w:hint="eastAsia"/>
                      <w:szCs w:val="21"/>
                    </w:rPr>
                    <w:t>-</w:t>
                  </w:r>
                  <w:r>
                    <w:rPr>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continue"/>
                  <w:tcMar>
                    <w:left w:w="28" w:type="dxa"/>
                    <w:right w:w="28" w:type="dxa"/>
                  </w:tcMar>
                  <w:vAlign w:val="center"/>
                </w:tcPr>
                <w:p>
                  <w:pPr>
                    <w:adjustRightInd w:val="0"/>
                    <w:snapToGrid w:val="0"/>
                    <w:jc w:val="center"/>
                    <w:rPr>
                      <w:szCs w:val="21"/>
                    </w:rPr>
                  </w:pPr>
                </w:p>
              </w:tc>
              <w:tc>
                <w:tcPr>
                  <w:tcW w:w="5061" w:type="dxa"/>
                  <w:tcMar>
                    <w:left w:w="28" w:type="dxa"/>
                    <w:right w:w="28" w:type="dxa"/>
                  </w:tcMar>
                  <w:vAlign w:val="center"/>
                </w:tcPr>
                <w:p>
                  <w:pPr>
                    <w:adjustRightInd w:val="0"/>
                    <w:snapToGrid w:val="0"/>
                    <w:rPr>
                      <w:szCs w:val="21"/>
                    </w:rPr>
                  </w:pPr>
                  <w:r>
                    <w:rPr>
                      <w:rFonts w:hint="eastAsia"/>
                      <w:szCs w:val="21"/>
                    </w:rPr>
                    <w:t>沉淀池产生的</w:t>
                  </w:r>
                  <w:r>
                    <w:rPr>
                      <w:szCs w:val="21"/>
                    </w:rPr>
                    <w:t>沉淀</w:t>
                  </w:r>
                  <w:r>
                    <w:rPr>
                      <w:rFonts w:hint="eastAsia"/>
                      <w:szCs w:val="21"/>
                    </w:rPr>
                    <w:t>渣定期捞取</w:t>
                  </w:r>
                  <w:r>
                    <w:rPr>
                      <w:szCs w:val="21"/>
                    </w:rPr>
                    <w:t>后回用于混凝土生产</w:t>
                  </w:r>
                  <w:r>
                    <w:rPr>
                      <w:rFonts w:hint="eastAsia"/>
                      <w:szCs w:val="21"/>
                    </w:rPr>
                    <w:t>。</w:t>
                  </w:r>
                </w:p>
              </w:tc>
              <w:tc>
                <w:tcPr>
                  <w:tcW w:w="1040" w:type="dxa"/>
                  <w:vMerge w:val="continue"/>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continue"/>
                  <w:tcMar>
                    <w:left w:w="28" w:type="dxa"/>
                    <w:right w:w="28" w:type="dxa"/>
                  </w:tcMar>
                  <w:vAlign w:val="center"/>
                </w:tcPr>
                <w:p>
                  <w:pPr>
                    <w:adjustRightInd w:val="0"/>
                    <w:snapToGrid w:val="0"/>
                    <w:jc w:val="center"/>
                    <w:rPr>
                      <w:szCs w:val="21"/>
                    </w:rPr>
                  </w:pPr>
                </w:p>
              </w:tc>
              <w:tc>
                <w:tcPr>
                  <w:tcW w:w="5061" w:type="dxa"/>
                  <w:tcMar>
                    <w:left w:w="28" w:type="dxa"/>
                    <w:right w:w="28" w:type="dxa"/>
                  </w:tcMar>
                  <w:vAlign w:val="center"/>
                </w:tcPr>
                <w:p>
                  <w:pPr>
                    <w:adjustRightInd w:val="0"/>
                    <w:snapToGrid w:val="0"/>
                    <w:rPr>
                      <w:szCs w:val="21"/>
                    </w:rPr>
                  </w:pPr>
                  <w:r>
                    <w:rPr>
                      <w:szCs w:val="21"/>
                    </w:rPr>
                    <w:t>生活垃圾经厂内垃圾箱收集后交由当地环卫部门定期清运处理</w:t>
                  </w:r>
                </w:p>
              </w:tc>
              <w:tc>
                <w:tcPr>
                  <w:tcW w:w="1040" w:type="dxa"/>
                  <w:vMerge w:val="continue"/>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vMerge w:val="continue"/>
                  <w:tcMar>
                    <w:left w:w="28" w:type="dxa"/>
                    <w:right w:w="28" w:type="dxa"/>
                  </w:tcMar>
                  <w:vAlign w:val="center"/>
                </w:tcPr>
                <w:p>
                  <w:pPr>
                    <w:adjustRightInd w:val="0"/>
                    <w:snapToGrid w:val="0"/>
                    <w:jc w:val="center"/>
                    <w:rPr>
                      <w:szCs w:val="21"/>
                    </w:rPr>
                  </w:pPr>
                </w:p>
              </w:tc>
              <w:tc>
                <w:tcPr>
                  <w:tcW w:w="5061" w:type="dxa"/>
                  <w:tcMar>
                    <w:left w:w="28" w:type="dxa"/>
                    <w:right w:w="28" w:type="dxa"/>
                  </w:tcMar>
                  <w:vAlign w:val="center"/>
                </w:tcPr>
                <w:p>
                  <w:pPr>
                    <w:adjustRightInd w:val="0"/>
                    <w:snapToGrid w:val="0"/>
                    <w:rPr>
                      <w:szCs w:val="21"/>
                    </w:rPr>
                  </w:pPr>
                  <w:r>
                    <w:rPr>
                      <w:rFonts w:hint="eastAsia"/>
                      <w:szCs w:val="21"/>
                    </w:rPr>
                    <w:t>设备由厂家定期维护，更换的废机油由厂家处置，不在厂区内暂存。</w:t>
                  </w:r>
                </w:p>
              </w:tc>
              <w:tc>
                <w:tcPr>
                  <w:tcW w:w="1040" w:type="dxa"/>
                  <w:vMerge w:val="continue"/>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7" w:type="dxa"/>
                  <w:vMerge w:val="continue"/>
                  <w:tcMar>
                    <w:left w:w="28" w:type="dxa"/>
                    <w:right w:w="28" w:type="dxa"/>
                  </w:tcMar>
                  <w:vAlign w:val="center"/>
                </w:tcPr>
                <w:p>
                  <w:pPr>
                    <w:adjustRightInd w:val="0"/>
                    <w:snapToGrid w:val="0"/>
                    <w:jc w:val="center"/>
                    <w:rPr>
                      <w:szCs w:val="21"/>
                    </w:rPr>
                  </w:pPr>
                </w:p>
              </w:tc>
              <w:tc>
                <w:tcPr>
                  <w:tcW w:w="1271" w:type="dxa"/>
                  <w:tcMar>
                    <w:left w:w="28" w:type="dxa"/>
                    <w:right w:w="28" w:type="dxa"/>
                  </w:tcMar>
                  <w:vAlign w:val="center"/>
                </w:tcPr>
                <w:p>
                  <w:pPr>
                    <w:adjustRightInd w:val="0"/>
                    <w:snapToGrid w:val="0"/>
                    <w:jc w:val="center"/>
                    <w:rPr>
                      <w:szCs w:val="21"/>
                    </w:rPr>
                  </w:pPr>
                  <w:r>
                    <w:rPr>
                      <w:szCs w:val="21"/>
                    </w:rPr>
                    <w:t>噪声</w:t>
                  </w:r>
                </w:p>
              </w:tc>
              <w:tc>
                <w:tcPr>
                  <w:tcW w:w="5061" w:type="dxa"/>
                  <w:tcMar>
                    <w:left w:w="28" w:type="dxa"/>
                    <w:right w:w="28" w:type="dxa"/>
                  </w:tcMar>
                  <w:vAlign w:val="center"/>
                </w:tcPr>
                <w:p>
                  <w:pPr>
                    <w:adjustRightInd w:val="0"/>
                    <w:snapToGrid w:val="0"/>
                    <w:rPr>
                      <w:szCs w:val="21"/>
                    </w:rPr>
                  </w:pPr>
                  <w:r>
                    <w:rPr>
                      <w:szCs w:val="21"/>
                    </w:rPr>
                    <w:t>采用减振、消声、隔音等措施，并加强绿化</w:t>
                  </w:r>
                </w:p>
              </w:tc>
              <w:tc>
                <w:tcPr>
                  <w:tcW w:w="1040" w:type="dxa"/>
                  <w:vAlign w:val="center"/>
                </w:tcPr>
                <w:p>
                  <w:pPr>
                    <w:adjustRightInd w:val="0"/>
                    <w:snapToGrid w:val="0"/>
                    <w:jc w:val="center"/>
                    <w:rPr>
                      <w:szCs w:val="21"/>
                    </w:rPr>
                  </w:pPr>
                  <w:r>
                    <w:rPr>
                      <w:rFonts w:hint="eastAsia"/>
                      <w:szCs w:val="21"/>
                    </w:rPr>
                    <w:t>已建</w:t>
                  </w:r>
                </w:p>
              </w:tc>
            </w:tr>
          </w:tbl>
          <w:p>
            <w:pPr>
              <w:spacing w:before="240" w:line="360" w:lineRule="auto"/>
              <w:jc w:val="left"/>
              <w:rPr>
                <w:rFonts w:cs="宋体"/>
                <w:b/>
                <w:bCs/>
                <w:sz w:val="24"/>
              </w:rPr>
            </w:pPr>
            <w:r>
              <w:rPr>
                <w:rFonts w:cs="宋体"/>
                <w:b/>
                <w:bCs/>
                <w:sz w:val="24"/>
              </w:rPr>
              <w:t>2</w:t>
            </w:r>
            <w:r>
              <w:rPr>
                <w:rFonts w:hint="eastAsia" w:cs="宋体"/>
                <w:b/>
                <w:bCs/>
                <w:sz w:val="24"/>
              </w:rPr>
              <w:t>、产品方案</w:t>
            </w:r>
          </w:p>
          <w:p>
            <w:pPr>
              <w:autoSpaceDE w:val="0"/>
              <w:autoSpaceDN w:val="0"/>
              <w:adjustRightInd w:val="0"/>
              <w:spacing w:line="360" w:lineRule="auto"/>
              <w:ind w:firstLine="480" w:firstLineChars="200"/>
              <w:rPr>
                <w:kern w:val="0"/>
                <w:sz w:val="24"/>
              </w:rPr>
            </w:pPr>
            <w:r>
              <w:rPr>
                <w:rFonts w:hint="eastAsia"/>
                <w:kern w:val="0"/>
                <w:sz w:val="24"/>
              </w:rPr>
              <w:t>本项目年产各强度等级（C10-C60）的预拌商品混凝土</w:t>
            </w:r>
            <w:r>
              <w:rPr>
                <w:kern w:val="0"/>
                <w:sz w:val="24"/>
              </w:rPr>
              <w:t>3</w:t>
            </w:r>
            <w:r>
              <w:rPr>
                <w:rFonts w:hint="eastAsia"/>
                <w:kern w:val="0"/>
                <w:sz w:val="24"/>
              </w:rPr>
              <w:t>0万m</w:t>
            </w:r>
            <w:r>
              <w:rPr>
                <w:rFonts w:hint="eastAsia"/>
                <w:kern w:val="0"/>
                <w:sz w:val="24"/>
                <w:vertAlign w:val="superscript"/>
              </w:rPr>
              <w:t>3</w:t>
            </w:r>
            <w:r>
              <w:rPr>
                <w:rFonts w:hint="eastAsia"/>
                <w:kern w:val="0"/>
                <w:sz w:val="24"/>
              </w:rPr>
              <w:t>，具体品种标号根据市场要求确定，各种产品应符合《预拌混凝土》（GB/T14902-2012）中的相关要求，产品方案及参数见表</w:t>
            </w:r>
            <w:r>
              <w:rPr>
                <w:kern w:val="0"/>
                <w:sz w:val="24"/>
              </w:rPr>
              <w:t>2-2</w:t>
            </w:r>
            <w:r>
              <w:rPr>
                <w:rFonts w:hint="eastAsia"/>
                <w:kern w:val="0"/>
                <w:sz w:val="24"/>
              </w:rPr>
              <w:t>。</w:t>
            </w:r>
          </w:p>
          <w:p>
            <w:pPr>
              <w:pStyle w:val="22"/>
            </w:pPr>
            <w:r>
              <w:rPr>
                <w:rFonts w:hint="eastAsia"/>
              </w:rPr>
              <w:t>表</w:t>
            </w:r>
            <w:r>
              <w:t xml:space="preserve">2-2 </w:t>
            </w:r>
            <w:r>
              <w:rPr>
                <w:rFonts w:hint="eastAsia"/>
              </w:rPr>
              <w:t>本项目产品方案及参数</w:t>
            </w:r>
          </w:p>
          <w:tbl>
            <w:tblPr>
              <w:tblStyle w:val="14"/>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772"/>
              <w:gridCol w:w="668"/>
              <w:gridCol w:w="669"/>
              <w:gridCol w:w="670"/>
              <w:gridCol w:w="670"/>
              <w:gridCol w:w="669"/>
              <w:gridCol w:w="670"/>
              <w:gridCol w:w="670"/>
              <w:gridCol w:w="670"/>
              <w:gridCol w:w="66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trPr>
              <w:tc>
                <w:tcPr>
                  <w:tcW w:w="8312" w:type="dxa"/>
                  <w:gridSpan w:val="11"/>
                  <w:vAlign w:val="center"/>
                </w:tcPr>
                <w:p>
                  <w:pPr>
                    <w:autoSpaceDE w:val="0"/>
                    <w:autoSpaceDN w:val="0"/>
                    <w:jc w:val="center"/>
                    <w:rPr>
                      <w:kern w:val="0"/>
                      <w:szCs w:val="21"/>
                    </w:rPr>
                  </w:pPr>
                  <w:r>
                    <w:rPr>
                      <w:rFonts w:hint="eastAsia"/>
                      <w:kern w:val="0"/>
                      <w:szCs w:val="21"/>
                    </w:rPr>
                    <w:t>一、产品方案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82" w:type="dxa"/>
                  <w:vAlign w:val="center"/>
                </w:tcPr>
                <w:p>
                  <w:pPr>
                    <w:autoSpaceDE w:val="0"/>
                    <w:autoSpaceDN w:val="0"/>
                    <w:jc w:val="center"/>
                    <w:rPr>
                      <w:kern w:val="0"/>
                      <w:szCs w:val="21"/>
                    </w:rPr>
                  </w:pPr>
                  <w:r>
                    <w:rPr>
                      <w:rFonts w:hint="eastAsia"/>
                      <w:kern w:val="0"/>
                      <w:szCs w:val="21"/>
                    </w:rPr>
                    <w:t>强度等</w:t>
                  </w:r>
                </w:p>
              </w:tc>
              <w:tc>
                <w:tcPr>
                  <w:tcW w:w="780" w:type="dxa"/>
                  <w:vAlign w:val="center"/>
                </w:tcPr>
                <w:p>
                  <w:pPr>
                    <w:autoSpaceDE w:val="0"/>
                    <w:autoSpaceDN w:val="0"/>
                    <w:jc w:val="center"/>
                    <w:rPr>
                      <w:kern w:val="0"/>
                      <w:szCs w:val="21"/>
                    </w:rPr>
                  </w:pPr>
                  <w:r>
                    <w:rPr>
                      <w:rFonts w:hint="eastAsia"/>
                      <w:kern w:val="0"/>
                      <w:szCs w:val="21"/>
                    </w:rPr>
                    <w:t>C1</w:t>
                  </w:r>
                  <w:r>
                    <w:rPr>
                      <w:kern w:val="0"/>
                      <w:szCs w:val="21"/>
                    </w:rPr>
                    <w:t>5</w:t>
                  </w:r>
                </w:p>
              </w:tc>
              <w:tc>
                <w:tcPr>
                  <w:tcW w:w="672" w:type="dxa"/>
                  <w:vAlign w:val="center"/>
                </w:tcPr>
                <w:p>
                  <w:pPr>
                    <w:autoSpaceDE w:val="0"/>
                    <w:autoSpaceDN w:val="0"/>
                    <w:jc w:val="center"/>
                    <w:rPr>
                      <w:kern w:val="0"/>
                      <w:szCs w:val="21"/>
                    </w:rPr>
                  </w:pPr>
                  <w:r>
                    <w:rPr>
                      <w:rFonts w:hint="eastAsia"/>
                      <w:kern w:val="0"/>
                      <w:szCs w:val="21"/>
                    </w:rPr>
                    <w:t>C20</w:t>
                  </w:r>
                </w:p>
              </w:tc>
              <w:tc>
                <w:tcPr>
                  <w:tcW w:w="673" w:type="dxa"/>
                  <w:vAlign w:val="center"/>
                </w:tcPr>
                <w:p>
                  <w:pPr>
                    <w:autoSpaceDE w:val="0"/>
                    <w:autoSpaceDN w:val="0"/>
                    <w:jc w:val="center"/>
                    <w:rPr>
                      <w:kern w:val="0"/>
                      <w:szCs w:val="21"/>
                    </w:rPr>
                  </w:pPr>
                  <w:r>
                    <w:rPr>
                      <w:rFonts w:hint="eastAsia"/>
                      <w:kern w:val="0"/>
                      <w:szCs w:val="21"/>
                    </w:rPr>
                    <w:t>C25</w:t>
                  </w:r>
                </w:p>
              </w:tc>
              <w:tc>
                <w:tcPr>
                  <w:tcW w:w="673" w:type="dxa"/>
                  <w:vAlign w:val="center"/>
                </w:tcPr>
                <w:p>
                  <w:pPr>
                    <w:autoSpaceDE w:val="0"/>
                    <w:autoSpaceDN w:val="0"/>
                    <w:jc w:val="center"/>
                    <w:rPr>
                      <w:kern w:val="0"/>
                      <w:szCs w:val="21"/>
                    </w:rPr>
                  </w:pPr>
                  <w:r>
                    <w:rPr>
                      <w:rFonts w:hint="eastAsia"/>
                      <w:kern w:val="0"/>
                      <w:szCs w:val="21"/>
                    </w:rPr>
                    <w:t>C30</w:t>
                  </w:r>
                </w:p>
              </w:tc>
              <w:tc>
                <w:tcPr>
                  <w:tcW w:w="673" w:type="dxa"/>
                  <w:vAlign w:val="center"/>
                </w:tcPr>
                <w:p>
                  <w:pPr>
                    <w:autoSpaceDE w:val="0"/>
                    <w:autoSpaceDN w:val="0"/>
                    <w:jc w:val="center"/>
                    <w:rPr>
                      <w:kern w:val="0"/>
                      <w:szCs w:val="21"/>
                    </w:rPr>
                  </w:pPr>
                  <w:r>
                    <w:rPr>
                      <w:rFonts w:hint="eastAsia"/>
                      <w:kern w:val="0"/>
                      <w:szCs w:val="21"/>
                    </w:rPr>
                    <w:t>C35</w:t>
                  </w:r>
                </w:p>
              </w:tc>
              <w:tc>
                <w:tcPr>
                  <w:tcW w:w="672" w:type="dxa"/>
                  <w:vAlign w:val="center"/>
                </w:tcPr>
                <w:p>
                  <w:pPr>
                    <w:autoSpaceDE w:val="0"/>
                    <w:autoSpaceDN w:val="0"/>
                    <w:jc w:val="center"/>
                    <w:rPr>
                      <w:kern w:val="0"/>
                      <w:szCs w:val="21"/>
                    </w:rPr>
                  </w:pPr>
                  <w:r>
                    <w:rPr>
                      <w:rFonts w:hint="eastAsia"/>
                      <w:kern w:val="0"/>
                      <w:szCs w:val="21"/>
                    </w:rPr>
                    <w:t>C40</w:t>
                  </w:r>
                </w:p>
              </w:tc>
              <w:tc>
                <w:tcPr>
                  <w:tcW w:w="673" w:type="dxa"/>
                  <w:vAlign w:val="center"/>
                </w:tcPr>
                <w:p>
                  <w:pPr>
                    <w:autoSpaceDE w:val="0"/>
                    <w:autoSpaceDN w:val="0"/>
                    <w:jc w:val="center"/>
                    <w:rPr>
                      <w:kern w:val="0"/>
                      <w:szCs w:val="21"/>
                    </w:rPr>
                  </w:pPr>
                  <w:r>
                    <w:rPr>
                      <w:rFonts w:hint="eastAsia"/>
                      <w:kern w:val="0"/>
                      <w:szCs w:val="21"/>
                    </w:rPr>
                    <w:t>C45</w:t>
                  </w:r>
                </w:p>
              </w:tc>
              <w:tc>
                <w:tcPr>
                  <w:tcW w:w="673" w:type="dxa"/>
                  <w:vAlign w:val="center"/>
                </w:tcPr>
                <w:p>
                  <w:pPr>
                    <w:autoSpaceDE w:val="0"/>
                    <w:autoSpaceDN w:val="0"/>
                    <w:jc w:val="center"/>
                    <w:rPr>
                      <w:kern w:val="0"/>
                      <w:szCs w:val="21"/>
                    </w:rPr>
                  </w:pPr>
                  <w:r>
                    <w:rPr>
                      <w:rFonts w:hint="eastAsia"/>
                      <w:kern w:val="0"/>
                      <w:szCs w:val="21"/>
                    </w:rPr>
                    <w:t>C50</w:t>
                  </w:r>
                </w:p>
              </w:tc>
              <w:tc>
                <w:tcPr>
                  <w:tcW w:w="673" w:type="dxa"/>
                  <w:vAlign w:val="center"/>
                </w:tcPr>
                <w:p>
                  <w:pPr>
                    <w:autoSpaceDE w:val="0"/>
                    <w:autoSpaceDN w:val="0"/>
                    <w:jc w:val="center"/>
                    <w:rPr>
                      <w:kern w:val="0"/>
                      <w:szCs w:val="21"/>
                    </w:rPr>
                  </w:pPr>
                  <w:r>
                    <w:rPr>
                      <w:rFonts w:hint="eastAsia"/>
                      <w:kern w:val="0"/>
                      <w:szCs w:val="21"/>
                    </w:rPr>
                    <w:t>C55</w:t>
                  </w:r>
                </w:p>
              </w:tc>
              <w:tc>
                <w:tcPr>
                  <w:tcW w:w="668" w:type="dxa"/>
                  <w:vAlign w:val="center"/>
                </w:tcPr>
                <w:p>
                  <w:pPr>
                    <w:autoSpaceDE w:val="0"/>
                    <w:autoSpaceDN w:val="0"/>
                    <w:jc w:val="center"/>
                    <w:rPr>
                      <w:kern w:val="0"/>
                      <w:szCs w:val="21"/>
                    </w:rPr>
                  </w:pPr>
                  <w:r>
                    <w:rPr>
                      <w:rFonts w:hint="eastAsia"/>
                      <w:kern w:val="0"/>
                      <w:szCs w:val="21"/>
                    </w:rPr>
                    <w:t>C60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12" w:type="dxa"/>
                  <w:gridSpan w:val="11"/>
                  <w:vAlign w:val="center"/>
                </w:tcPr>
                <w:p>
                  <w:pPr>
                    <w:autoSpaceDE w:val="0"/>
                    <w:autoSpaceDN w:val="0"/>
                    <w:jc w:val="center"/>
                    <w:rPr>
                      <w:kern w:val="0"/>
                      <w:szCs w:val="21"/>
                    </w:rPr>
                  </w:pPr>
                  <w:r>
                    <w:rPr>
                      <w:rFonts w:hint="eastAsia"/>
                      <w:kern w:val="0"/>
                      <w:szCs w:val="21"/>
                    </w:rPr>
                    <w:t>二、产品参数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2" w:type="dxa"/>
                  <w:gridSpan w:val="2"/>
                  <w:vAlign w:val="center"/>
                </w:tcPr>
                <w:p>
                  <w:pPr>
                    <w:autoSpaceDE w:val="0"/>
                    <w:autoSpaceDN w:val="0"/>
                    <w:jc w:val="center"/>
                    <w:rPr>
                      <w:kern w:val="0"/>
                      <w:szCs w:val="21"/>
                    </w:rPr>
                  </w:pPr>
                  <w:r>
                    <w:rPr>
                      <w:rFonts w:hint="eastAsia"/>
                      <w:kern w:val="0"/>
                      <w:szCs w:val="21"/>
                    </w:rPr>
                    <w:t>规定坍落度</w:t>
                  </w:r>
                </w:p>
              </w:tc>
              <w:tc>
                <w:tcPr>
                  <w:tcW w:w="2018" w:type="dxa"/>
                  <w:gridSpan w:val="3"/>
                  <w:vAlign w:val="center"/>
                </w:tcPr>
                <w:p>
                  <w:pPr>
                    <w:autoSpaceDE w:val="0"/>
                    <w:autoSpaceDN w:val="0"/>
                    <w:jc w:val="center"/>
                    <w:rPr>
                      <w:kern w:val="0"/>
                      <w:szCs w:val="21"/>
                    </w:rPr>
                  </w:pPr>
                  <w:r>
                    <w:rPr>
                      <w:rFonts w:hint="eastAsia"/>
                      <w:kern w:val="0"/>
                      <w:szCs w:val="21"/>
                    </w:rPr>
                    <w:t>≤40mm</w:t>
                  </w:r>
                </w:p>
              </w:tc>
              <w:tc>
                <w:tcPr>
                  <w:tcW w:w="2018" w:type="dxa"/>
                  <w:gridSpan w:val="3"/>
                  <w:vAlign w:val="center"/>
                </w:tcPr>
                <w:p>
                  <w:pPr>
                    <w:autoSpaceDE w:val="0"/>
                    <w:autoSpaceDN w:val="0"/>
                    <w:jc w:val="center"/>
                    <w:rPr>
                      <w:kern w:val="0"/>
                      <w:szCs w:val="21"/>
                    </w:rPr>
                  </w:pPr>
                  <w:r>
                    <w:rPr>
                      <w:rFonts w:hint="eastAsia"/>
                      <w:kern w:val="0"/>
                      <w:szCs w:val="21"/>
                    </w:rPr>
                    <w:t>50~90mm</w:t>
                  </w:r>
                </w:p>
              </w:tc>
              <w:tc>
                <w:tcPr>
                  <w:tcW w:w="2014" w:type="dxa"/>
                  <w:gridSpan w:val="3"/>
                  <w:vAlign w:val="center"/>
                </w:tcPr>
                <w:p>
                  <w:pPr>
                    <w:autoSpaceDE w:val="0"/>
                    <w:autoSpaceDN w:val="0"/>
                    <w:jc w:val="center"/>
                    <w:rPr>
                      <w:kern w:val="0"/>
                      <w:szCs w:val="21"/>
                    </w:rPr>
                  </w:pPr>
                  <w:r>
                    <w:rPr>
                      <w:rFonts w:hint="eastAsia"/>
                      <w:kern w:val="0"/>
                      <w:szCs w:val="21"/>
                    </w:rPr>
                    <w:t>≥100m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2" w:type="dxa"/>
                  <w:gridSpan w:val="2"/>
                  <w:vAlign w:val="center"/>
                </w:tcPr>
                <w:p>
                  <w:pPr>
                    <w:autoSpaceDE w:val="0"/>
                    <w:autoSpaceDN w:val="0"/>
                    <w:jc w:val="center"/>
                    <w:rPr>
                      <w:kern w:val="0"/>
                      <w:szCs w:val="21"/>
                    </w:rPr>
                  </w:pPr>
                  <w:r>
                    <w:rPr>
                      <w:rFonts w:hint="eastAsia"/>
                      <w:kern w:val="0"/>
                      <w:szCs w:val="21"/>
                    </w:rPr>
                    <w:t>允许偏差</w:t>
                  </w:r>
                </w:p>
              </w:tc>
              <w:tc>
                <w:tcPr>
                  <w:tcW w:w="2018" w:type="dxa"/>
                  <w:gridSpan w:val="3"/>
                  <w:vAlign w:val="center"/>
                </w:tcPr>
                <w:p>
                  <w:pPr>
                    <w:autoSpaceDE w:val="0"/>
                    <w:autoSpaceDN w:val="0"/>
                    <w:jc w:val="center"/>
                    <w:rPr>
                      <w:kern w:val="0"/>
                      <w:szCs w:val="21"/>
                    </w:rPr>
                  </w:pPr>
                  <w:r>
                    <w:rPr>
                      <w:rFonts w:hint="eastAsia"/>
                      <w:kern w:val="0"/>
                      <w:szCs w:val="21"/>
                    </w:rPr>
                    <w:t>±10</w:t>
                  </w:r>
                </w:p>
              </w:tc>
              <w:tc>
                <w:tcPr>
                  <w:tcW w:w="2018" w:type="dxa"/>
                  <w:gridSpan w:val="3"/>
                  <w:vAlign w:val="center"/>
                </w:tcPr>
                <w:p>
                  <w:pPr>
                    <w:autoSpaceDE w:val="0"/>
                    <w:autoSpaceDN w:val="0"/>
                    <w:jc w:val="center"/>
                    <w:rPr>
                      <w:kern w:val="0"/>
                      <w:szCs w:val="21"/>
                    </w:rPr>
                  </w:pPr>
                  <w:r>
                    <w:rPr>
                      <w:rFonts w:hint="eastAsia"/>
                      <w:kern w:val="0"/>
                      <w:szCs w:val="21"/>
                    </w:rPr>
                    <w:t>±20</w:t>
                  </w:r>
                </w:p>
              </w:tc>
              <w:tc>
                <w:tcPr>
                  <w:tcW w:w="2014" w:type="dxa"/>
                  <w:gridSpan w:val="3"/>
                  <w:vAlign w:val="center"/>
                </w:tcPr>
                <w:p>
                  <w:pPr>
                    <w:autoSpaceDE w:val="0"/>
                    <w:autoSpaceDN w:val="0"/>
                    <w:jc w:val="center"/>
                    <w:rPr>
                      <w:kern w:val="0"/>
                      <w:szCs w:val="21"/>
                    </w:rPr>
                  </w:pPr>
                  <w:r>
                    <w:rPr>
                      <w:rFonts w:hint="eastAsia"/>
                      <w:kern w:val="0"/>
                      <w:szCs w:val="21"/>
                    </w:rPr>
                    <w:t>±30</w:t>
                  </w:r>
                </w:p>
              </w:tc>
            </w:tr>
          </w:tbl>
          <w:p>
            <w:pPr>
              <w:spacing w:line="360" w:lineRule="auto"/>
              <w:ind w:firstLine="420" w:firstLineChars="200"/>
              <w:jc w:val="left"/>
              <w:rPr>
                <w:rFonts w:cs="宋体"/>
                <w:bCs/>
                <w:szCs w:val="21"/>
              </w:rPr>
            </w:pPr>
          </w:p>
          <w:p>
            <w:pPr>
              <w:spacing w:line="360" w:lineRule="auto"/>
              <w:jc w:val="left"/>
              <w:rPr>
                <w:rFonts w:cs="宋体"/>
                <w:b/>
                <w:bCs/>
                <w:sz w:val="24"/>
              </w:rPr>
            </w:pPr>
            <w:r>
              <w:rPr>
                <w:rFonts w:cs="宋体"/>
                <w:b/>
                <w:bCs/>
                <w:sz w:val="24"/>
              </w:rPr>
              <w:t>3</w:t>
            </w:r>
            <w:r>
              <w:rPr>
                <w:rFonts w:hint="eastAsia" w:cs="宋体"/>
                <w:b/>
                <w:bCs/>
                <w:sz w:val="24"/>
              </w:rPr>
              <w:t>、原辅材料及动力消耗情况</w:t>
            </w:r>
          </w:p>
          <w:p>
            <w:pPr>
              <w:adjustRightInd w:val="0"/>
              <w:snapToGrid w:val="0"/>
              <w:spacing w:line="360" w:lineRule="auto"/>
              <w:ind w:firstLine="480" w:firstLineChars="200"/>
              <w:jc w:val="left"/>
              <w:rPr>
                <w:rFonts w:cs="宋体"/>
                <w:bCs/>
                <w:sz w:val="24"/>
              </w:rPr>
            </w:pPr>
            <w:r>
              <w:rPr>
                <w:rFonts w:hint="eastAsia" w:cs="宋体"/>
                <w:bCs/>
                <w:sz w:val="24"/>
              </w:rPr>
              <w:t>本项目生产商品混凝土的主要原料为水泥、粉煤灰、砂、碎石、</w:t>
            </w:r>
            <w:r>
              <w:rPr>
                <w:rFonts w:hint="eastAsia" w:cs="宋体"/>
                <w:sz w:val="24"/>
              </w:rPr>
              <w:t>添加剂</w:t>
            </w:r>
            <w:r>
              <w:rPr>
                <w:rFonts w:hint="eastAsia" w:cs="宋体"/>
                <w:bCs/>
                <w:sz w:val="24"/>
              </w:rPr>
              <w:t>和水，原辅材料来源均有保障，</w:t>
            </w:r>
            <w:r>
              <w:rPr>
                <w:rFonts w:cs="宋体"/>
                <w:bCs/>
                <w:sz w:val="24"/>
              </w:rPr>
              <w:t>主要原辅材料理化性质：</w:t>
            </w:r>
          </w:p>
          <w:p>
            <w:pPr>
              <w:adjustRightInd w:val="0"/>
              <w:snapToGrid w:val="0"/>
              <w:spacing w:line="360" w:lineRule="auto"/>
              <w:ind w:firstLine="480" w:firstLineChars="200"/>
              <w:jc w:val="left"/>
              <w:rPr>
                <w:rFonts w:cs="宋体"/>
                <w:bCs/>
                <w:sz w:val="24"/>
              </w:rPr>
            </w:pPr>
            <w:r>
              <w:rPr>
                <w:rFonts w:cs="宋体"/>
                <w:bCs/>
                <w:sz w:val="24"/>
              </w:rPr>
              <w:t>（1）水泥</w:t>
            </w:r>
          </w:p>
          <w:p>
            <w:pPr>
              <w:adjustRightInd w:val="0"/>
              <w:snapToGrid w:val="0"/>
              <w:spacing w:line="360" w:lineRule="auto"/>
              <w:ind w:firstLine="480" w:firstLineChars="200"/>
              <w:jc w:val="left"/>
              <w:rPr>
                <w:rFonts w:cs="宋体"/>
                <w:bCs/>
                <w:sz w:val="24"/>
              </w:rPr>
            </w:pPr>
            <w:r>
              <w:rPr>
                <w:rFonts w:cs="宋体"/>
                <w:bCs/>
                <w:sz w:val="24"/>
              </w:rPr>
              <w:t>粉状水硬性无机胶凝材料。加水搅拌后成浆体，能在空气中硬化或者在水中更好的硬化，并能把砂、石等材料牢固地胶结在一起。硅酸盐水泥的化学成分：硅酸三钙（3CaO·SiO</w:t>
            </w:r>
            <w:r>
              <w:rPr>
                <w:rFonts w:cs="宋体"/>
                <w:bCs/>
                <w:sz w:val="24"/>
                <w:vertAlign w:val="subscript"/>
              </w:rPr>
              <w:t>2</w:t>
            </w:r>
            <w:r>
              <w:rPr>
                <w:rFonts w:cs="宋体"/>
                <w:bCs/>
                <w:sz w:val="24"/>
              </w:rPr>
              <w:t>，简式C</w:t>
            </w:r>
            <w:r>
              <w:rPr>
                <w:rFonts w:cs="宋体"/>
                <w:bCs/>
                <w:sz w:val="24"/>
                <w:vertAlign w:val="subscript"/>
              </w:rPr>
              <w:t>3</w:t>
            </w:r>
            <w:r>
              <w:rPr>
                <w:rFonts w:cs="宋体"/>
                <w:bCs/>
                <w:sz w:val="24"/>
              </w:rPr>
              <w:t>S），硅酸二钙（2CaO·SiO</w:t>
            </w:r>
            <w:r>
              <w:rPr>
                <w:rFonts w:cs="宋体"/>
                <w:bCs/>
                <w:sz w:val="24"/>
                <w:vertAlign w:val="subscript"/>
              </w:rPr>
              <w:t>2</w:t>
            </w:r>
            <w:r>
              <w:rPr>
                <w:rFonts w:cs="宋体"/>
                <w:bCs/>
                <w:sz w:val="24"/>
              </w:rPr>
              <w:t>，简式C</w:t>
            </w:r>
            <w:r>
              <w:rPr>
                <w:rFonts w:cs="宋体"/>
                <w:bCs/>
                <w:sz w:val="24"/>
                <w:vertAlign w:val="subscript"/>
              </w:rPr>
              <w:t>2</w:t>
            </w:r>
            <w:r>
              <w:rPr>
                <w:rFonts w:cs="宋体"/>
                <w:bCs/>
                <w:sz w:val="24"/>
              </w:rPr>
              <w:t>S），铝酸三钙（3CaO·Al</w:t>
            </w:r>
            <w:r>
              <w:rPr>
                <w:rFonts w:cs="宋体"/>
                <w:bCs/>
                <w:sz w:val="24"/>
                <w:vertAlign w:val="subscript"/>
              </w:rPr>
              <w:t>2</w:t>
            </w:r>
            <w:r>
              <w:rPr>
                <w:rFonts w:cs="宋体"/>
                <w:bCs/>
                <w:sz w:val="24"/>
              </w:rPr>
              <w:t>O</w:t>
            </w:r>
            <w:r>
              <w:rPr>
                <w:rFonts w:cs="宋体"/>
                <w:bCs/>
                <w:sz w:val="24"/>
                <w:vertAlign w:val="subscript"/>
              </w:rPr>
              <w:t>3</w:t>
            </w:r>
            <w:r>
              <w:rPr>
                <w:rFonts w:cs="宋体"/>
                <w:bCs/>
                <w:sz w:val="24"/>
              </w:rPr>
              <w:t>，简式C</w:t>
            </w:r>
            <w:r>
              <w:rPr>
                <w:rFonts w:cs="宋体"/>
                <w:bCs/>
                <w:sz w:val="24"/>
                <w:vertAlign w:val="subscript"/>
              </w:rPr>
              <w:t>3</w:t>
            </w:r>
            <w:r>
              <w:rPr>
                <w:rFonts w:cs="宋体"/>
                <w:bCs/>
                <w:sz w:val="24"/>
              </w:rPr>
              <w:t>A），铁铝酸四钙（4CaO·Al</w:t>
            </w:r>
            <w:r>
              <w:rPr>
                <w:rFonts w:cs="宋体"/>
                <w:bCs/>
                <w:sz w:val="24"/>
                <w:vertAlign w:val="subscript"/>
              </w:rPr>
              <w:t>2</w:t>
            </w:r>
            <w:r>
              <w:rPr>
                <w:rFonts w:cs="宋体"/>
                <w:bCs/>
                <w:sz w:val="24"/>
              </w:rPr>
              <w:t>O</w:t>
            </w:r>
            <w:r>
              <w:rPr>
                <w:rFonts w:cs="宋体"/>
                <w:bCs/>
                <w:sz w:val="24"/>
                <w:vertAlign w:val="subscript"/>
              </w:rPr>
              <w:t>3</w:t>
            </w:r>
            <w:r>
              <w:rPr>
                <w:rFonts w:cs="宋体"/>
                <w:bCs/>
                <w:sz w:val="24"/>
              </w:rPr>
              <w:t>·Fe</w:t>
            </w:r>
            <w:r>
              <w:rPr>
                <w:rFonts w:cs="宋体"/>
                <w:bCs/>
                <w:sz w:val="24"/>
                <w:vertAlign w:val="subscript"/>
              </w:rPr>
              <w:t>2</w:t>
            </w:r>
            <w:r>
              <w:rPr>
                <w:rFonts w:cs="宋体"/>
                <w:bCs/>
                <w:sz w:val="24"/>
              </w:rPr>
              <w:t>O</w:t>
            </w:r>
            <w:r>
              <w:rPr>
                <w:rFonts w:cs="宋体"/>
                <w:bCs/>
                <w:sz w:val="24"/>
                <w:vertAlign w:val="subscript"/>
              </w:rPr>
              <w:t>3</w:t>
            </w:r>
            <w:r>
              <w:rPr>
                <w:rFonts w:cs="宋体"/>
                <w:bCs/>
                <w:sz w:val="24"/>
              </w:rPr>
              <w:t>，简式C</w:t>
            </w:r>
            <w:r>
              <w:rPr>
                <w:rFonts w:cs="宋体"/>
                <w:bCs/>
                <w:sz w:val="24"/>
                <w:vertAlign w:val="subscript"/>
              </w:rPr>
              <w:t>4</w:t>
            </w:r>
            <w:r>
              <w:rPr>
                <w:rFonts w:cs="宋体"/>
                <w:bCs/>
                <w:sz w:val="24"/>
              </w:rPr>
              <w:t>AF）。</w:t>
            </w:r>
          </w:p>
          <w:p>
            <w:pPr>
              <w:adjustRightInd w:val="0"/>
              <w:snapToGrid w:val="0"/>
              <w:spacing w:line="360" w:lineRule="auto"/>
              <w:ind w:firstLine="480" w:firstLineChars="200"/>
              <w:jc w:val="left"/>
              <w:rPr>
                <w:rFonts w:cs="宋体"/>
                <w:bCs/>
                <w:sz w:val="24"/>
              </w:rPr>
            </w:pPr>
            <w:r>
              <w:rPr>
                <w:rFonts w:cs="宋体"/>
                <w:bCs/>
                <w:sz w:val="24"/>
              </w:rPr>
              <w:t>（2）粉煤灰</w:t>
            </w:r>
          </w:p>
          <w:p>
            <w:pPr>
              <w:adjustRightInd w:val="0"/>
              <w:snapToGrid w:val="0"/>
              <w:spacing w:line="360" w:lineRule="auto"/>
              <w:ind w:firstLine="480" w:firstLineChars="200"/>
              <w:jc w:val="left"/>
              <w:rPr>
                <w:rFonts w:cs="宋体"/>
                <w:bCs/>
                <w:sz w:val="24"/>
              </w:rPr>
            </w:pPr>
            <w:r>
              <w:rPr>
                <w:rFonts w:cs="宋体"/>
                <w:bCs/>
                <w:sz w:val="24"/>
              </w:rPr>
              <w:t>粉煤灰，是从煤燃烧后的烟气中收捕下来的细灰，粉煤灰是燃煤电厂排出的主要固体废物。我国火电厂粉煤灰的主要氧化物组成为</w:t>
            </w:r>
            <w:r>
              <w:rPr>
                <w:rFonts w:hint="eastAsia" w:cs="宋体"/>
                <w:bCs/>
                <w:sz w:val="24"/>
              </w:rPr>
              <w:t>：</w:t>
            </w:r>
            <w:r>
              <w:rPr>
                <w:rFonts w:cs="宋体"/>
                <w:bCs/>
                <w:sz w:val="24"/>
              </w:rPr>
              <w:t>SiO</w:t>
            </w:r>
            <w:r>
              <w:rPr>
                <w:rFonts w:cs="宋体"/>
                <w:bCs/>
                <w:sz w:val="24"/>
                <w:vertAlign w:val="subscript"/>
              </w:rPr>
              <w:t>2</w:t>
            </w:r>
            <w:r>
              <w:rPr>
                <w:rFonts w:cs="宋体"/>
                <w:bCs/>
                <w:sz w:val="24"/>
              </w:rPr>
              <w:t>、Al</w:t>
            </w:r>
            <w:r>
              <w:rPr>
                <w:rFonts w:cs="宋体"/>
                <w:bCs/>
                <w:sz w:val="24"/>
                <w:vertAlign w:val="subscript"/>
              </w:rPr>
              <w:t>2</w:t>
            </w:r>
            <w:r>
              <w:rPr>
                <w:rFonts w:cs="宋体"/>
                <w:bCs/>
                <w:sz w:val="24"/>
              </w:rPr>
              <w:t>O</w:t>
            </w:r>
            <w:r>
              <w:rPr>
                <w:rFonts w:cs="宋体"/>
                <w:bCs/>
                <w:sz w:val="24"/>
                <w:vertAlign w:val="subscript"/>
              </w:rPr>
              <w:t>3</w:t>
            </w:r>
            <w:r>
              <w:rPr>
                <w:rFonts w:cs="宋体"/>
                <w:bCs/>
                <w:sz w:val="24"/>
              </w:rPr>
              <w:t>、FeO、Fe</w:t>
            </w:r>
            <w:r>
              <w:rPr>
                <w:rFonts w:cs="宋体"/>
                <w:bCs/>
                <w:sz w:val="24"/>
                <w:vertAlign w:val="subscript"/>
              </w:rPr>
              <w:t>2</w:t>
            </w:r>
            <w:r>
              <w:rPr>
                <w:rFonts w:cs="宋体"/>
                <w:bCs/>
                <w:sz w:val="24"/>
              </w:rPr>
              <w:t>O</w:t>
            </w:r>
            <w:r>
              <w:rPr>
                <w:rFonts w:cs="宋体"/>
                <w:bCs/>
                <w:sz w:val="24"/>
                <w:vertAlign w:val="subscript"/>
              </w:rPr>
              <w:t>3</w:t>
            </w:r>
            <w:r>
              <w:rPr>
                <w:rFonts w:cs="宋体"/>
                <w:bCs/>
                <w:sz w:val="24"/>
              </w:rPr>
              <w:t>、CaO、TiO</w:t>
            </w:r>
            <w:r>
              <w:rPr>
                <w:rFonts w:cs="宋体"/>
                <w:bCs/>
                <w:sz w:val="24"/>
                <w:vertAlign w:val="subscript"/>
              </w:rPr>
              <w:t>2</w:t>
            </w:r>
            <w:r>
              <w:rPr>
                <w:rFonts w:cs="宋体"/>
                <w:bCs/>
                <w:sz w:val="24"/>
              </w:rPr>
              <w:t>、MgO、K</w:t>
            </w:r>
            <w:r>
              <w:rPr>
                <w:rFonts w:cs="宋体"/>
                <w:bCs/>
                <w:sz w:val="24"/>
                <w:vertAlign w:val="subscript"/>
              </w:rPr>
              <w:t>2</w:t>
            </w:r>
            <w:r>
              <w:rPr>
                <w:rFonts w:cs="宋体"/>
                <w:bCs/>
                <w:sz w:val="24"/>
              </w:rPr>
              <w:t>O、Na</w:t>
            </w:r>
            <w:r>
              <w:rPr>
                <w:rFonts w:cs="宋体"/>
                <w:bCs/>
                <w:sz w:val="24"/>
                <w:vertAlign w:val="subscript"/>
              </w:rPr>
              <w:t>2</w:t>
            </w:r>
            <w:r>
              <w:rPr>
                <w:rFonts w:cs="宋体"/>
                <w:bCs/>
                <w:sz w:val="24"/>
              </w:rPr>
              <w:t>O、MnO</w:t>
            </w:r>
            <w:r>
              <w:rPr>
                <w:rFonts w:cs="宋体"/>
                <w:bCs/>
                <w:sz w:val="24"/>
                <w:vertAlign w:val="subscript"/>
              </w:rPr>
              <w:t>2</w:t>
            </w:r>
            <w:r>
              <w:rPr>
                <w:rFonts w:cs="宋体"/>
                <w:bCs/>
                <w:sz w:val="24"/>
              </w:rPr>
              <w:t>等，此外还有P</w:t>
            </w:r>
            <w:r>
              <w:rPr>
                <w:rFonts w:cs="宋体"/>
                <w:bCs/>
                <w:sz w:val="24"/>
                <w:vertAlign w:val="subscript"/>
              </w:rPr>
              <w:t>2</w:t>
            </w:r>
            <w:r>
              <w:rPr>
                <w:rFonts w:cs="宋体"/>
                <w:bCs/>
                <w:sz w:val="24"/>
              </w:rPr>
              <w:t>O</w:t>
            </w:r>
            <w:r>
              <w:rPr>
                <w:rFonts w:cs="宋体"/>
                <w:bCs/>
                <w:sz w:val="24"/>
                <w:vertAlign w:val="subscript"/>
              </w:rPr>
              <w:t>5</w:t>
            </w:r>
            <w:r>
              <w:rPr>
                <w:rFonts w:cs="宋体"/>
                <w:bCs/>
                <w:sz w:val="24"/>
              </w:rPr>
              <w:t>等。其中氧化硅、氧化钛来自黏土，岩页；氧化铁主要来自黄铁矿；氧化镁和氧化钙来自与其相应的碳酸盐和硫酸盐。</w:t>
            </w:r>
          </w:p>
          <w:p>
            <w:pPr>
              <w:adjustRightInd w:val="0"/>
              <w:snapToGrid w:val="0"/>
              <w:spacing w:line="360" w:lineRule="auto"/>
              <w:ind w:firstLine="480" w:firstLineChars="200"/>
              <w:jc w:val="left"/>
              <w:rPr>
                <w:rFonts w:cs="宋体"/>
                <w:bCs/>
                <w:sz w:val="24"/>
              </w:rPr>
            </w:pPr>
            <w:r>
              <w:rPr>
                <w:rFonts w:cs="宋体"/>
                <w:bCs/>
                <w:sz w:val="24"/>
              </w:rPr>
              <w:t>粉煤灰的元素组成</w:t>
            </w:r>
            <w:r>
              <w:rPr>
                <w:rFonts w:hint="eastAsia" w:cs="宋体"/>
                <w:bCs/>
                <w:sz w:val="24"/>
              </w:rPr>
              <w:t>（</w:t>
            </w:r>
            <w:r>
              <w:rPr>
                <w:rFonts w:cs="宋体"/>
                <w:bCs/>
                <w:sz w:val="24"/>
              </w:rPr>
              <w:t>质量分数</w:t>
            </w:r>
            <w:r>
              <w:rPr>
                <w:rFonts w:hint="eastAsia" w:cs="宋体"/>
                <w:bCs/>
                <w:sz w:val="24"/>
              </w:rPr>
              <w:t>）</w:t>
            </w:r>
            <w:r>
              <w:rPr>
                <w:rFonts w:cs="宋体"/>
                <w:bCs/>
                <w:sz w:val="24"/>
              </w:rPr>
              <w:t>为</w:t>
            </w:r>
            <w:r>
              <w:rPr>
                <w:rFonts w:hint="eastAsia" w:cs="宋体"/>
                <w:bCs/>
                <w:sz w:val="24"/>
              </w:rPr>
              <w:t>：</w:t>
            </w:r>
            <w:r>
              <w:rPr>
                <w:rFonts w:cs="宋体"/>
                <w:bCs/>
                <w:sz w:val="24"/>
              </w:rPr>
              <w:t>O 47.83%，Si 11.48%~31.14%，Al 6.40%~22.91%，Fe 1.90%~18.51%， Ca 0.30%~25.10%，K 0.22%~3.10%，Mg 0.05%~1.92%，Ti 0.40%~1.80%， S 0.03%~4.75%，Na 0.05%~1.40%，P 0.00%~0.90%，Cl 0.00%~0.12%，其他0.50%~29.12%。</w:t>
            </w:r>
          </w:p>
          <w:p>
            <w:pPr>
              <w:adjustRightInd w:val="0"/>
              <w:snapToGrid w:val="0"/>
              <w:spacing w:line="360" w:lineRule="auto"/>
              <w:ind w:firstLine="480" w:firstLineChars="200"/>
              <w:jc w:val="left"/>
              <w:rPr>
                <w:rFonts w:cs="宋体"/>
                <w:bCs/>
                <w:sz w:val="24"/>
              </w:rPr>
            </w:pPr>
            <w:r>
              <w:rPr>
                <w:rFonts w:cs="宋体"/>
                <w:bCs/>
                <w:sz w:val="24"/>
              </w:rPr>
              <w:t>（3）</w:t>
            </w:r>
            <w:r>
              <w:rPr>
                <w:rFonts w:cs="宋体"/>
                <w:sz w:val="24"/>
              </w:rPr>
              <w:t>添加剂</w:t>
            </w:r>
          </w:p>
          <w:p>
            <w:pPr>
              <w:adjustRightInd w:val="0"/>
              <w:snapToGrid w:val="0"/>
              <w:spacing w:line="360" w:lineRule="auto"/>
              <w:ind w:firstLine="480" w:firstLineChars="200"/>
              <w:jc w:val="left"/>
              <w:rPr>
                <w:rFonts w:cs="宋体"/>
                <w:b/>
                <w:bCs/>
                <w:sz w:val="24"/>
              </w:rPr>
            </w:pPr>
            <w:r>
              <w:rPr>
                <w:rFonts w:cs="宋体"/>
                <w:bCs/>
                <w:sz w:val="24"/>
              </w:rPr>
              <w:t>本项目</w:t>
            </w:r>
            <w:r>
              <w:rPr>
                <w:rFonts w:cs="宋体"/>
                <w:sz w:val="24"/>
              </w:rPr>
              <w:t>添加剂</w:t>
            </w:r>
            <w:r>
              <w:rPr>
                <w:rFonts w:cs="宋体"/>
                <w:bCs/>
                <w:sz w:val="24"/>
              </w:rPr>
              <w:t>主要为聚羧酸减水剂，聚羧酸减水剂是一种高性能减水剂，是水泥混凝土运用中的一种水泥分散剂，羧酸减水剂是由聚乙烯醇单甲醚和甲基丙烯酸先酯化再和甲基丙烯酸缩合而成的大分子链化合物，聚羧酸作为高分子化合物，往往呈树脂状，有很好的强度、韧性、化学稳定性，可作为多种用途的材料。</w:t>
            </w:r>
          </w:p>
          <w:p>
            <w:pPr>
              <w:spacing w:line="360" w:lineRule="auto"/>
              <w:ind w:firstLine="480" w:firstLineChars="200"/>
              <w:jc w:val="left"/>
              <w:rPr>
                <w:rFonts w:cs="宋体"/>
                <w:bCs/>
                <w:sz w:val="24"/>
              </w:rPr>
            </w:pPr>
            <w:r>
              <w:rPr>
                <w:rFonts w:hint="eastAsia" w:cs="宋体"/>
                <w:bCs/>
                <w:sz w:val="24"/>
              </w:rPr>
              <w:t>本项目水泥、粉煤灰在筒仓储存，</w:t>
            </w:r>
            <w:r>
              <w:rPr>
                <w:rFonts w:cs="宋体"/>
                <w:bCs/>
                <w:sz w:val="24"/>
              </w:rPr>
              <w:t>通过螺旋输送机密闭</w:t>
            </w:r>
            <w:r>
              <w:rPr>
                <w:rFonts w:hint="eastAsia" w:cs="宋体"/>
                <w:bCs/>
                <w:sz w:val="24"/>
              </w:rPr>
              <w:t>送入</w:t>
            </w:r>
            <w:r>
              <w:rPr>
                <w:rFonts w:cs="宋体"/>
                <w:bCs/>
                <w:sz w:val="24"/>
              </w:rPr>
              <w:t>搅拌</w:t>
            </w:r>
            <w:r>
              <w:rPr>
                <w:rFonts w:hint="eastAsia" w:cs="宋体"/>
                <w:bCs/>
                <w:sz w:val="24"/>
              </w:rPr>
              <w:t>站</w:t>
            </w:r>
            <w:r>
              <w:rPr>
                <w:rFonts w:cs="宋体"/>
                <w:bCs/>
                <w:sz w:val="24"/>
              </w:rPr>
              <w:t>内</w:t>
            </w:r>
            <w:r>
              <w:rPr>
                <w:rFonts w:hint="eastAsia" w:cs="宋体"/>
                <w:bCs/>
                <w:sz w:val="24"/>
              </w:rPr>
              <w:t>；砂、石原料在封闭原料库内储存，经密闭输送带送入搅拌机；</w:t>
            </w:r>
            <w:r>
              <w:rPr>
                <w:rFonts w:cs="宋体"/>
                <w:sz w:val="24"/>
              </w:rPr>
              <w:t>添加剂</w:t>
            </w:r>
            <w:r>
              <w:rPr>
                <w:rFonts w:cs="宋体"/>
                <w:bCs/>
                <w:sz w:val="24"/>
              </w:rPr>
              <w:t>暂存于</w:t>
            </w:r>
            <w:r>
              <w:rPr>
                <w:rFonts w:hint="eastAsia" w:cs="宋体"/>
                <w:sz w:val="24"/>
              </w:rPr>
              <w:t>添加剂</w:t>
            </w:r>
            <w:r>
              <w:rPr>
                <w:rFonts w:hint="eastAsia" w:cs="宋体"/>
                <w:bCs/>
                <w:sz w:val="24"/>
              </w:rPr>
              <w:t>罐</w:t>
            </w:r>
            <w:r>
              <w:rPr>
                <w:rFonts w:cs="宋体"/>
                <w:bCs/>
                <w:sz w:val="24"/>
              </w:rPr>
              <w:t>中，使用时由泵通过管道直接送入搅拌机</w:t>
            </w:r>
            <w:r>
              <w:rPr>
                <w:rFonts w:hint="eastAsia" w:cs="宋体"/>
                <w:bCs/>
                <w:sz w:val="24"/>
              </w:rPr>
              <w:t>。</w:t>
            </w:r>
          </w:p>
          <w:p>
            <w:pPr>
              <w:autoSpaceDE w:val="0"/>
              <w:autoSpaceDN w:val="0"/>
              <w:spacing w:line="360" w:lineRule="auto"/>
              <w:ind w:firstLine="480" w:firstLineChars="200"/>
              <w:rPr>
                <w:kern w:val="0"/>
                <w:sz w:val="24"/>
              </w:rPr>
            </w:pPr>
            <w:r>
              <w:rPr>
                <w:rFonts w:hint="eastAsia"/>
                <w:kern w:val="0"/>
                <w:sz w:val="24"/>
              </w:rPr>
              <w:t>根据其产量估算其主要原、辅材料消耗量见表</w:t>
            </w:r>
            <w:r>
              <w:rPr>
                <w:kern w:val="0"/>
                <w:sz w:val="24"/>
              </w:rPr>
              <w:t>2-3</w:t>
            </w:r>
            <w:r>
              <w:rPr>
                <w:rFonts w:hint="eastAsia"/>
                <w:kern w:val="0"/>
                <w:sz w:val="24"/>
              </w:rPr>
              <w:t>。</w:t>
            </w:r>
          </w:p>
          <w:p>
            <w:pPr>
              <w:pStyle w:val="22"/>
            </w:pPr>
            <w:r>
              <w:rPr>
                <w:rFonts w:hint="eastAsia"/>
              </w:rPr>
              <w:t>表</w:t>
            </w:r>
            <w:r>
              <w:t xml:space="preserve">2-3 </w:t>
            </w:r>
            <w:r>
              <w:rPr>
                <w:rFonts w:hint="eastAsia"/>
              </w:rPr>
              <w:t>主要原辅材料及动力消耗情况表</w:t>
            </w:r>
          </w:p>
          <w:tbl>
            <w:tblPr>
              <w:tblStyle w:val="1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63"/>
              <w:gridCol w:w="1115"/>
              <w:gridCol w:w="1680"/>
              <w:gridCol w:w="2692"/>
              <w:gridCol w:w="148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6" w:type="pct"/>
                  <w:vAlign w:val="center"/>
                </w:tcPr>
                <w:p>
                  <w:pPr>
                    <w:autoSpaceDE w:val="0"/>
                    <w:autoSpaceDN w:val="0"/>
                    <w:jc w:val="center"/>
                    <w:rPr>
                      <w:kern w:val="0"/>
                      <w:szCs w:val="21"/>
                    </w:rPr>
                  </w:pPr>
                  <w:r>
                    <w:rPr>
                      <w:rFonts w:hint="eastAsia"/>
                      <w:kern w:val="0"/>
                      <w:szCs w:val="21"/>
                    </w:rPr>
                    <w:t>类别</w:t>
                  </w:r>
                </w:p>
              </w:tc>
              <w:tc>
                <w:tcPr>
                  <w:tcW w:w="676" w:type="pct"/>
                  <w:vAlign w:val="center"/>
                </w:tcPr>
                <w:p>
                  <w:pPr>
                    <w:autoSpaceDE w:val="0"/>
                    <w:autoSpaceDN w:val="0"/>
                    <w:jc w:val="center"/>
                    <w:rPr>
                      <w:kern w:val="0"/>
                      <w:szCs w:val="21"/>
                    </w:rPr>
                  </w:pPr>
                  <w:r>
                    <w:rPr>
                      <w:rFonts w:hint="eastAsia"/>
                      <w:kern w:val="0"/>
                      <w:szCs w:val="21"/>
                    </w:rPr>
                    <w:t>名称</w:t>
                  </w:r>
                </w:p>
              </w:tc>
              <w:tc>
                <w:tcPr>
                  <w:tcW w:w="1019" w:type="pct"/>
                  <w:vAlign w:val="center"/>
                </w:tcPr>
                <w:p>
                  <w:pPr>
                    <w:autoSpaceDE w:val="0"/>
                    <w:autoSpaceDN w:val="0"/>
                    <w:jc w:val="center"/>
                    <w:rPr>
                      <w:kern w:val="0"/>
                      <w:szCs w:val="21"/>
                    </w:rPr>
                  </w:pPr>
                  <w:r>
                    <w:rPr>
                      <w:rFonts w:hint="eastAsia"/>
                      <w:kern w:val="0"/>
                      <w:szCs w:val="21"/>
                    </w:rPr>
                    <w:t>年耗量（万t）</w:t>
                  </w:r>
                </w:p>
              </w:tc>
              <w:tc>
                <w:tcPr>
                  <w:tcW w:w="1633" w:type="pct"/>
                  <w:vAlign w:val="center"/>
                </w:tcPr>
                <w:p>
                  <w:pPr>
                    <w:autoSpaceDE w:val="0"/>
                    <w:autoSpaceDN w:val="0"/>
                    <w:jc w:val="center"/>
                    <w:rPr>
                      <w:kern w:val="0"/>
                      <w:szCs w:val="21"/>
                    </w:rPr>
                  </w:pPr>
                  <w:r>
                    <w:rPr>
                      <w:rFonts w:hint="eastAsia"/>
                      <w:kern w:val="0"/>
                      <w:szCs w:val="21"/>
                    </w:rPr>
                    <w:t>来源</w:t>
                  </w:r>
                </w:p>
              </w:tc>
              <w:tc>
                <w:tcPr>
                  <w:tcW w:w="903" w:type="pct"/>
                  <w:vAlign w:val="center"/>
                </w:tcPr>
                <w:p>
                  <w:pPr>
                    <w:autoSpaceDE w:val="0"/>
                    <w:autoSpaceDN w:val="0"/>
                    <w:jc w:val="center"/>
                    <w:rPr>
                      <w:kern w:val="0"/>
                      <w:szCs w:val="21"/>
                    </w:rPr>
                  </w:pPr>
                  <w:r>
                    <w:rPr>
                      <w:rFonts w:hint="eastAsia"/>
                      <w:kern w:val="0"/>
                      <w:szCs w:val="21"/>
                    </w:rPr>
                    <w:t>厂区储存形式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6" w:type="pct"/>
                  <w:vMerge w:val="restart"/>
                  <w:vAlign w:val="center"/>
                </w:tcPr>
                <w:p>
                  <w:pPr>
                    <w:autoSpaceDE w:val="0"/>
                    <w:autoSpaceDN w:val="0"/>
                    <w:jc w:val="center"/>
                    <w:rPr>
                      <w:kern w:val="0"/>
                      <w:szCs w:val="21"/>
                    </w:rPr>
                  </w:pPr>
                  <w:r>
                    <w:rPr>
                      <w:rFonts w:hint="eastAsia"/>
                      <w:kern w:val="0"/>
                      <w:szCs w:val="21"/>
                    </w:rPr>
                    <w:t>原（辅）料</w:t>
                  </w:r>
                </w:p>
              </w:tc>
              <w:tc>
                <w:tcPr>
                  <w:tcW w:w="676" w:type="pct"/>
                  <w:vAlign w:val="center"/>
                </w:tcPr>
                <w:p>
                  <w:pPr>
                    <w:autoSpaceDE w:val="0"/>
                    <w:autoSpaceDN w:val="0"/>
                    <w:jc w:val="center"/>
                    <w:rPr>
                      <w:kern w:val="0"/>
                      <w:szCs w:val="21"/>
                    </w:rPr>
                  </w:pPr>
                  <w:r>
                    <w:rPr>
                      <w:rFonts w:hint="eastAsia"/>
                      <w:kern w:val="0"/>
                      <w:szCs w:val="21"/>
                    </w:rPr>
                    <w:t>水泥</w:t>
                  </w:r>
                </w:p>
              </w:tc>
              <w:tc>
                <w:tcPr>
                  <w:tcW w:w="1019" w:type="pct"/>
                  <w:vAlign w:val="center"/>
                </w:tcPr>
                <w:p>
                  <w:pPr>
                    <w:autoSpaceDE w:val="0"/>
                    <w:autoSpaceDN w:val="0"/>
                    <w:jc w:val="center"/>
                    <w:rPr>
                      <w:kern w:val="0"/>
                      <w:szCs w:val="21"/>
                    </w:rPr>
                  </w:pPr>
                  <w:r>
                    <w:rPr>
                      <w:kern w:val="0"/>
                      <w:szCs w:val="21"/>
                    </w:rPr>
                    <w:t>7.5</w:t>
                  </w:r>
                </w:p>
              </w:tc>
              <w:tc>
                <w:tcPr>
                  <w:tcW w:w="1633" w:type="pct"/>
                  <w:vAlign w:val="center"/>
                </w:tcPr>
                <w:p>
                  <w:pPr>
                    <w:autoSpaceDE w:val="0"/>
                    <w:autoSpaceDN w:val="0"/>
                    <w:jc w:val="center"/>
                    <w:rPr>
                      <w:kern w:val="0"/>
                      <w:szCs w:val="21"/>
                    </w:rPr>
                  </w:pPr>
                  <w:r>
                    <w:rPr>
                      <w:rFonts w:hint="eastAsia"/>
                      <w:kern w:val="0"/>
                      <w:szCs w:val="21"/>
                    </w:rPr>
                    <w:t xml:space="preserve">水泥厂外购，汽运（灌装） </w:t>
                  </w:r>
                </w:p>
              </w:tc>
              <w:tc>
                <w:tcPr>
                  <w:tcW w:w="903" w:type="pct"/>
                  <w:vAlign w:val="center"/>
                </w:tcPr>
                <w:p>
                  <w:pPr>
                    <w:autoSpaceDE w:val="0"/>
                    <w:autoSpaceDN w:val="0"/>
                    <w:jc w:val="center"/>
                    <w:rPr>
                      <w:kern w:val="0"/>
                      <w:szCs w:val="21"/>
                    </w:rPr>
                  </w:pPr>
                  <w:r>
                    <w:rPr>
                      <w:kern w:val="0"/>
                      <w:szCs w:val="21"/>
                    </w:rPr>
                    <w:t>筒</w:t>
                  </w:r>
                  <w:r>
                    <w:rPr>
                      <w:rFonts w:hint="eastAsia"/>
                      <w:kern w:val="0"/>
                      <w:szCs w:val="21"/>
                    </w:rPr>
                    <w:t>料</w:t>
                  </w:r>
                  <w:r>
                    <w:rPr>
                      <w:kern w:val="0"/>
                      <w:szCs w:val="21"/>
                    </w:rPr>
                    <w:t>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6" w:type="pct"/>
                  <w:vMerge w:val="continue"/>
                  <w:vAlign w:val="center"/>
                </w:tcPr>
                <w:p>
                  <w:pPr>
                    <w:autoSpaceDE w:val="0"/>
                    <w:autoSpaceDN w:val="0"/>
                    <w:jc w:val="center"/>
                    <w:rPr>
                      <w:kern w:val="0"/>
                      <w:szCs w:val="21"/>
                    </w:rPr>
                  </w:pPr>
                </w:p>
              </w:tc>
              <w:tc>
                <w:tcPr>
                  <w:tcW w:w="676" w:type="pct"/>
                  <w:vAlign w:val="center"/>
                </w:tcPr>
                <w:p>
                  <w:pPr>
                    <w:autoSpaceDE w:val="0"/>
                    <w:autoSpaceDN w:val="0"/>
                    <w:jc w:val="center"/>
                    <w:rPr>
                      <w:kern w:val="0"/>
                      <w:szCs w:val="21"/>
                    </w:rPr>
                  </w:pPr>
                  <w:r>
                    <w:rPr>
                      <w:rFonts w:hint="eastAsia"/>
                      <w:kern w:val="0"/>
                      <w:szCs w:val="21"/>
                    </w:rPr>
                    <w:t>砂子</w:t>
                  </w:r>
                </w:p>
              </w:tc>
              <w:tc>
                <w:tcPr>
                  <w:tcW w:w="1019" w:type="pct"/>
                  <w:vAlign w:val="center"/>
                </w:tcPr>
                <w:p>
                  <w:pPr>
                    <w:autoSpaceDE w:val="0"/>
                    <w:autoSpaceDN w:val="0"/>
                    <w:jc w:val="center"/>
                    <w:rPr>
                      <w:kern w:val="0"/>
                      <w:szCs w:val="21"/>
                    </w:rPr>
                  </w:pPr>
                  <w:r>
                    <w:rPr>
                      <w:kern w:val="0"/>
                      <w:szCs w:val="21"/>
                    </w:rPr>
                    <w:t>22.5</w:t>
                  </w:r>
                </w:p>
              </w:tc>
              <w:tc>
                <w:tcPr>
                  <w:tcW w:w="1633" w:type="pct"/>
                  <w:vAlign w:val="center"/>
                </w:tcPr>
                <w:p>
                  <w:pPr>
                    <w:autoSpaceDE w:val="0"/>
                    <w:autoSpaceDN w:val="0"/>
                    <w:jc w:val="center"/>
                    <w:rPr>
                      <w:kern w:val="0"/>
                      <w:szCs w:val="21"/>
                    </w:rPr>
                  </w:pPr>
                  <w:r>
                    <w:rPr>
                      <w:rFonts w:hint="eastAsia"/>
                      <w:kern w:val="0"/>
                      <w:szCs w:val="21"/>
                    </w:rPr>
                    <w:t>砂石厂外购，汽运（散运）</w:t>
                  </w:r>
                </w:p>
              </w:tc>
              <w:tc>
                <w:tcPr>
                  <w:tcW w:w="903" w:type="pct"/>
                  <w:vAlign w:val="center"/>
                </w:tcPr>
                <w:p>
                  <w:pPr>
                    <w:autoSpaceDE w:val="0"/>
                    <w:autoSpaceDN w:val="0"/>
                    <w:jc w:val="center"/>
                    <w:rPr>
                      <w:kern w:val="0"/>
                      <w:szCs w:val="21"/>
                    </w:rPr>
                  </w:pPr>
                  <w:r>
                    <w:rPr>
                      <w:rFonts w:hint="eastAsia"/>
                      <w:kern w:val="0"/>
                      <w:szCs w:val="21"/>
                    </w:rPr>
                    <w:t>储料库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6" w:type="pct"/>
                  <w:vMerge w:val="continue"/>
                  <w:vAlign w:val="center"/>
                </w:tcPr>
                <w:p>
                  <w:pPr>
                    <w:autoSpaceDE w:val="0"/>
                    <w:autoSpaceDN w:val="0"/>
                    <w:jc w:val="center"/>
                    <w:rPr>
                      <w:kern w:val="0"/>
                      <w:szCs w:val="21"/>
                    </w:rPr>
                  </w:pPr>
                </w:p>
              </w:tc>
              <w:tc>
                <w:tcPr>
                  <w:tcW w:w="676" w:type="pct"/>
                  <w:vAlign w:val="center"/>
                </w:tcPr>
                <w:p>
                  <w:pPr>
                    <w:autoSpaceDE w:val="0"/>
                    <w:autoSpaceDN w:val="0"/>
                    <w:jc w:val="center"/>
                    <w:rPr>
                      <w:kern w:val="0"/>
                      <w:szCs w:val="21"/>
                    </w:rPr>
                  </w:pPr>
                  <w:r>
                    <w:rPr>
                      <w:rFonts w:hint="eastAsia"/>
                      <w:kern w:val="0"/>
                      <w:szCs w:val="21"/>
                    </w:rPr>
                    <w:t>碎石</w:t>
                  </w:r>
                </w:p>
              </w:tc>
              <w:tc>
                <w:tcPr>
                  <w:tcW w:w="1019" w:type="pct"/>
                  <w:vAlign w:val="center"/>
                </w:tcPr>
                <w:p>
                  <w:pPr>
                    <w:autoSpaceDE w:val="0"/>
                    <w:autoSpaceDN w:val="0"/>
                    <w:jc w:val="center"/>
                    <w:rPr>
                      <w:kern w:val="0"/>
                      <w:szCs w:val="21"/>
                    </w:rPr>
                  </w:pPr>
                  <w:r>
                    <w:rPr>
                      <w:kern w:val="0"/>
                      <w:szCs w:val="21"/>
                    </w:rPr>
                    <w:t>30</w:t>
                  </w:r>
                </w:p>
              </w:tc>
              <w:tc>
                <w:tcPr>
                  <w:tcW w:w="1633" w:type="pct"/>
                  <w:vAlign w:val="center"/>
                </w:tcPr>
                <w:p>
                  <w:pPr>
                    <w:autoSpaceDE w:val="0"/>
                    <w:autoSpaceDN w:val="0"/>
                    <w:jc w:val="center"/>
                    <w:rPr>
                      <w:kern w:val="0"/>
                      <w:szCs w:val="21"/>
                    </w:rPr>
                  </w:pPr>
                  <w:r>
                    <w:rPr>
                      <w:rFonts w:hint="eastAsia"/>
                      <w:kern w:val="0"/>
                      <w:szCs w:val="21"/>
                    </w:rPr>
                    <w:t>砂石厂外购，汽运（散运）</w:t>
                  </w:r>
                </w:p>
              </w:tc>
              <w:tc>
                <w:tcPr>
                  <w:tcW w:w="903" w:type="pct"/>
                  <w:vAlign w:val="center"/>
                </w:tcPr>
                <w:p>
                  <w:pPr>
                    <w:autoSpaceDE w:val="0"/>
                    <w:autoSpaceDN w:val="0"/>
                    <w:jc w:val="center"/>
                    <w:rPr>
                      <w:kern w:val="0"/>
                      <w:szCs w:val="21"/>
                    </w:rPr>
                  </w:pPr>
                  <w:r>
                    <w:rPr>
                      <w:rFonts w:hint="eastAsia"/>
                      <w:kern w:val="0"/>
                      <w:szCs w:val="21"/>
                    </w:rPr>
                    <w:t>储料库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6" w:type="pct"/>
                  <w:vMerge w:val="continue"/>
                  <w:vAlign w:val="center"/>
                </w:tcPr>
                <w:p>
                  <w:pPr>
                    <w:autoSpaceDE w:val="0"/>
                    <w:autoSpaceDN w:val="0"/>
                    <w:jc w:val="center"/>
                    <w:rPr>
                      <w:kern w:val="0"/>
                      <w:szCs w:val="21"/>
                    </w:rPr>
                  </w:pPr>
                </w:p>
              </w:tc>
              <w:tc>
                <w:tcPr>
                  <w:tcW w:w="676" w:type="pct"/>
                  <w:vAlign w:val="center"/>
                </w:tcPr>
                <w:p>
                  <w:pPr>
                    <w:autoSpaceDE w:val="0"/>
                    <w:autoSpaceDN w:val="0"/>
                    <w:jc w:val="center"/>
                    <w:rPr>
                      <w:kern w:val="0"/>
                      <w:szCs w:val="21"/>
                    </w:rPr>
                  </w:pPr>
                  <w:r>
                    <w:rPr>
                      <w:rFonts w:hint="eastAsia"/>
                      <w:kern w:val="0"/>
                      <w:szCs w:val="21"/>
                    </w:rPr>
                    <w:t>粉煤灰</w:t>
                  </w:r>
                </w:p>
              </w:tc>
              <w:tc>
                <w:tcPr>
                  <w:tcW w:w="1019" w:type="pct"/>
                  <w:vAlign w:val="center"/>
                </w:tcPr>
                <w:p>
                  <w:pPr>
                    <w:autoSpaceDE w:val="0"/>
                    <w:autoSpaceDN w:val="0"/>
                    <w:jc w:val="center"/>
                    <w:rPr>
                      <w:kern w:val="0"/>
                      <w:szCs w:val="21"/>
                    </w:rPr>
                  </w:pPr>
                  <w:r>
                    <w:rPr>
                      <w:kern w:val="0"/>
                      <w:szCs w:val="21"/>
                    </w:rPr>
                    <w:t>3</w:t>
                  </w:r>
                </w:p>
              </w:tc>
              <w:tc>
                <w:tcPr>
                  <w:tcW w:w="1633" w:type="pct"/>
                  <w:vAlign w:val="center"/>
                </w:tcPr>
                <w:p>
                  <w:pPr>
                    <w:autoSpaceDE w:val="0"/>
                    <w:autoSpaceDN w:val="0"/>
                    <w:jc w:val="center"/>
                    <w:rPr>
                      <w:kern w:val="0"/>
                      <w:szCs w:val="21"/>
                    </w:rPr>
                  </w:pPr>
                  <w:r>
                    <w:rPr>
                      <w:rFonts w:hint="eastAsia"/>
                      <w:kern w:val="0"/>
                      <w:szCs w:val="21"/>
                    </w:rPr>
                    <w:t>本地电厂外购，汽运（灌装）</w:t>
                  </w:r>
                </w:p>
              </w:tc>
              <w:tc>
                <w:tcPr>
                  <w:tcW w:w="903" w:type="pct"/>
                  <w:vAlign w:val="center"/>
                </w:tcPr>
                <w:p>
                  <w:pPr>
                    <w:autoSpaceDE w:val="0"/>
                    <w:autoSpaceDN w:val="0"/>
                    <w:jc w:val="center"/>
                    <w:rPr>
                      <w:kern w:val="0"/>
                      <w:szCs w:val="21"/>
                    </w:rPr>
                  </w:pPr>
                  <w:r>
                    <w:rPr>
                      <w:kern w:val="0"/>
                      <w:szCs w:val="21"/>
                    </w:rPr>
                    <w:t>筒</w:t>
                  </w:r>
                  <w:r>
                    <w:rPr>
                      <w:rFonts w:hint="eastAsia"/>
                      <w:kern w:val="0"/>
                      <w:szCs w:val="21"/>
                    </w:rPr>
                    <w:t>料</w:t>
                  </w:r>
                  <w:r>
                    <w:rPr>
                      <w:kern w:val="0"/>
                      <w:szCs w:val="21"/>
                    </w:rPr>
                    <w:t>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jc w:val="center"/>
              </w:trPr>
              <w:tc>
                <w:tcPr>
                  <w:tcW w:w="766" w:type="pct"/>
                  <w:vMerge w:val="continue"/>
                  <w:vAlign w:val="center"/>
                </w:tcPr>
                <w:p>
                  <w:pPr>
                    <w:autoSpaceDE w:val="0"/>
                    <w:autoSpaceDN w:val="0"/>
                    <w:jc w:val="center"/>
                    <w:rPr>
                      <w:kern w:val="0"/>
                      <w:szCs w:val="21"/>
                    </w:rPr>
                  </w:pPr>
                </w:p>
              </w:tc>
              <w:tc>
                <w:tcPr>
                  <w:tcW w:w="676" w:type="pct"/>
                  <w:vAlign w:val="center"/>
                </w:tcPr>
                <w:p>
                  <w:pPr>
                    <w:autoSpaceDE w:val="0"/>
                    <w:autoSpaceDN w:val="0"/>
                    <w:jc w:val="center"/>
                    <w:rPr>
                      <w:kern w:val="0"/>
                      <w:szCs w:val="21"/>
                    </w:rPr>
                  </w:pPr>
                  <w:r>
                    <w:rPr>
                      <w:rFonts w:hint="eastAsia"/>
                      <w:kern w:val="0"/>
                      <w:szCs w:val="21"/>
                    </w:rPr>
                    <w:t>添加剂</w:t>
                  </w:r>
                </w:p>
              </w:tc>
              <w:tc>
                <w:tcPr>
                  <w:tcW w:w="1019" w:type="pct"/>
                  <w:vAlign w:val="center"/>
                </w:tcPr>
                <w:p>
                  <w:pPr>
                    <w:autoSpaceDE w:val="0"/>
                    <w:autoSpaceDN w:val="0"/>
                    <w:jc w:val="center"/>
                    <w:rPr>
                      <w:kern w:val="0"/>
                      <w:szCs w:val="21"/>
                    </w:rPr>
                  </w:pPr>
                  <w:r>
                    <w:rPr>
                      <w:kern w:val="0"/>
                      <w:szCs w:val="21"/>
                    </w:rPr>
                    <w:t>3</w:t>
                  </w:r>
                </w:p>
              </w:tc>
              <w:tc>
                <w:tcPr>
                  <w:tcW w:w="1633" w:type="pct"/>
                  <w:vAlign w:val="center"/>
                </w:tcPr>
                <w:p>
                  <w:pPr>
                    <w:autoSpaceDE w:val="0"/>
                    <w:autoSpaceDN w:val="0"/>
                    <w:jc w:val="center"/>
                    <w:rPr>
                      <w:kern w:val="0"/>
                      <w:szCs w:val="21"/>
                    </w:rPr>
                  </w:pPr>
                  <w:r>
                    <w:rPr>
                      <w:rFonts w:hint="eastAsia"/>
                      <w:kern w:val="0"/>
                      <w:szCs w:val="21"/>
                    </w:rPr>
                    <w:t>添加剂厂外购，汽运</w:t>
                  </w:r>
                </w:p>
              </w:tc>
              <w:tc>
                <w:tcPr>
                  <w:tcW w:w="903" w:type="pct"/>
                  <w:vAlign w:val="center"/>
                </w:tcPr>
                <w:p>
                  <w:pPr>
                    <w:autoSpaceDE w:val="0"/>
                    <w:autoSpaceDN w:val="0"/>
                    <w:jc w:val="center"/>
                    <w:rPr>
                      <w:kern w:val="0"/>
                      <w:szCs w:val="21"/>
                    </w:rPr>
                  </w:pPr>
                  <w:r>
                    <w:rPr>
                      <w:rFonts w:hint="eastAsia"/>
                      <w:kern w:val="0"/>
                      <w:szCs w:val="21"/>
                    </w:rPr>
                    <w:t>罐装</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6" w:type="pct"/>
                  <w:vMerge w:val="continue"/>
                  <w:vAlign w:val="center"/>
                </w:tcPr>
                <w:p>
                  <w:pPr>
                    <w:autoSpaceDE w:val="0"/>
                    <w:autoSpaceDN w:val="0"/>
                    <w:jc w:val="center"/>
                    <w:rPr>
                      <w:kern w:val="0"/>
                      <w:szCs w:val="21"/>
                    </w:rPr>
                  </w:pPr>
                </w:p>
              </w:tc>
              <w:tc>
                <w:tcPr>
                  <w:tcW w:w="676" w:type="pct"/>
                  <w:vAlign w:val="center"/>
                </w:tcPr>
                <w:p>
                  <w:pPr>
                    <w:autoSpaceDE w:val="0"/>
                    <w:autoSpaceDN w:val="0"/>
                    <w:jc w:val="center"/>
                    <w:rPr>
                      <w:kern w:val="0"/>
                      <w:szCs w:val="21"/>
                    </w:rPr>
                  </w:pPr>
                  <w:r>
                    <w:rPr>
                      <w:rFonts w:hint="eastAsia"/>
                      <w:kern w:val="0"/>
                      <w:szCs w:val="21"/>
                    </w:rPr>
                    <w:t>水</w:t>
                  </w:r>
                </w:p>
              </w:tc>
              <w:tc>
                <w:tcPr>
                  <w:tcW w:w="1019" w:type="pct"/>
                  <w:vAlign w:val="center"/>
                </w:tcPr>
                <w:p>
                  <w:pPr>
                    <w:autoSpaceDE w:val="0"/>
                    <w:autoSpaceDN w:val="0"/>
                    <w:jc w:val="center"/>
                    <w:rPr>
                      <w:kern w:val="0"/>
                      <w:szCs w:val="21"/>
                    </w:rPr>
                  </w:pPr>
                  <w:r>
                    <w:rPr>
                      <w:kern w:val="0"/>
                      <w:szCs w:val="21"/>
                    </w:rPr>
                    <w:t>6</w:t>
                  </w:r>
                </w:p>
              </w:tc>
              <w:tc>
                <w:tcPr>
                  <w:tcW w:w="1633" w:type="pct"/>
                  <w:vAlign w:val="center"/>
                </w:tcPr>
                <w:p>
                  <w:pPr>
                    <w:autoSpaceDE w:val="0"/>
                    <w:autoSpaceDN w:val="0"/>
                    <w:jc w:val="center"/>
                    <w:rPr>
                      <w:kern w:val="0"/>
                      <w:szCs w:val="21"/>
                    </w:rPr>
                  </w:pPr>
                  <w:r>
                    <w:rPr>
                      <w:rFonts w:hint="eastAsia"/>
                      <w:kern w:val="0"/>
                      <w:szCs w:val="21"/>
                    </w:rPr>
                    <w:t>外购及回用水</w:t>
                  </w:r>
                </w:p>
              </w:tc>
              <w:tc>
                <w:tcPr>
                  <w:tcW w:w="903" w:type="pct"/>
                  <w:vAlign w:val="center"/>
                </w:tcPr>
                <w:p>
                  <w:pPr>
                    <w:autoSpaceDE w:val="0"/>
                    <w:autoSpaceDN w:val="0"/>
                    <w:jc w:val="center"/>
                    <w:rPr>
                      <w:kern w:val="0"/>
                      <w:szCs w:val="21"/>
                    </w:rPr>
                  </w:pPr>
                  <w:r>
                    <w:rPr>
                      <w:rFonts w:hint="eastAsia"/>
                      <w:kern w:val="0"/>
                      <w:szCs w:val="21"/>
                    </w:rPr>
                    <w:t>水罐</w:t>
                  </w:r>
                </w:p>
              </w:tc>
            </w:tr>
          </w:tbl>
          <w:p>
            <w:pPr>
              <w:autoSpaceDE w:val="0"/>
              <w:autoSpaceDN w:val="0"/>
              <w:adjustRightInd w:val="0"/>
              <w:snapToGrid w:val="0"/>
              <w:spacing w:before="240" w:line="360" w:lineRule="auto"/>
              <w:ind w:firstLine="480" w:firstLineChars="200"/>
              <w:rPr>
                <w:kern w:val="0"/>
                <w:sz w:val="24"/>
              </w:rPr>
            </w:pPr>
            <w:r>
              <w:rPr>
                <w:rFonts w:hint="eastAsia"/>
                <w:kern w:val="0"/>
                <w:sz w:val="24"/>
              </w:rPr>
              <w:t>本项目动力消耗见表</w:t>
            </w:r>
            <w:r>
              <w:rPr>
                <w:kern w:val="0"/>
                <w:sz w:val="24"/>
              </w:rPr>
              <w:t>2-4</w:t>
            </w:r>
            <w:r>
              <w:rPr>
                <w:rFonts w:hint="eastAsia"/>
                <w:kern w:val="0"/>
                <w:sz w:val="24"/>
              </w:rPr>
              <w:t>：</w:t>
            </w:r>
          </w:p>
          <w:p>
            <w:pPr>
              <w:pStyle w:val="22"/>
            </w:pPr>
            <w:r>
              <w:rPr>
                <w:rFonts w:hint="eastAsia"/>
              </w:rPr>
              <w:t>表</w:t>
            </w:r>
            <w:r>
              <w:t>2-4</w:t>
            </w:r>
            <w:r>
              <w:rPr>
                <w:rFonts w:hint="eastAsia"/>
              </w:rPr>
              <w:t xml:space="preserve"> 主要动力消耗情况表</w:t>
            </w:r>
          </w:p>
          <w:tbl>
            <w:tblPr>
              <w:tblStyle w:val="1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1114"/>
              <w:gridCol w:w="1827"/>
              <w:gridCol w:w="3086"/>
              <w:gridCol w:w="110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4" w:type="pct"/>
                  <w:vAlign w:val="center"/>
                </w:tcPr>
                <w:p>
                  <w:pPr>
                    <w:autoSpaceDE w:val="0"/>
                    <w:autoSpaceDN w:val="0"/>
                    <w:jc w:val="center"/>
                    <w:rPr>
                      <w:kern w:val="0"/>
                      <w:szCs w:val="21"/>
                    </w:rPr>
                  </w:pPr>
                  <w:r>
                    <w:rPr>
                      <w:rFonts w:hint="eastAsia"/>
                      <w:kern w:val="0"/>
                      <w:szCs w:val="21"/>
                    </w:rPr>
                    <w:t>类别</w:t>
                  </w:r>
                </w:p>
              </w:tc>
              <w:tc>
                <w:tcPr>
                  <w:tcW w:w="676" w:type="pct"/>
                  <w:vAlign w:val="center"/>
                </w:tcPr>
                <w:p>
                  <w:pPr>
                    <w:autoSpaceDE w:val="0"/>
                    <w:autoSpaceDN w:val="0"/>
                    <w:jc w:val="center"/>
                    <w:rPr>
                      <w:kern w:val="0"/>
                      <w:szCs w:val="21"/>
                    </w:rPr>
                  </w:pPr>
                  <w:r>
                    <w:rPr>
                      <w:rFonts w:hint="eastAsia"/>
                      <w:kern w:val="0"/>
                      <w:szCs w:val="21"/>
                    </w:rPr>
                    <w:t>名称</w:t>
                  </w:r>
                </w:p>
              </w:tc>
              <w:tc>
                <w:tcPr>
                  <w:tcW w:w="1109" w:type="pct"/>
                  <w:vAlign w:val="center"/>
                </w:tcPr>
                <w:p>
                  <w:pPr>
                    <w:autoSpaceDE w:val="0"/>
                    <w:autoSpaceDN w:val="0"/>
                    <w:jc w:val="center"/>
                    <w:rPr>
                      <w:kern w:val="0"/>
                      <w:szCs w:val="21"/>
                    </w:rPr>
                  </w:pPr>
                  <w:r>
                    <w:rPr>
                      <w:rFonts w:hint="eastAsia"/>
                      <w:kern w:val="0"/>
                      <w:szCs w:val="21"/>
                    </w:rPr>
                    <w:t>年耗量（单位）</w:t>
                  </w:r>
                </w:p>
              </w:tc>
              <w:tc>
                <w:tcPr>
                  <w:tcW w:w="1873" w:type="pct"/>
                  <w:vAlign w:val="center"/>
                </w:tcPr>
                <w:p>
                  <w:pPr>
                    <w:autoSpaceDE w:val="0"/>
                    <w:autoSpaceDN w:val="0"/>
                    <w:jc w:val="center"/>
                    <w:rPr>
                      <w:kern w:val="0"/>
                      <w:szCs w:val="21"/>
                    </w:rPr>
                  </w:pPr>
                  <w:r>
                    <w:rPr>
                      <w:rFonts w:hint="eastAsia"/>
                      <w:kern w:val="0"/>
                      <w:szCs w:val="21"/>
                    </w:rPr>
                    <w:t>来源</w:t>
                  </w:r>
                </w:p>
              </w:tc>
              <w:tc>
                <w:tcPr>
                  <w:tcW w:w="669" w:type="pct"/>
                  <w:vAlign w:val="center"/>
                </w:tcPr>
                <w:p>
                  <w:pPr>
                    <w:autoSpaceDE w:val="0"/>
                    <w:autoSpaceDN w:val="0"/>
                    <w:jc w:val="center"/>
                    <w:rPr>
                      <w:kern w:val="0"/>
                      <w:szCs w:val="21"/>
                    </w:rPr>
                  </w:pPr>
                  <w:r>
                    <w:rPr>
                      <w:rFonts w:hint="eastAsia"/>
                      <w:kern w:val="0"/>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4" w:type="pct"/>
                  <w:vMerge w:val="restart"/>
                  <w:vAlign w:val="center"/>
                </w:tcPr>
                <w:p>
                  <w:pPr>
                    <w:autoSpaceDE w:val="0"/>
                    <w:autoSpaceDN w:val="0"/>
                    <w:jc w:val="center"/>
                    <w:rPr>
                      <w:kern w:val="0"/>
                      <w:szCs w:val="21"/>
                    </w:rPr>
                  </w:pPr>
                  <w:r>
                    <w:rPr>
                      <w:rFonts w:hint="eastAsia"/>
                      <w:kern w:val="0"/>
                      <w:szCs w:val="21"/>
                    </w:rPr>
                    <w:t>动力消耗</w:t>
                  </w:r>
                </w:p>
              </w:tc>
              <w:tc>
                <w:tcPr>
                  <w:tcW w:w="676" w:type="pct"/>
                  <w:vAlign w:val="center"/>
                </w:tcPr>
                <w:p>
                  <w:pPr>
                    <w:autoSpaceDE w:val="0"/>
                    <w:autoSpaceDN w:val="0"/>
                    <w:jc w:val="center"/>
                    <w:rPr>
                      <w:kern w:val="0"/>
                      <w:szCs w:val="21"/>
                    </w:rPr>
                  </w:pPr>
                  <w:r>
                    <w:rPr>
                      <w:rFonts w:hint="eastAsia"/>
                      <w:kern w:val="0"/>
                      <w:szCs w:val="21"/>
                    </w:rPr>
                    <w:t>电</w:t>
                  </w:r>
                </w:p>
              </w:tc>
              <w:tc>
                <w:tcPr>
                  <w:tcW w:w="1109" w:type="pct"/>
                  <w:vAlign w:val="center"/>
                </w:tcPr>
                <w:p>
                  <w:pPr>
                    <w:autoSpaceDE w:val="0"/>
                    <w:autoSpaceDN w:val="0"/>
                    <w:jc w:val="center"/>
                    <w:rPr>
                      <w:kern w:val="0"/>
                      <w:szCs w:val="21"/>
                    </w:rPr>
                  </w:pPr>
                  <w:r>
                    <w:rPr>
                      <w:rFonts w:hint="eastAsia"/>
                      <w:kern w:val="0"/>
                      <w:szCs w:val="21"/>
                    </w:rPr>
                    <w:t>50000</w:t>
                  </w:r>
                  <w:r>
                    <w:rPr>
                      <w:kern w:val="0"/>
                      <w:szCs w:val="21"/>
                    </w:rPr>
                    <w:t>KWh</w:t>
                  </w:r>
                </w:p>
              </w:tc>
              <w:tc>
                <w:tcPr>
                  <w:tcW w:w="1873" w:type="pct"/>
                  <w:vAlign w:val="center"/>
                </w:tcPr>
                <w:p>
                  <w:pPr>
                    <w:autoSpaceDE w:val="0"/>
                    <w:autoSpaceDN w:val="0"/>
                    <w:jc w:val="center"/>
                    <w:rPr>
                      <w:kern w:val="0"/>
                      <w:szCs w:val="21"/>
                    </w:rPr>
                  </w:pPr>
                  <w:r>
                    <w:rPr>
                      <w:rFonts w:hint="eastAsia"/>
                      <w:kern w:val="0"/>
                      <w:szCs w:val="21"/>
                    </w:rPr>
                    <w:t>当地电网供给</w:t>
                  </w:r>
                </w:p>
              </w:tc>
              <w:tc>
                <w:tcPr>
                  <w:tcW w:w="669" w:type="pct"/>
                  <w:vAlign w:val="center"/>
                </w:tcPr>
                <w:p>
                  <w:pPr>
                    <w:autoSpaceDE w:val="0"/>
                    <w:autoSpaceDN w:val="0"/>
                    <w:jc w:val="center"/>
                    <w:rPr>
                      <w:kern w:val="0"/>
                      <w:szCs w:val="21"/>
                    </w:rPr>
                  </w:pPr>
                  <w:r>
                    <w:rPr>
                      <w:rFonts w:hint="eastAsia"/>
                      <w:kern w:val="0"/>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4" w:type="pct"/>
                  <w:vMerge w:val="continue"/>
                  <w:vAlign w:val="center"/>
                </w:tcPr>
                <w:p>
                  <w:pPr>
                    <w:autoSpaceDE w:val="0"/>
                    <w:autoSpaceDN w:val="0"/>
                    <w:jc w:val="center"/>
                    <w:rPr>
                      <w:kern w:val="0"/>
                      <w:szCs w:val="21"/>
                    </w:rPr>
                  </w:pPr>
                </w:p>
              </w:tc>
              <w:tc>
                <w:tcPr>
                  <w:tcW w:w="676" w:type="pct"/>
                  <w:vAlign w:val="center"/>
                </w:tcPr>
                <w:p>
                  <w:pPr>
                    <w:autoSpaceDE w:val="0"/>
                    <w:autoSpaceDN w:val="0"/>
                    <w:jc w:val="center"/>
                    <w:rPr>
                      <w:kern w:val="0"/>
                      <w:szCs w:val="21"/>
                    </w:rPr>
                  </w:pPr>
                  <w:r>
                    <w:rPr>
                      <w:rFonts w:hint="eastAsia"/>
                      <w:kern w:val="0"/>
                      <w:szCs w:val="21"/>
                    </w:rPr>
                    <w:t>新水</w:t>
                  </w:r>
                </w:p>
              </w:tc>
              <w:tc>
                <w:tcPr>
                  <w:tcW w:w="1109" w:type="pct"/>
                  <w:vAlign w:val="center"/>
                </w:tcPr>
                <w:p>
                  <w:pPr>
                    <w:autoSpaceDE w:val="0"/>
                    <w:autoSpaceDN w:val="0"/>
                    <w:jc w:val="center"/>
                    <w:rPr>
                      <w:kern w:val="0"/>
                      <w:szCs w:val="21"/>
                    </w:rPr>
                  </w:pPr>
                  <w:r>
                    <w:rPr>
                      <w:kern w:val="0"/>
                      <w:szCs w:val="21"/>
                    </w:rPr>
                    <w:t>60348</w:t>
                  </w:r>
                  <w:r>
                    <w:rPr>
                      <w:rFonts w:hint="eastAsia"/>
                      <w:kern w:val="0"/>
                      <w:szCs w:val="21"/>
                    </w:rPr>
                    <w:t>m</w:t>
                  </w:r>
                  <w:r>
                    <w:rPr>
                      <w:rFonts w:hint="eastAsia"/>
                      <w:kern w:val="0"/>
                      <w:szCs w:val="21"/>
                      <w:vertAlign w:val="superscript"/>
                    </w:rPr>
                    <w:t>3</w:t>
                  </w:r>
                  <w:r>
                    <w:rPr>
                      <w:rFonts w:hint="eastAsia"/>
                      <w:kern w:val="0"/>
                      <w:szCs w:val="21"/>
                    </w:rPr>
                    <w:t>/a</w:t>
                  </w:r>
                </w:p>
                <w:p>
                  <w:pPr>
                    <w:autoSpaceDE w:val="0"/>
                    <w:autoSpaceDN w:val="0"/>
                    <w:jc w:val="center"/>
                    <w:rPr>
                      <w:kern w:val="0"/>
                      <w:szCs w:val="21"/>
                    </w:rPr>
                  </w:pPr>
                  <w:r>
                    <w:rPr>
                      <w:rFonts w:hint="eastAsia"/>
                      <w:kern w:val="0"/>
                      <w:szCs w:val="21"/>
                    </w:rPr>
                    <w:t>（含生产用水）</w:t>
                  </w:r>
                </w:p>
              </w:tc>
              <w:tc>
                <w:tcPr>
                  <w:tcW w:w="1873" w:type="pct"/>
                  <w:vAlign w:val="center"/>
                </w:tcPr>
                <w:p>
                  <w:pPr>
                    <w:autoSpaceDE w:val="0"/>
                    <w:autoSpaceDN w:val="0"/>
                    <w:jc w:val="center"/>
                    <w:rPr>
                      <w:kern w:val="0"/>
                      <w:szCs w:val="21"/>
                    </w:rPr>
                  </w:pPr>
                  <w:r>
                    <w:rPr>
                      <w:kern w:val="0"/>
                      <w:szCs w:val="21"/>
                    </w:rPr>
                    <w:t>生活用水拉运</w:t>
                  </w:r>
                  <w:r>
                    <w:rPr>
                      <w:rFonts w:hint="eastAsia"/>
                      <w:bCs/>
                      <w:kern w:val="0"/>
                      <w:szCs w:val="21"/>
                    </w:rPr>
                    <w:t>高勒庙村</w:t>
                  </w:r>
                  <w:r>
                    <w:rPr>
                      <w:kern w:val="0"/>
                      <w:szCs w:val="21"/>
                    </w:rPr>
                    <w:t>井水。</w:t>
                  </w:r>
                </w:p>
                <w:p>
                  <w:pPr>
                    <w:autoSpaceDE w:val="0"/>
                    <w:autoSpaceDN w:val="0"/>
                    <w:jc w:val="center"/>
                    <w:rPr>
                      <w:kern w:val="0"/>
                      <w:szCs w:val="21"/>
                    </w:rPr>
                  </w:pPr>
                  <w:r>
                    <w:rPr>
                      <w:kern w:val="0"/>
                      <w:szCs w:val="21"/>
                    </w:rPr>
                    <w:t>生产用水</w:t>
                  </w:r>
                  <w:r>
                    <w:rPr>
                      <w:rFonts w:hint="eastAsia"/>
                      <w:kern w:val="0"/>
                      <w:szCs w:val="21"/>
                    </w:rPr>
                    <w:t>为札萨克镇台格办事处污水处理厂经过处理产生的中水</w:t>
                  </w:r>
                  <w:r>
                    <w:rPr>
                      <w:kern w:val="0"/>
                      <w:szCs w:val="21"/>
                    </w:rPr>
                    <w:t>。</w:t>
                  </w:r>
                </w:p>
              </w:tc>
              <w:tc>
                <w:tcPr>
                  <w:tcW w:w="669" w:type="pct"/>
                  <w:vAlign w:val="center"/>
                </w:tcPr>
                <w:p>
                  <w:pPr>
                    <w:autoSpaceDE w:val="0"/>
                    <w:autoSpaceDN w:val="0"/>
                    <w:jc w:val="center"/>
                    <w:rPr>
                      <w:kern w:val="0"/>
                      <w:szCs w:val="21"/>
                    </w:rPr>
                  </w:pPr>
                  <w:r>
                    <w:rPr>
                      <w:rFonts w:hint="eastAsia"/>
                      <w:kern w:val="0"/>
                      <w:szCs w:val="21"/>
                    </w:rPr>
                    <w:t>/</w:t>
                  </w:r>
                </w:p>
              </w:tc>
            </w:tr>
          </w:tbl>
          <w:p>
            <w:pPr>
              <w:spacing w:line="360" w:lineRule="auto"/>
              <w:jc w:val="left"/>
              <w:rPr>
                <w:rFonts w:cs="宋体"/>
                <w:bCs/>
                <w:szCs w:val="21"/>
              </w:rPr>
            </w:pPr>
          </w:p>
          <w:p>
            <w:pPr>
              <w:spacing w:line="360" w:lineRule="auto"/>
              <w:jc w:val="left"/>
              <w:rPr>
                <w:rFonts w:cs="宋体"/>
                <w:b/>
                <w:bCs/>
                <w:sz w:val="24"/>
              </w:rPr>
            </w:pPr>
            <w:r>
              <w:rPr>
                <w:rFonts w:cs="宋体"/>
                <w:b/>
                <w:bCs/>
                <w:sz w:val="24"/>
              </w:rPr>
              <w:t>4</w:t>
            </w:r>
            <w:r>
              <w:rPr>
                <w:rFonts w:hint="eastAsia" w:cs="宋体"/>
                <w:b/>
                <w:bCs/>
                <w:sz w:val="24"/>
              </w:rPr>
              <w:t>、主要生产设备</w:t>
            </w:r>
          </w:p>
          <w:p>
            <w:pPr>
              <w:spacing w:line="360" w:lineRule="auto"/>
              <w:ind w:firstLine="480" w:firstLineChars="200"/>
              <w:jc w:val="left"/>
              <w:rPr>
                <w:rFonts w:cs="宋体"/>
                <w:bCs/>
                <w:sz w:val="24"/>
              </w:rPr>
            </w:pPr>
            <w:r>
              <w:rPr>
                <w:rFonts w:hint="eastAsia" w:cs="宋体"/>
                <w:bCs/>
                <w:sz w:val="24"/>
              </w:rPr>
              <w:t>本项目各种设备以国内先进设备为主，完全能够满足本项目所制定的产品方案要求，也可适应生产品种的变化要求。主要设备选择如下：</w:t>
            </w:r>
          </w:p>
          <w:p>
            <w:pPr>
              <w:pStyle w:val="22"/>
            </w:pPr>
            <w:r>
              <w:rPr>
                <w:rFonts w:hint="eastAsia"/>
              </w:rPr>
              <w:t>表</w:t>
            </w:r>
            <w:r>
              <w:t>2-5</w:t>
            </w:r>
            <w:r>
              <w:rPr>
                <w:rFonts w:hint="eastAsia"/>
              </w:rPr>
              <w:t xml:space="preserve"> 项目主要设备一览表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178"/>
              <w:gridCol w:w="1646"/>
              <w:gridCol w:w="3869"/>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shd w:val="clear" w:color="auto" w:fill="auto"/>
                  <w:vAlign w:val="center"/>
                </w:tcPr>
                <w:p>
                  <w:pPr>
                    <w:topLinePunct/>
                    <w:jc w:val="center"/>
                    <w:rPr>
                      <w:szCs w:val="21"/>
                    </w:rPr>
                  </w:pPr>
                  <w:r>
                    <w:rPr>
                      <w:rFonts w:hint="eastAsia"/>
                      <w:szCs w:val="21"/>
                    </w:rPr>
                    <w:t>序 号</w:t>
                  </w:r>
                </w:p>
              </w:tc>
              <w:tc>
                <w:tcPr>
                  <w:tcW w:w="1716" w:type="pct"/>
                  <w:gridSpan w:val="2"/>
                  <w:shd w:val="clear" w:color="auto" w:fill="auto"/>
                  <w:vAlign w:val="center"/>
                </w:tcPr>
                <w:p>
                  <w:pPr>
                    <w:topLinePunct/>
                    <w:jc w:val="center"/>
                    <w:rPr>
                      <w:szCs w:val="21"/>
                    </w:rPr>
                  </w:pPr>
                  <w:r>
                    <w:rPr>
                      <w:rFonts w:hint="eastAsia"/>
                      <w:szCs w:val="21"/>
                    </w:rPr>
                    <w:t>项目</w:t>
                  </w:r>
                </w:p>
              </w:tc>
              <w:tc>
                <w:tcPr>
                  <w:tcW w:w="2351" w:type="pct"/>
                  <w:shd w:val="clear" w:color="auto" w:fill="auto"/>
                  <w:vAlign w:val="center"/>
                </w:tcPr>
                <w:p>
                  <w:pPr>
                    <w:topLinePunct/>
                    <w:jc w:val="center"/>
                    <w:rPr>
                      <w:szCs w:val="21"/>
                    </w:rPr>
                  </w:pPr>
                  <w:r>
                    <w:rPr>
                      <w:rFonts w:hint="eastAsia"/>
                      <w:szCs w:val="21"/>
                    </w:rPr>
                    <w:t>型号及规格</w:t>
                  </w:r>
                </w:p>
              </w:tc>
              <w:tc>
                <w:tcPr>
                  <w:tcW w:w="430" w:type="pct"/>
                  <w:shd w:val="clear" w:color="auto" w:fill="auto"/>
                  <w:vAlign w:val="center"/>
                </w:tcPr>
                <w:p>
                  <w:pPr>
                    <w:topLinePunct/>
                    <w:jc w:val="center"/>
                    <w:rPr>
                      <w:szCs w:val="21"/>
                    </w:rPr>
                  </w:pPr>
                  <w:r>
                    <w:rPr>
                      <w:rFonts w:hint="eastAsia"/>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restart"/>
                  <w:shd w:val="clear" w:color="000000" w:fill="FFFFFF"/>
                  <w:vAlign w:val="center"/>
                </w:tcPr>
                <w:p>
                  <w:pPr>
                    <w:topLinePunct/>
                    <w:jc w:val="center"/>
                    <w:rPr>
                      <w:szCs w:val="21"/>
                    </w:rPr>
                  </w:pPr>
                  <w:r>
                    <w:rPr>
                      <w:rFonts w:hint="eastAsia"/>
                      <w:szCs w:val="21"/>
                    </w:rPr>
                    <w:t>1</w:t>
                  </w:r>
                </w:p>
              </w:tc>
              <w:tc>
                <w:tcPr>
                  <w:tcW w:w="716" w:type="pct"/>
                  <w:vMerge w:val="restart"/>
                  <w:shd w:val="clear" w:color="000000" w:fill="FFFFFF"/>
                  <w:vAlign w:val="center"/>
                </w:tcPr>
                <w:p>
                  <w:pPr>
                    <w:topLinePunct/>
                    <w:jc w:val="center"/>
                    <w:rPr>
                      <w:szCs w:val="21"/>
                    </w:rPr>
                  </w:pPr>
                  <w:r>
                    <w:rPr>
                      <w:rFonts w:hint="eastAsia"/>
                      <w:szCs w:val="21"/>
                    </w:rPr>
                    <w:t>搅拌主机</w:t>
                  </w:r>
                </w:p>
              </w:tc>
              <w:tc>
                <w:tcPr>
                  <w:tcW w:w="1000" w:type="pct"/>
                  <w:shd w:val="clear" w:color="000000" w:fill="FFFFFF"/>
                  <w:vAlign w:val="center"/>
                </w:tcPr>
                <w:p>
                  <w:pPr>
                    <w:topLinePunct/>
                    <w:jc w:val="center"/>
                    <w:rPr>
                      <w:szCs w:val="21"/>
                    </w:rPr>
                  </w:pPr>
                  <w:r>
                    <w:rPr>
                      <w:rFonts w:hint="eastAsia"/>
                      <w:szCs w:val="21"/>
                    </w:rPr>
                    <w:t>设备</w:t>
                  </w:r>
                </w:p>
              </w:tc>
              <w:tc>
                <w:tcPr>
                  <w:tcW w:w="2351" w:type="pct"/>
                  <w:shd w:val="clear" w:color="000000" w:fill="FFFFFF"/>
                  <w:vAlign w:val="center"/>
                </w:tcPr>
                <w:p>
                  <w:pPr>
                    <w:topLinePunct/>
                    <w:jc w:val="center"/>
                    <w:rPr>
                      <w:szCs w:val="21"/>
                    </w:rPr>
                  </w:pPr>
                  <w:r>
                    <w:rPr>
                      <w:rFonts w:hint="eastAsia"/>
                      <w:szCs w:val="21"/>
                    </w:rPr>
                    <w:t>MA04500-3000（全新主机）</w:t>
                  </w:r>
                </w:p>
              </w:tc>
              <w:tc>
                <w:tcPr>
                  <w:tcW w:w="430" w:type="pct"/>
                  <w:shd w:val="clear" w:color="000000" w:fill="FFFFFF"/>
                  <w:vAlign w:val="center"/>
                </w:tcPr>
                <w:p>
                  <w:pPr>
                    <w:topLinePunct/>
                    <w:jc w:val="center"/>
                    <w:rPr>
                      <w:szCs w:val="21"/>
                    </w:rPr>
                  </w:pPr>
                  <w:r>
                    <w:rPr>
                      <w:rFonts w:hint="eastAsia"/>
                      <w:szCs w:val="21"/>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电机</w:t>
                  </w:r>
                </w:p>
              </w:tc>
              <w:tc>
                <w:tcPr>
                  <w:tcW w:w="2351" w:type="pct"/>
                  <w:shd w:val="clear" w:color="000000" w:fill="FFFFFF"/>
                  <w:vAlign w:val="center"/>
                </w:tcPr>
                <w:p>
                  <w:pPr>
                    <w:topLinePunct/>
                    <w:jc w:val="center"/>
                    <w:rPr>
                      <w:szCs w:val="21"/>
                    </w:rPr>
                  </w:pPr>
                  <w:r>
                    <w:rPr>
                      <w:rFonts w:hint="eastAsia"/>
                      <w:szCs w:val="21"/>
                    </w:rPr>
                    <w:t>55KW，380V</w:t>
                  </w:r>
                </w:p>
              </w:tc>
              <w:tc>
                <w:tcPr>
                  <w:tcW w:w="430" w:type="pct"/>
                  <w:shd w:val="clear" w:color="000000" w:fill="FFFFFF"/>
                  <w:vAlign w:val="center"/>
                </w:tcPr>
                <w:p>
                  <w:pPr>
                    <w:topLinePunct/>
                    <w:jc w:val="center"/>
                    <w:rPr>
                      <w:szCs w:val="21"/>
                    </w:rPr>
                  </w:pPr>
                  <w:r>
                    <w:rPr>
                      <w:rFonts w:hint="eastAsia"/>
                      <w:szCs w:val="21"/>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减速机</w:t>
                  </w:r>
                </w:p>
              </w:tc>
              <w:tc>
                <w:tcPr>
                  <w:tcW w:w="2351" w:type="pct"/>
                  <w:shd w:val="clear" w:color="000000" w:fill="FFFFFF"/>
                  <w:vAlign w:val="center"/>
                </w:tcPr>
                <w:p>
                  <w:pPr>
                    <w:topLinePunct/>
                    <w:jc w:val="center"/>
                    <w:rPr>
                      <w:szCs w:val="21"/>
                    </w:rPr>
                  </w:pPr>
                  <w:r>
                    <w:rPr>
                      <w:rFonts w:hint="eastAsia"/>
                      <w:szCs w:val="21"/>
                    </w:rPr>
                    <w:t>减速机</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出料</w:t>
                  </w:r>
                </w:p>
              </w:tc>
              <w:tc>
                <w:tcPr>
                  <w:tcW w:w="2351" w:type="pct"/>
                  <w:shd w:val="clear" w:color="000000" w:fill="FFFFFF"/>
                  <w:vAlign w:val="center"/>
                </w:tcPr>
                <w:p>
                  <w:pPr>
                    <w:topLinePunct/>
                    <w:jc w:val="center"/>
                    <w:rPr>
                      <w:szCs w:val="21"/>
                    </w:rPr>
                  </w:pPr>
                  <w:r>
                    <w:rPr>
                      <w:rFonts w:hint="eastAsia"/>
                      <w:szCs w:val="21"/>
                    </w:rPr>
                    <w:t>液压出料</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衬板及叶片</w:t>
                  </w:r>
                </w:p>
              </w:tc>
              <w:tc>
                <w:tcPr>
                  <w:tcW w:w="2351" w:type="pct"/>
                  <w:shd w:val="clear" w:color="000000" w:fill="FFFFFF"/>
                  <w:vAlign w:val="center"/>
                </w:tcPr>
                <w:p>
                  <w:pPr>
                    <w:topLinePunct/>
                    <w:jc w:val="center"/>
                    <w:rPr>
                      <w:szCs w:val="21"/>
                    </w:rPr>
                  </w:pPr>
                  <w:r>
                    <w:rPr>
                      <w:rFonts w:hint="eastAsia"/>
                      <w:szCs w:val="21"/>
                    </w:rPr>
                    <w:t>高耐磨合金</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油泵</w:t>
                  </w:r>
                </w:p>
              </w:tc>
              <w:tc>
                <w:tcPr>
                  <w:tcW w:w="2351" w:type="pct"/>
                  <w:shd w:val="clear" w:color="000000" w:fill="FFFFFF"/>
                  <w:vAlign w:val="center"/>
                </w:tcPr>
                <w:p>
                  <w:pPr>
                    <w:topLinePunct/>
                    <w:jc w:val="center"/>
                    <w:rPr>
                      <w:szCs w:val="21"/>
                    </w:rPr>
                  </w:pPr>
                  <w:r>
                    <w:rPr>
                      <w:rFonts w:hint="eastAsia"/>
                      <w:szCs w:val="21"/>
                    </w:rPr>
                    <w:t>电动油泵</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restart"/>
                  <w:shd w:val="clear" w:color="000000" w:fill="FFFFFF"/>
                  <w:vAlign w:val="center"/>
                </w:tcPr>
                <w:p>
                  <w:pPr>
                    <w:topLinePunct/>
                    <w:jc w:val="center"/>
                    <w:rPr>
                      <w:szCs w:val="21"/>
                    </w:rPr>
                  </w:pPr>
                  <w:r>
                    <w:rPr>
                      <w:rFonts w:hint="eastAsia"/>
                      <w:szCs w:val="21"/>
                    </w:rPr>
                    <w:t>2</w:t>
                  </w:r>
                </w:p>
              </w:tc>
              <w:tc>
                <w:tcPr>
                  <w:tcW w:w="716" w:type="pct"/>
                  <w:vMerge w:val="restart"/>
                  <w:shd w:val="clear" w:color="000000" w:fill="FFFFFF"/>
                  <w:vAlign w:val="center"/>
                </w:tcPr>
                <w:p>
                  <w:pPr>
                    <w:topLinePunct/>
                    <w:jc w:val="center"/>
                    <w:rPr>
                      <w:szCs w:val="21"/>
                    </w:rPr>
                  </w:pPr>
                  <w:r>
                    <w:rPr>
                      <w:rFonts w:hint="eastAsia"/>
                      <w:szCs w:val="21"/>
                    </w:rPr>
                    <w:t>配料机</w:t>
                  </w:r>
                </w:p>
              </w:tc>
              <w:tc>
                <w:tcPr>
                  <w:tcW w:w="1000" w:type="pct"/>
                  <w:shd w:val="clear" w:color="000000" w:fill="FFFFFF"/>
                  <w:vAlign w:val="center"/>
                </w:tcPr>
                <w:p>
                  <w:pPr>
                    <w:topLinePunct/>
                    <w:jc w:val="center"/>
                    <w:rPr>
                      <w:szCs w:val="21"/>
                    </w:rPr>
                  </w:pPr>
                  <w:r>
                    <w:rPr>
                      <w:rFonts w:hint="eastAsia"/>
                      <w:szCs w:val="21"/>
                    </w:rPr>
                    <w:t>设备</w:t>
                  </w:r>
                </w:p>
              </w:tc>
              <w:tc>
                <w:tcPr>
                  <w:tcW w:w="2351" w:type="pct"/>
                  <w:shd w:val="clear" w:color="000000" w:fill="FFFFFF"/>
                  <w:vAlign w:val="center"/>
                </w:tcPr>
                <w:p>
                  <w:pPr>
                    <w:topLinePunct/>
                    <w:jc w:val="center"/>
                    <w:rPr>
                      <w:szCs w:val="21"/>
                    </w:rPr>
                  </w:pPr>
                  <w:r>
                    <w:rPr>
                      <w:rFonts w:hint="eastAsia"/>
                      <w:szCs w:val="21"/>
                    </w:rPr>
                    <w:t>PLD4800四仓配料机（单独计量）</w:t>
                  </w:r>
                </w:p>
              </w:tc>
              <w:tc>
                <w:tcPr>
                  <w:tcW w:w="430" w:type="pct"/>
                  <w:shd w:val="clear" w:color="000000" w:fill="FFFFFF"/>
                  <w:vAlign w:val="center"/>
                </w:tcPr>
                <w:p>
                  <w:pPr>
                    <w:topLinePunct/>
                    <w:jc w:val="center"/>
                    <w:rPr>
                      <w:szCs w:val="21"/>
                    </w:rPr>
                  </w:pPr>
                  <w:r>
                    <w:rPr>
                      <w:rFonts w:hint="eastAsia"/>
                      <w:szCs w:val="21"/>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储料斗</w:t>
                  </w:r>
                </w:p>
              </w:tc>
              <w:tc>
                <w:tcPr>
                  <w:tcW w:w="2351" w:type="pct"/>
                  <w:shd w:val="clear" w:color="000000" w:fill="FFFFFF"/>
                  <w:vAlign w:val="center"/>
                </w:tcPr>
                <w:p>
                  <w:pPr>
                    <w:topLinePunct/>
                    <w:jc w:val="center"/>
                    <w:rPr>
                      <w:szCs w:val="21"/>
                    </w:rPr>
                  </w:pPr>
                  <w:r>
                    <w:rPr>
                      <w:rFonts w:hint="eastAsia"/>
                      <w:szCs w:val="21"/>
                    </w:rPr>
                    <w:t>16m³</w:t>
                  </w:r>
                </w:p>
              </w:tc>
              <w:tc>
                <w:tcPr>
                  <w:tcW w:w="430" w:type="pct"/>
                  <w:shd w:val="clear" w:color="000000" w:fill="FFFFFF"/>
                  <w:vAlign w:val="center"/>
                </w:tcPr>
                <w:p>
                  <w:pPr>
                    <w:topLinePunct/>
                    <w:jc w:val="center"/>
                    <w:rPr>
                      <w:szCs w:val="21"/>
                    </w:rPr>
                  </w:pPr>
                  <w:r>
                    <w:rPr>
                      <w:rFonts w:hint="eastAsia"/>
                      <w:szCs w:val="21"/>
                    </w:rPr>
                    <w:t>4套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称量斗</w:t>
                  </w:r>
                </w:p>
              </w:tc>
              <w:tc>
                <w:tcPr>
                  <w:tcW w:w="2351" w:type="pct"/>
                  <w:shd w:val="clear" w:color="000000" w:fill="FFFFFF"/>
                  <w:vAlign w:val="center"/>
                </w:tcPr>
                <w:p>
                  <w:pPr>
                    <w:topLinePunct/>
                    <w:jc w:val="center"/>
                    <w:rPr>
                      <w:szCs w:val="21"/>
                    </w:rPr>
                  </w:pPr>
                  <w:r>
                    <w:rPr>
                      <w:rFonts w:hint="eastAsia"/>
                      <w:szCs w:val="21"/>
                    </w:rPr>
                    <w:t>3m³</w:t>
                  </w:r>
                </w:p>
              </w:tc>
              <w:tc>
                <w:tcPr>
                  <w:tcW w:w="430" w:type="pct"/>
                  <w:shd w:val="clear" w:color="000000" w:fill="FFFFFF"/>
                  <w:vAlign w:val="center"/>
                </w:tcPr>
                <w:p>
                  <w:pPr>
                    <w:topLinePunct/>
                    <w:jc w:val="center"/>
                    <w:rPr>
                      <w:szCs w:val="21"/>
                    </w:rPr>
                  </w:pPr>
                  <w:r>
                    <w:rPr>
                      <w:rFonts w:hint="eastAsia"/>
                      <w:szCs w:val="21"/>
                    </w:rPr>
                    <w:t>4套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骨料称量</w:t>
                  </w:r>
                </w:p>
              </w:tc>
              <w:tc>
                <w:tcPr>
                  <w:tcW w:w="2351" w:type="pct"/>
                  <w:shd w:val="clear" w:color="000000" w:fill="FFFFFF"/>
                  <w:vAlign w:val="center"/>
                </w:tcPr>
                <w:p>
                  <w:pPr>
                    <w:topLinePunct/>
                    <w:jc w:val="center"/>
                    <w:rPr>
                      <w:szCs w:val="21"/>
                    </w:rPr>
                  </w:pPr>
                  <w:r>
                    <w:rPr>
                      <w:rFonts w:hint="eastAsia"/>
                      <w:szCs w:val="21"/>
                    </w:rPr>
                    <w:t>1000KG称量，3项传感器</w:t>
                  </w:r>
                </w:p>
              </w:tc>
              <w:tc>
                <w:tcPr>
                  <w:tcW w:w="430" w:type="pct"/>
                  <w:shd w:val="clear" w:color="000000" w:fill="FFFFFF"/>
                  <w:vAlign w:val="center"/>
                </w:tcPr>
                <w:p>
                  <w:pPr>
                    <w:topLinePunct/>
                    <w:jc w:val="center"/>
                    <w:rPr>
                      <w:szCs w:val="21"/>
                    </w:rPr>
                  </w:pPr>
                  <w:r>
                    <w:rPr>
                      <w:rFonts w:hint="eastAsia"/>
                      <w:szCs w:val="21"/>
                    </w:rPr>
                    <w:t>4套</w:t>
                  </w:r>
                </w:p>
              </w:tc>
            </w:tr>
            <w:tr>
              <w:tblPrEx>
                <w:tblCellMar>
                  <w:top w:w="0" w:type="dxa"/>
                  <w:left w:w="108" w:type="dxa"/>
                  <w:bottom w:w="0" w:type="dxa"/>
                  <w:right w:w="108" w:type="dxa"/>
                </w:tblCellMar>
              </w:tblPrEx>
              <w:trPr>
                <w:trHeight w:val="340" w:hRule="atLeast"/>
              </w:trPr>
              <w:tc>
                <w:tcPr>
                  <w:tcW w:w="503" w:type="pct"/>
                  <w:vMerge w:val="restart"/>
                  <w:shd w:val="clear" w:color="000000" w:fill="FFFFFF"/>
                  <w:vAlign w:val="center"/>
                </w:tcPr>
                <w:p>
                  <w:pPr>
                    <w:topLinePunct/>
                    <w:jc w:val="center"/>
                    <w:rPr>
                      <w:szCs w:val="21"/>
                    </w:rPr>
                  </w:pPr>
                  <w:r>
                    <w:rPr>
                      <w:rFonts w:hint="eastAsia"/>
                      <w:szCs w:val="21"/>
                    </w:rPr>
                    <w:t>3</w:t>
                  </w:r>
                </w:p>
              </w:tc>
              <w:tc>
                <w:tcPr>
                  <w:tcW w:w="716" w:type="pct"/>
                  <w:vMerge w:val="restart"/>
                  <w:shd w:val="clear" w:color="000000" w:fill="FFFFFF"/>
                  <w:vAlign w:val="center"/>
                </w:tcPr>
                <w:p>
                  <w:pPr>
                    <w:topLinePunct/>
                    <w:jc w:val="center"/>
                    <w:rPr>
                      <w:szCs w:val="21"/>
                    </w:rPr>
                  </w:pPr>
                  <w:r>
                    <w:rPr>
                      <w:rFonts w:hint="eastAsia"/>
                      <w:szCs w:val="21"/>
                    </w:rPr>
                    <w:t>主站结构</w:t>
                  </w:r>
                </w:p>
              </w:tc>
              <w:tc>
                <w:tcPr>
                  <w:tcW w:w="1000" w:type="pct"/>
                  <w:shd w:val="clear" w:color="000000" w:fill="FFFFFF"/>
                  <w:vAlign w:val="center"/>
                </w:tcPr>
                <w:p>
                  <w:pPr>
                    <w:topLinePunct/>
                    <w:jc w:val="center"/>
                    <w:rPr>
                      <w:szCs w:val="21"/>
                    </w:rPr>
                  </w:pPr>
                  <w:r>
                    <w:rPr>
                      <w:rFonts w:hint="eastAsia"/>
                      <w:szCs w:val="21"/>
                    </w:rPr>
                    <w:t>钢架重型结构</w:t>
                  </w:r>
                </w:p>
              </w:tc>
              <w:tc>
                <w:tcPr>
                  <w:tcW w:w="2351" w:type="pct"/>
                  <w:shd w:val="clear" w:color="000000" w:fill="FFFFFF"/>
                  <w:vAlign w:val="center"/>
                </w:tcPr>
                <w:p>
                  <w:pPr>
                    <w:topLinePunct/>
                    <w:jc w:val="center"/>
                    <w:rPr>
                      <w:szCs w:val="21"/>
                    </w:rPr>
                  </w:pPr>
                  <w:r>
                    <w:rPr>
                      <w:rFonts w:hint="eastAsia"/>
                      <w:szCs w:val="21"/>
                    </w:rPr>
                    <w:t>300工字钢</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转向轮胎</w:t>
                  </w:r>
                </w:p>
              </w:tc>
              <w:tc>
                <w:tcPr>
                  <w:tcW w:w="2351" w:type="pct"/>
                  <w:shd w:val="clear" w:color="000000" w:fill="FFFFFF"/>
                  <w:vAlign w:val="center"/>
                </w:tcPr>
                <w:p>
                  <w:pPr>
                    <w:topLinePunct/>
                    <w:jc w:val="center"/>
                    <w:rPr>
                      <w:szCs w:val="21"/>
                    </w:rPr>
                  </w:pPr>
                  <w:r>
                    <w:rPr>
                      <w:rFonts w:hint="eastAsia"/>
                      <w:szCs w:val="21"/>
                    </w:rPr>
                    <w:t>旧挂车翻新轮胎</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restart"/>
                  <w:shd w:val="clear" w:color="000000" w:fill="FFFFFF"/>
                  <w:vAlign w:val="center"/>
                </w:tcPr>
                <w:p>
                  <w:pPr>
                    <w:topLinePunct/>
                    <w:jc w:val="center"/>
                    <w:rPr>
                      <w:szCs w:val="21"/>
                    </w:rPr>
                  </w:pPr>
                  <w:r>
                    <w:rPr>
                      <w:rFonts w:hint="eastAsia"/>
                      <w:szCs w:val="21"/>
                    </w:rPr>
                    <w:t>4</w:t>
                  </w:r>
                </w:p>
              </w:tc>
              <w:tc>
                <w:tcPr>
                  <w:tcW w:w="716" w:type="pct"/>
                  <w:vMerge w:val="restart"/>
                  <w:shd w:val="clear" w:color="000000" w:fill="FFFFFF"/>
                  <w:vAlign w:val="center"/>
                </w:tcPr>
                <w:p>
                  <w:pPr>
                    <w:topLinePunct/>
                    <w:jc w:val="center"/>
                    <w:rPr>
                      <w:szCs w:val="21"/>
                    </w:rPr>
                  </w:pPr>
                  <w:r>
                    <w:rPr>
                      <w:rFonts w:hint="eastAsia"/>
                      <w:szCs w:val="21"/>
                    </w:rPr>
                    <w:t>骨料输送</w:t>
                  </w:r>
                </w:p>
              </w:tc>
              <w:tc>
                <w:tcPr>
                  <w:tcW w:w="1000" w:type="pct"/>
                  <w:shd w:val="clear" w:color="000000" w:fill="FFFFFF"/>
                  <w:vAlign w:val="center"/>
                </w:tcPr>
                <w:p>
                  <w:pPr>
                    <w:topLinePunct/>
                    <w:jc w:val="center"/>
                    <w:rPr>
                      <w:szCs w:val="21"/>
                    </w:rPr>
                  </w:pPr>
                  <w:r>
                    <w:rPr>
                      <w:rFonts w:hint="eastAsia"/>
                      <w:szCs w:val="21"/>
                    </w:rPr>
                    <w:t>皮带输送</w:t>
                  </w:r>
                </w:p>
              </w:tc>
              <w:tc>
                <w:tcPr>
                  <w:tcW w:w="2351" w:type="pct"/>
                  <w:shd w:val="clear" w:color="000000" w:fill="FFFFFF"/>
                  <w:vAlign w:val="center"/>
                </w:tcPr>
                <w:p>
                  <w:pPr>
                    <w:topLinePunct/>
                    <w:jc w:val="center"/>
                    <w:rPr>
                      <w:szCs w:val="21"/>
                    </w:rPr>
                  </w:pPr>
                  <w:r>
                    <w:rPr>
                      <w:rFonts w:hint="eastAsia"/>
                      <w:szCs w:val="21"/>
                    </w:rPr>
                    <w:t>1000mm，尼龙复合人字皮带</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输送机骨架</w:t>
                  </w:r>
                </w:p>
              </w:tc>
              <w:tc>
                <w:tcPr>
                  <w:tcW w:w="2351" w:type="pct"/>
                  <w:shd w:val="clear" w:color="000000" w:fill="FFFFFF"/>
                  <w:vAlign w:val="center"/>
                </w:tcPr>
                <w:p>
                  <w:pPr>
                    <w:topLinePunct/>
                    <w:jc w:val="center"/>
                    <w:rPr>
                      <w:szCs w:val="21"/>
                    </w:rPr>
                  </w:pPr>
                  <w:r>
                    <w:rPr>
                      <w:rFonts w:hint="eastAsia"/>
                      <w:szCs w:val="21"/>
                    </w:rPr>
                    <w:t>加厚钢材</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shd w:val="clear" w:color="000000" w:fill="FFFFFF"/>
                  <w:vAlign w:val="center"/>
                </w:tcPr>
                <w:p>
                  <w:pPr>
                    <w:topLinePunct/>
                    <w:jc w:val="center"/>
                    <w:rPr>
                      <w:szCs w:val="21"/>
                    </w:rPr>
                  </w:pPr>
                  <w:r>
                    <w:rPr>
                      <w:rFonts w:hint="eastAsia"/>
                      <w:szCs w:val="21"/>
                    </w:rPr>
                    <w:t>电机</w:t>
                  </w:r>
                </w:p>
              </w:tc>
              <w:tc>
                <w:tcPr>
                  <w:tcW w:w="2351" w:type="pct"/>
                  <w:shd w:val="clear" w:color="000000" w:fill="FFFFFF"/>
                  <w:vAlign w:val="center"/>
                </w:tcPr>
                <w:p>
                  <w:pPr>
                    <w:topLinePunct/>
                    <w:jc w:val="center"/>
                    <w:rPr>
                      <w:szCs w:val="21"/>
                    </w:rPr>
                  </w:pPr>
                  <w:r>
                    <w:rPr>
                      <w:rFonts w:hint="eastAsia"/>
                      <w:szCs w:val="21"/>
                    </w:rPr>
                    <w:t>22kw</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restart"/>
                  <w:shd w:val="clear" w:color="000000" w:fill="FFFFFF"/>
                  <w:vAlign w:val="center"/>
                </w:tcPr>
                <w:p>
                  <w:pPr>
                    <w:topLinePunct/>
                    <w:jc w:val="center"/>
                    <w:rPr>
                      <w:szCs w:val="21"/>
                    </w:rPr>
                  </w:pPr>
                  <w:r>
                    <w:rPr>
                      <w:rFonts w:hint="eastAsia"/>
                      <w:szCs w:val="21"/>
                    </w:rPr>
                    <w:t>5</w:t>
                  </w:r>
                </w:p>
              </w:tc>
              <w:tc>
                <w:tcPr>
                  <w:tcW w:w="716" w:type="pct"/>
                  <w:vMerge w:val="restart"/>
                  <w:shd w:val="clear" w:color="000000" w:fill="FFFFFF"/>
                  <w:vAlign w:val="center"/>
                </w:tcPr>
                <w:p>
                  <w:pPr>
                    <w:topLinePunct/>
                    <w:jc w:val="center"/>
                    <w:rPr>
                      <w:szCs w:val="21"/>
                    </w:rPr>
                  </w:pPr>
                  <w:r>
                    <w:rPr>
                      <w:rFonts w:hint="eastAsia"/>
                      <w:szCs w:val="21"/>
                    </w:rPr>
                    <w:t>称量系统</w:t>
                  </w:r>
                </w:p>
              </w:tc>
              <w:tc>
                <w:tcPr>
                  <w:tcW w:w="1000" w:type="pct"/>
                  <w:vMerge w:val="restart"/>
                  <w:shd w:val="clear" w:color="000000" w:fill="FFFFFF"/>
                  <w:vAlign w:val="center"/>
                </w:tcPr>
                <w:p>
                  <w:pPr>
                    <w:topLinePunct/>
                    <w:jc w:val="center"/>
                    <w:rPr>
                      <w:szCs w:val="21"/>
                    </w:rPr>
                  </w:pPr>
                  <w:r>
                    <w:rPr>
                      <w:rFonts w:hint="eastAsia"/>
                      <w:szCs w:val="21"/>
                    </w:rPr>
                    <w:t>水称量</w:t>
                  </w:r>
                </w:p>
              </w:tc>
              <w:tc>
                <w:tcPr>
                  <w:tcW w:w="2351" w:type="pct"/>
                  <w:shd w:val="clear" w:color="000000" w:fill="FFFFFF"/>
                  <w:vAlign w:val="center"/>
                </w:tcPr>
                <w:p>
                  <w:pPr>
                    <w:topLinePunct/>
                    <w:jc w:val="center"/>
                    <w:rPr>
                      <w:szCs w:val="21"/>
                    </w:rPr>
                  </w:pPr>
                  <w:r>
                    <w:rPr>
                      <w:rFonts w:hint="eastAsia"/>
                      <w:szCs w:val="21"/>
                    </w:rPr>
                    <w:t>4kw抽水泵</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800KG称量，3项传感器</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5.5kw水泵</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vMerge w:val="restart"/>
                  <w:shd w:val="clear" w:color="000000" w:fill="FFFFFF"/>
                  <w:vAlign w:val="center"/>
                </w:tcPr>
                <w:p>
                  <w:pPr>
                    <w:topLinePunct/>
                    <w:jc w:val="center"/>
                    <w:rPr>
                      <w:szCs w:val="21"/>
                    </w:rPr>
                  </w:pPr>
                  <w:r>
                    <w:rPr>
                      <w:rFonts w:hint="eastAsia"/>
                      <w:szCs w:val="21"/>
                    </w:rPr>
                    <w:t>水泥称量</w:t>
                  </w:r>
                </w:p>
              </w:tc>
              <w:tc>
                <w:tcPr>
                  <w:tcW w:w="2351" w:type="pct"/>
                  <w:shd w:val="clear" w:color="000000" w:fill="FFFFFF"/>
                  <w:vAlign w:val="center"/>
                </w:tcPr>
                <w:p>
                  <w:pPr>
                    <w:topLinePunct/>
                    <w:jc w:val="center"/>
                    <w:rPr>
                      <w:szCs w:val="21"/>
                    </w:rPr>
                  </w:pPr>
                  <w:r>
                    <w:rPr>
                      <w:rFonts w:hint="eastAsia"/>
                      <w:szCs w:val="21"/>
                    </w:rPr>
                    <w:t>300气动蝶阀</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2000KG称量，3项传感器</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vMerge w:val="restart"/>
                  <w:shd w:val="clear" w:color="000000" w:fill="FFFFFF"/>
                  <w:vAlign w:val="center"/>
                </w:tcPr>
                <w:p>
                  <w:pPr>
                    <w:topLinePunct/>
                    <w:jc w:val="center"/>
                    <w:rPr>
                      <w:szCs w:val="21"/>
                    </w:rPr>
                  </w:pPr>
                  <w:r>
                    <w:rPr>
                      <w:rFonts w:hint="eastAsia"/>
                      <w:szCs w:val="21"/>
                    </w:rPr>
                    <w:t>添加剂称量</w:t>
                  </w:r>
                </w:p>
              </w:tc>
              <w:tc>
                <w:tcPr>
                  <w:tcW w:w="2351" w:type="pct"/>
                  <w:shd w:val="clear" w:color="000000" w:fill="FFFFFF"/>
                  <w:vAlign w:val="center"/>
                </w:tcPr>
                <w:p>
                  <w:pPr>
                    <w:topLinePunct/>
                    <w:jc w:val="center"/>
                    <w:rPr>
                      <w:szCs w:val="21"/>
                    </w:rPr>
                  </w:pPr>
                  <w:r>
                    <w:rPr>
                      <w:rFonts w:hint="eastAsia"/>
                      <w:szCs w:val="21"/>
                    </w:rPr>
                    <w:t>水管，1.5kw水泵</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50KG称量，3项传感器</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shd w:val="clear" w:color="000000" w:fill="FFFFFF"/>
                  <w:vAlign w:val="center"/>
                </w:tcPr>
                <w:p>
                  <w:pPr>
                    <w:topLinePunct/>
                    <w:jc w:val="center"/>
                    <w:rPr>
                      <w:szCs w:val="21"/>
                    </w:rPr>
                  </w:pPr>
                </w:p>
              </w:tc>
              <w:tc>
                <w:tcPr>
                  <w:tcW w:w="716" w:type="pct"/>
                  <w:vMerge w:val="continue"/>
                  <w:shd w:val="clear" w:color="000000" w:fill="FFFFFF"/>
                  <w:vAlign w:val="center"/>
                </w:tcPr>
                <w:p>
                  <w:pPr>
                    <w:topLinePunct/>
                    <w:jc w:val="center"/>
                    <w:rPr>
                      <w:szCs w:val="21"/>
                    </w:rPr>
                  </w:pPr>
                </w:p>
              </w:tc>
              <w:tc>
                <w:tcPr>
                  <w:tcW w:w="1000" w:type="pct"/>
                  <w:vMerge w:val="restart"/>
                  <w:shd w:val="clear" w:color="000000" w:fill="FFFFFF"/>
                  <w:vAlign w:val="center"/>
                </w:tcPr>
                <w:p>
                  <w:pPr>
                    <w:topLinePunct/>
                    <w:jc w:val="center"/>
                    <w:rPr>
                      <w:szCs w:val="21"/>
                    </w:rPr>
                  </w:pPr>
                  <w:r>
                    <w:rPr>
                      <w:rFonts w:hint="eastAsia"/>
                      <w:szCs w:val="21"/>
                    </w:rPr>
                    <w:t>粉煤灰称量</w:t>
                  </w:r>
                </w:p>
              </w:tc>
              <w:tc>
                <w:tcPr>
                  <w:tcW w:w="2351" w:type="pct"/>
                  <w:shd w:val="clear" w:color="000000" w:fill="FFFFFF"/>
                  <w:vAlign w:val="center"/>
                </w:tcPr>
                <w:p>
                  <w:pPr>
                    <w:topLinePunct/>
                    <w:jc w:val="center"/>
                    <w:rPr>
                      <w:szCs w:val="21"/>
                    </w:rPr>
                  </w:pPr>
                  <w:r>
                    <w:rPr>
                      <w:rFonts w:hint="eastAsia"/>
                      <w:szCs w:val="21"/>
                    </w:rPr>
                    <w:t>300气动蝶阀</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716" w:type="pct"/>
                  <w:vMerge w:val="continue"/>
                  <w:vAlign w:val="center"/>
                </w:tcPr>
                <w:p>
                  <w:pPr>
                    <w:topLinePunct/>
                    <w:jc w:val="center"/>
                    <w:rPr>
                      <w:szCs w:val="21"/>
                    </w:rPr>
                  </w:pPr>
                </w:p>
              </w:tc>
              <w:tc>
                <w:tcPr>
                  <w:tcW w:w="1000" w:type="pct"/>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1500KG称量，3项传感器</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restart"/>
                  <w:shd w:val="clear" w:color="000000" w:fill="FFFFFF"/>
                  <w:vAlign w:val="center"/>
                </w:tcPr>
                <w:p>
                  <w:pPr>
                    <w:topLinePunct/>
                    <w:jc w:val="center"/>
                    <w:rPr>
                      <w:szCs w:val="21"/>
                    </w:rPr>
                  </w:pPr>
                  <w:r>
                    <w:rPr>
                      <w:rFonts w:hint="eastAsia"/>
                      <w:szCs w:val="21"/>
                    </w:rPr>
                    <w:t>6</w:t>
                  </w:r>
                </w:p>
              </w:tc>
              <w:tc>
                <w:tcPr>
                  <w:tcW w:w="1716" w:type="pct"/>
                  <w:gridSpan w:val="2"/>
                  <w:vMerge w:val="restart"/>
                  <w:shd w:val="clear" w:color="000000" w:fill="FFFFFF"/>
                  <w:vAlign w:val="center"/>
                </w:tcPr>
                <w:p>
                  <w:pPr>
                    <w:topLinePunct/>
                    <w:jc w:val="center"/>
                    <w:rPr>
                      <w:szCs w:val="21"/>
                    </w:rPr>
                  </w:pPr>
                  <w:r>
                    <w:rPr>
                      <w:rFonts w:hint="eastAsia"/>
                      <w:szCs w:val="21"/>
                    </w:rPr>
                    <w:t>控制系统</w:t>
                  </w:r>
                </w:p>
              </w:tc>
              <w:tc>
                <w:tcPr>
                  <w:tcW w:w="2351" w:type="pct"/>
                  <w:shd w:val="clear" w:color="000000" w:fill="FFFFFF"/>
                  <w:vAlign w:val="center"/>
                </w:tcPr>
                <w:p>
                  <w:pPr>
                    <w:topLinePunct/>
                    <w:jc w:val="center"/>
                    <w:rPr>
                      <w:szCs w:val="21"/>
                    </w:rPr>
                  </w:pPr>
                  <w:r>
                    <w:rPr>
                      <w:rFonts w:hint="eastAsia"/>
                      <w:szCs w:val="21"/>
                    </w:rPr>
                    <w:t>1200全自动控制系统</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1716" w:type="pct"/>
                  <w:gridSpan w:val="2"/>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电子称重仪表</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1716" w:type="pct"/>
                  <w:gridSpan w:val="2"/>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打印机</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1716" w:type="pct"/>
                  <w:gridSpan w:val="2"/>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工控机</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vMerge w:val="continue"/>
                  <w:vAlign w:val="center"/>
                </w:tcPr>
                <w:p>
                  <w:pPr>
                    <w:topLinePunct/>
                    <w:jc w:val="center"/>
                    <w:rPr>
                      <w:szCs w:val="21"/>
                    </w:rPr>
                  </w:pPr>
                </w:p>
              </w:tc>
              <w:tc>
                <w:tcPr>
                  <w:tcW w:w="1716" w:type="pct"/>
                  <w:gridSpan w:val="2"/>
                  <w:vMerge w:val="continue"/>
                  <w:vAlign w:val="center"/>
                </w:tcPr>
                <w:p>
                  <w:pPr>
                    <w:topLinePunct/>
                    <w:jc w:val="center"/>
                    <w:rPr>
                      <w:szCs w:val="21"/>
                    </w:rPr>
                  </w:pPr>
                </w:p>
              </w:tc>
              <w:tc>
                <w:tcPr>
                  <w:tcW w:w="2351" w:type="pct"/>
                  <w:shd w:val="clear" w:color="000000" w:fill="FFFFFF"/>
                  <w:vAlign w:val="center"/>
                </w:tcPr>
                <w:p>
                  <w:pPr>
                    <w:topLinePunct/>
                    <w:jc w:val="center"/>
                    <w:rPr>
                      <w:szCs w:val="21"/>
                    </w:rPr>
                  </w:pPr>
                  <w:r>
                    <w:rPr>
                      <w:rFonts w:hint="eastAsia"/>
                      <w:szCs w:val="21"/>
                    </w:rPr>
                    <w:t>交流接触器</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shd w:val="clear" w:color="000000" w:fill="FFFFFF"/>
                  <w:vAlign w:val="center"/>
                </w:tcPr>
                <w:p>
                  <w:pPr>
                    <w:topLinePunct/>
                    <w:jc w:val="center"/>
                    <w:rPr>
                      <w:szCs w:val="21"/>
                    </w:rPr>
                  </w:pPr>
                  <w:r>
                    <w:rPr>
                      <w:rFonts w:hint="eastAsia"/>
                      <w:szCs w:val="21"/>
                    </w:rPr>
                    <w:t>7</w:t>
                  </w:r>
                </w:p>
              </w:tc>
              <w:tc>
                <w:tcPr>
                  <w:tcW w:w="1716" w:type="pct"/>
                  <w:gridSpan w:val="2"/>
                  <w:shd w:val="clear" w:color="000000" w:fill="FFFFFF"/>
                  <w:vAlign w:val="center"/>
                </w:tcPr>
                <w:p>
                  <w:pPr>
                    <w:topLinePunct/>
                    <w:jc w:val="center"/>
                    <w:rPr>
                      <w:szCs w:val="21"/>
                    </w:rPr>
                  </w:pPr>
                  <w:r>
                    <w:rPr>
                      <w:rFonts w:hint="eastAsia"/>
                      <w:szCs w:val="21"/>
                    </w:rPr>
                    <w:t>空压机</w:t>
                  </w:r>
                </w:p>
              </w:tc>
              <w:tc>
                <w:tcPr>
                  <w:tcW w:w="2351" w:type="pct"/>
                  <w:shd w:val="clear" w:color="000000" w:fill="FFFFFF"/>
                  <w:vAlign w:val="center"/>
                </w:tcPr>
                <w:p>
                  <w:pPr>
                    <w:topLinePunct/>
                    <w:jc w:val="center"/>
                    <w:rPr>
                      <w:szCs w:val="21"/>
                    </w:rPr>
                  </w:pPr>
                  <w:r>
                    <w:rPr>
                      <w:rFonts w:hint="eastAsia"/>
                      <w:szCs w:val="21"/>
                    </w:rPr>
                    <w:t>7.5KW气泵</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shd w:val="clear" w:color="000000" w:fill="FFFFFF"/>
                  <w:vAlign w:val="center"/>
                </w:tcPr>
                <w:p>
                  <w:pPr>
                    <w:topLinePunct/>
                    <w:jc w:val="center"/>
                    <w:rPr>
                      <w:szCs w:val="21"/>
                    </w:rPr>
                  </w:pPr>
                  <w:r>
                    <w:rPr>
                      <w:rFonts w:hint="eastAsia"/>
                      <w:szCs w:val="21"/>
                    </w:rPr>
                    <w:t>8</w:t>
                  </w:r>
                </w:p>
              </w:tc>
              <w:tc>
                <w:tcPr>
                  <w:tcW w:w="1716" w:type="pct"/>
                  <w:gridSpan w:val="2"/>
                  <w:shd w:val="clear" w:color="000000" w:fill="FFFFFF"/>
                  <w:vAlign w:val="center"/>
                </w:tcPr>
                <w:p>
                  <w:pPr>
                    <w:topLinePunct/>
                    <w:jc w:val="center"/>
                    <w:rPr>
                      <w:szCs w:val="21"/>
                    </w:rPr>
                  </w:pPr>
                  <w:r>
                    <w:rPr>
                      <w:rFonts w:hint="eastAsia"/>
                      <w:szCs w:val="21"/>
                    </w:rPr>
                    <w:t>设备线路</w:t>
                  </w:r>
                </w:p>
              </w:tc>
              <w:tc>
                <w:tcPr>
                  <w:tcW w:w="2351" w:type="pct"/>
                  <w:shd w:val="clear" w:color="000000" w:fill="FFFFFF"/>
                  <w:vAlign w:val="center"/>
                </w:tcPr>
                <w:p>
                  <w:pPr>
                    <w:topLinePunct/>
                    <w:jc w:val="center"/>
                    <w:rPr>
                      <w:szCs w:val="21"/>
                    </w:rPr>
                  </w:pPr>
                  <w:r>
                    <w:rPr>
                      <w:rFonts w:hint="eastAsia"/>
                      <w:szCs w:val="21"/>
                    </w:rPr>
                    <w:t>国标全铜</w:t>
                  </w:r>
                </w:p>
              </w:tc>
              <w:tc>
                <w:tcPr>
                  <w:tcW w:w="430" w:type="pct"/>
                  <w:shd w:val="clear" w:color="000000" w:fill="FFFFFF"/>
                  <w:vAlign w:val="center"/>
                </w:tcPr>
                <w:p>
                  <w:pPr>
                    <w:topLinePunct/>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shd w:val="clear" w:color="000000" w:fill="FFFFFF"/>
                  <w:vAlign w:val="center"/>
                </w:tcPr>
                <w:p>
                  <w:pPr>
                    <w:topLinePunct/>
                    <w:jc w:val="center"/>
                    <w:rPr>
                      <w:szCs w:val="21"/>
                    </w:rPr>
                  </w:pPr>
                  <w:r>
                    <w:rPr>
                      <w:rFonts w:hint="eastAsia"/>
                      <w:szCs w:val="21"/>
                    </w:rPr>
                    <w:t>9</w:t>
                  </w:r>
                </w:p>
              </w:tc>
              <w:tc>
                <w:tcPr>
                  <w:tcW w:w="1716" w:type="pct"/>
                  <w:gridSpan w:val="2"/>
                  <w:shd w:val="clear" w:color="000000" w:fill="FFFFFF"/>
                  <w:vAlign w:val="center"/>
                </w:tcPr>
                <w:p>
                  <w:pPr>
                    <w:topLinePunct/>
                    <w:jc w:val="center"/>
                    <w:rPr>
                      <w:szCs w:val="21"/>
                    </w:rPr>
                  </w:pPr>
                  <w:r>
                    <w:rPr>
                      <w:rFonts w:hint="eastAsia"/>
                      <w:szCs w:val="21"/>
                    </w:rPr>
                    <w:t>水泥输送泵</w:t>
                  </w:r>
                </w:p>
              </w:tc>
              <w:tc>
                <w:tcPr>
                  <w:tcW w:w="2351" w:type="pct"/>
                  <w:shd w:val="clear" w:color="000000" w:fill="FFFFFF"/>
                  <w:vAlign w:val="center"/>
                </w:tcPr>
                <w:p>
                  <w:pPr>
                    <w:topLinePunct/>
                    <w:jc w:val="center"/>
                    <w:rPr>
                      <w:szCs w:val="21"/>
                    </w:rPr>
                  </w:pPr>
                  <w:r>
                    <w:rPr>
                      <w:rFonts w:hint="eastAsia"/>
                      <w:szCs w:val="21"/>
                    </w:rPr>
                    <w:t>273斜螺旋</w:t>
                  </w:r>
                </w:p>
              </w:tc>
              <w:tc>
                <w:tcPr>
                  <w:tcW w:w="430" w:type="pct"/>
                  <w:shd w:val="clear" w:color="000000" w:fill="FFFFFF"/>
                  <w:vAlign w:val="center"/>
                </w:tcPr>
                <w:p>
                  <w:pPr>
                    <w:topLinePunct/>
                    <w:jc w:val="center"/>
                    <w:rPr>
                      <w:szCs w:val="21"/>
                    </w:rPr>
                  </w:pPr>
                  <w:r>
                    <w:rPr>
                      <w:rFonts w:hint="eastAsia"/>
                      <w:szCs w:val="21"/>
                    </w:rPr>
                    <w:t>2根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shd w:val="clear" w:color="000000" w:fill="FFFFFF"/>
                  <w:vAlign w:val="center"/>
                </w:tcPr>
                <w:p>
                  <w:pPr>
                    <w:topLinePunct/>
                    <w:jc w:val="center"/>
                    <w:rPr>
                      <w:szCs w:val="21"/>
                    </w:rPr>
                  </w:pPr>
                  <w:r>
                    <w:rPr>
                      <w:rFonts w:hint="eastAsia"/>
                      <w:szCs w:val="21"/>
                    </w:rPr>
                    <w:t>1</w:t>
                  </w:r>
                  <w:r>
                    <w:rPr>
                      <w:szCs w:val="21"/>
                    </w:rPr>
                    <w:t>0</w:t>
                  </w:r>
                </w:p>
              </w:tc>
              <w:tc>
                <w:tcPr>
                  <w:tcW w:w="1716" w:type="pct"/>
                  <w:gridSpan w:val="2"/>
                  <w:shd w:val="clear" w:color="000000" w:fill="FFFFFF"/>
                  <w:vAlign w:val="center"/>
                </w:tcPr>
                <w:p>
                  <w:pPr>
                    <w:topLinePunct/>
                    <w:jc w:val="center"/>
                    <w:rPr>
                      <w:szCs w:val="21"/>
                    </w:rPr>
                  </w:pPr>
                  <w:r>
                    <w:rPr>
                      <w:szCs w:val="21"/>
                    </w:rPr>
                    <w:t>水泥筒仓</w:t>
                  </w:r>
                </w:p>
              </w:tc>
              <w:tc>
                <w:tcPr>
                  <w:tcW w:w="2351" w:type="pct"/>
                  <w:shd w:val="clear" w:color="000000" w:fill="FFFFFF"/>
                  <w:vAlign w:val="center"/>
                </w:tcPr>
                <w:p>
                  <w:pPr>
                    <w:topLinePunct/>
                    <w:jc w:val="center"/>
                    <w:rPr>
                      <w:szCs w:val="21"/>
                    </w:rPr>
                  </w:pPr>
                  <w:r>
                    <w:rPr>
                      <w:rFonts w:hint="eastAsia"/>
                      <w:szCs w:val="21"/>
                    </w:rPr>
                    <w:t>100t</w:t>
                  </w:r>
                </w:p>
              </w:tc>
              <w:tc>
                <w:tcPr>
                  <w:tcW w:w="430" w:type="pct"/>
                  <w:shd w:val="clear" w:color="000000" w:fill="FFFFFF"/>
                  <w:vAlign w:val="center"/>
                </w:tcPr>
                <w:p>
                  <w:pPr>
                    <w:topLinePunct/>
                    <w:jc w:val="center"/>
                    <w:rPr>
                      <w:szCs w:val="21"/>
                    </w:rPr>
                  </w:pPr>
                  <w:r>
                    <w:rPr>
                      <w:rFonts w:hint="eastAsia"/>
                      <w:szCs w:val="21"/>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shd w:val="clear" w:color="000000" w:fill="FFFFFF"/>
                  <w:vAlign w:val="center"/>
                </w:tcPr>
                <w:p>
                  <w:pPr>
                    <w:topLinePunct/>
                    <w:jc w:val="center"/>
                    <w:rPr>
                      <w:szCs w:val="21"/>
                    </w:rPr>
                  </w:pPr>
                  <w:r>
                    <w:rPr>
                      <w:rFonts w:hint="eastAsia"/>
                      <w:szCs w:val="21"/>
                    </w:rPr>
                    <w:t>1</w:t>
                  </w:r>
                  <w:r>
                    <w:rPr>
                      <w:szCs w:val="21"/>
                    </w:rPr>
                    <w:t>1</w:t>
                  </w:r>
                </w:p>
              </w:tc>
              <w:tc>
                <w:tcPr>
                  <w:tcW w:w="1716" w:type="pct"/>
                  <w:gridSpan w:val="2"/>
                  <w:shd w:val="clear" w:color="000000" w:fill="FFFFFF"/>
                  <w:vAlign w:val="center"/>
                </w:tcPr>
                <w:p>
                  <w:pPr>
                    <w:topLinePunct/>
                    <w:jc w:val="center"/>
                    <w:rPr>
                      <w:szCs w:val="21"/>
                    </w:rPr>
                  </w:pPr>
                  <w:r>
                    <w:rPr>
                      <w:szCs w:val="21"/>
                    </w:rPr>
                    <w:t>粉煤灰筒仓</w:t>
                  </w:r>
                </w:p>
              </w:tc>
              <w:tc>
                <w:tcPr>
                  <w:tcW w:w="2351" w:type="pct"/>
                  <w:shd w:val="clear" w:color="000000" w:fill="FFFFFF"/>
                  <w:vAlign w:val="center"/>
                </w:tcPr>
                <w:p>
                  <w:pPr>
                    <w:topLinePunct/>
                    <w:jc w:val="center"/>
                    <w:rPr>
                      <w:szCs w:val="21"/>
                    </w:rPr>
                  </w:pPr>
                  <w:r>
                    <w:rPr>
                      <w:rFonts w:hint="eastAsia"/>
                      <w:szCs w:val="21"/>
                    </w:rPr>
                    <w:t>100t</w:t>
                  </w:r>
                </w:p>
              </w:tc>
              <w:tc>
                <w:tcPr>
                  <w:tcW w:w="430" w:type="pct"/>
                  <w:shd w:val="clear" w:color="000000" w:fill="FFFFFF"/>
                  <w:vAlign w:val="center"/>
                </w:tcPr>
                <w:p>
                  <w:pPr>
                    <w:topLinePunct/>
                    <w:jc w:val="center"/>
                    <w:rPr>
                      <w:szCs w:val="21"/>
                    </w:rPr>
                  </w:pPr>
                  <w:r>
                    <w:rPr>
                      <w:rFonts w:hint="eastAsia"/>
                      <w:szCs w:val="21"/>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3" w:type="pct"/>
                  <w:shd w:val="clear" w:color="000000" w:fill="FFFFFF"/>
                  <w:vAlign w:val="center"/>
                </w:tcPr>
                <w:p>
                  <w:pPr>
                    <w:topLinePunct/>
                    <w:jc w:val="center"/>
                    <w:rPr>
                      <w:szCs w:val="21"/>
                    </w:rPr>
                  </w:pPr>
                  <w:r>
                    <w:rPr>
                      <w:rFonts w:hint="eastAsia"/>
                      <w:szCs w:val="21"/>
                    </w:rPr>
                    <w:t>1</w:t>
                  </w:r>
                  <w:r>
                    <w:rPr>
                      <w:szCs w:val="21"/>
                    </w:rPr>
                    <w:t>2</w:t>
                  </w:r>
                </w:p>
              </w:tc>
              <w:tc>
                <w:tcPr>
                  <w:tcW w:w="1716" w:type="pct"/>
                  <w:gridSpan w:val="2"/>
                  <w:shd w:val="clear" w:color="000000" w:fill="FFFFFF"/>
                  <w:vAlign w:val="center"/>
                </w:tcPr>
                <w:p>
                  <w:pPr>
                    <w:topLinePunct/>
                    <w:jc w:val="center"/>
                    <w:rPr>
                      <w:szCs w:val="21"/>
                    </w:rPr>
                  </w:pPr>
                  <w:r>
                    <w:t>添加剂罐</w:t>
                  </w:r>
                </w:p>
              </w:tc>
              <w:tc>
                <w:tcPr>
                  <w:tcW w:w="2351" w:type="pct"/>
                  <w:shd w:val="clear" w:color="000000" w:fill="FFFFFF"/>
                  <w:vAlign w:val="center"/>
                </w:tcPr>
                <w:p>
                  <w:pPr>
                    <w:topLinePunct/>
                    <w:jc w:val="center"/>
                    <w:rPr>
                      <w:szCs w:val="21"/>
                    </w:rPr>
                  </w:pPr>
                  <w:r>
                    <w:t>10</w:t>
                  </w:r>
                  <w:r>
                    <w:rPr>
                      <w:rFonts w:hint="eastAsia"/>
                    </w:rPr>
                    <w:t>t</w:t>
                  </w:r>
                </w:p>
              </w:tc>
              <w:tc>
                <w:tcPr>
                  <w:tcW w:w="430" w:type="pct"/>
                  <w:shd w:val="clear" w:color="000000" w:fill="FFFFFF"/>
                  <w:vAlign w:val="center"/>
                </w:tcPr>
                <w:p>
                  <w:pPr>
                    <w:topLinePunct/>
                    <w:jc w:val="center"/>
                    <w:rPr>
                      <w:szCs w:val="21"/>
                    </w:rPr>
                  </w:pPr>
                  <w:r>
                    <w:rPr>
                      <w:rFonts w:hint="eastAsia"/>
                      <w:szCs w:val="21"/>
                    </w:rPr>
                    <w:t>2个</w:t>
                  </w:r>
                </w:p>
              </w:tc>
            </w:tr>
          </w:tbl>
          <w:p>
            <w:pPr>
              <w:adjustRightInd w:val="0"/>
              <w:snapToGrid w:val="0"/>
              <w:spacing w:before="240" w:line="360" w:lineRule="auto"/>
              <w:jc w:val="left"/>
              <w:rPr>
                <w:rFonts w:cs="宋体"/>
                <w:b/>
                <w:bCs/>
                <w:sz w:val="24"/>
              </w:rPr>
            </w:pPr>
            <w:r>
              <w:rPr>
                <w:rFonts w:cs="宋体"/>
                <w:b/>
                <w:bCs/>
                <w:sz w:val="24"/>
              </w:rPr>
              <w:t>5</w:t>
            </w:r>
            <w:r>
              <w:rPr>
                <w:rFonts w:hint="eastAsia" w:cs="宋体"/>
                <w:b/>
                <w:bCs/>
                <w:sz w:val="24"/>
              </w:rPr>
              <w:t>、厂区平面布置</w:t>
            </w:r>
          </w:p>
          <w:p>
            <w:pPr>
              <w:adjustRightInd w:val="0"/>
              <w:snapToGrid w:val="0"/>
              <w:spacing w:line="360" w:lineRule="auto"/>
              <w:ind w:firstLine="480" w:firstLineChars="200"/>
              <w:jc w:val="left"/>
              <w:rPr>
                <w:rFonts w:cs="宋体"/>
                <w:bCs/>
                <w:sz w:val="24"/>
              </w:rPr>
            </w:pPr>
            <w:r>
              <w:rPr>
                <w:rFonts w:hint="eastAsia" w:cs="宋体"/>
                <w:bCs/>
                <w:sz w:val="24"/>
              </w:rPr>
              <w:t>本项目总占地面积7538m</w:t>
            </w:r>
            <w:r>
              <w:rPr>
                <w:rFonts w:hint="eastAsia" w:cs="宋体"/>
                <w:bCs/>
                <w:sz w:val="24"/>
                <w:vertAlign w:val="superscript"/>
              </w:rPr>
              <w:t>2</w:t>
            </w:r>
            <w:r>
              <w:rPr>
                <w:rFonts w:hint="eastAsia" w:cs="宋体"/>
                <w:bCs/>
                <w:sz w:val="24"/>
              </w:rPr>
              <w:t>，出入口位于场地北部，搅拌机及筒仓布设于厂区中央，搅拌机东北侧为办公生活区，搅拌机西北侧为砂石储料棚，水泥筒仓、粉煤灰筒仓、中水池等位于搅拌机东南侧。本项目总平面布置基本合理。厂区平面示意见附图</w:t>
            </w:r>
            <w:r>
              <w:rPr>
                <w:rFonts w:cs="宋体"/>
                <w:bCs/>
                <w:sz w:val="24"/>
              </w:rPr>
              <w:t>3</w:t>
            </w:r>
            <w:r>
              <w:rPr>
                <w:rFonts w:hint="eastAsia" w:cs="宋体"/>
                <w:bCs/>
                <w:sz w:val="24"/>
              </w:rPr>
              <w:t>。</w:t>
            </w:r>
          </w:p>
          <w:p>
            <w:pPr>
              <w:adjustRightInd w:val="0"/>
              <w:snapToGrid w:val="0"/>
              <w:spacing w:line="360" w:lineRule="auto"/>
              <w:jc w:val="left"/>
              <w:rPr>
                <w:rFonts w:cs="宋体"/>
                <w:b/>
                <w:bCs/>
                <w:sz w:val="24"/>
              </w:rPr>
            </w:pPr>
            <w:r>
              <w:rPr>
                <w:rFonts w:cs="宋体"/>
                <w:b/>
                <w:bCs/>
                <w:sz w:val="24"/>
              </w:rPr>
              <w:t>6</w:t>
            </w:r>
            <w:r>
              <w:rPr>
                <w:rFonts w:hint="eastAsia" w:cs="宋体"/>
                <w:b/>
                <w:bCs/>
                <w:sz w:val="24"/>
              </w:rPr>
              <w:t>、劳动定员及生产制度</w:t>
            </w:r>
          </w:p>
          <w:p>
            <w:pPr>
              <w:adjustRightInd w:val="0"/>
              <w:snapToGrid w:val="0"/>
              <w:spacing w:line="360" w:lineRule="auto"/>
              <w:ind w:firstLine="480" w:firstLineChars="200"/>
              <w:jc w:val="left"/>
              <w:rPr>
                <w:rFonts w:cs="宋体"/>
                <w:bCs/>
                <w:sz w:val="24"/>
              </w:rPr>
            </w:pPr>
            <w:r>
              <w:rPr>
                <w:rFonts w:hint="eastAsia" w:cs="宋体"/>
                <w:bCs/>
                <w:sz w:val="24"/>
              </w:rPr>
              <w:t>本项目运营期工作人员</w:t>
            </w:r>
            <w:r>
              <w:rPr>
                <w:rFonts w:cs="宋体"/>
                <w:bCs/>
                <w:sz w:val="24"/>
              </w:rPr>
              <w:t>4</w:t>
            </w:r>
            <w:r>
              <w:rPr>
                <w:rFonts w:hint="eastAsia" w:cs="宋体"/>
                <w:bCs/>
                <w:sz w:val="24"/>
              </w:rPr>
              <w:t>名，年工作天数200天，三班两倒。</w:t>
            </w:r>
          </w:p>
          <w:p>
            <w:pPr>
              <w:adjustRightInd w:val="0"/>
              <w:snapToGrid w:val="0"/>
              <w:spacing w:line="360" w:lineRule="auto"/>
              <w:jc w:val="left"/>
              <w:rPr>
                <w:rFonts w:cs="宋体"/>
                <w:b/>
                <w:bCs/>
                <w:sz w:val="24"/>
              </w:rPr>
            </w:pPr>
            <w:r>
              <w:rPr>
                <w:rFonts w:cs="宋体"/>
                <w:b/>
                <w:bCs/>
                <w:sz w:val="24"/>
              </w:rPr>
              <w:t>7</w:t>
            </w:r>
            <w:r>
              <w:rPr>
                <w:rFonts w:hint="eastAsia" w:cs="宋体"/>
                <w:b/>
                <w:bCs/>
                <w:sz w:val="24"/>
              </w:rPr>
              <w:t>、</w:t>
            </w:r>
            <w:r>
              <w:rPr>
                <w:rFonts w:cs="宋体"/>
                <w:b/>
                <w:bCs/>
                <w:sz w:val="24"/>
              </w:rPr>
              <w:t>公用工程</w:t>
            </w:r>
          </w:p>
          <w:p>
            <w:pPr>
              <w:adjustRightInd w:val="0"/>
              <w:snapToGrid w:val="0"/>
              <w:spacing w:line="360" w:lineRule="auto"/>
              <w:ind w:firstLine="480" w:firstLineChars="200"/>
              <w:rPr>
                <w:rFonts w:cs="宋体"/>
                <w:bCs/>
                <w:sz w:val="24"/>
              </w:rPr>
            </w:pPr>
            <w:r>
              <w:rPr>
                <w:rFonts w:hint="eastAsia" w:cs="宋体"/>
                <w:bCs/>
                <w:sz w:val="24"/>
              </w:rPr>
              <w:t>（1）</w:t>
            </w:r>
            <w:r>
              <w:rPr>
                <w:rFonts w:cs="宋体"/>
                <w:bCs/>
                <w:sz w:val="24"/>
              </w:rPr>
              <w:t>供水</w:t>
            </w:r>
          </w:p>
          <w:p>
            <w:pPr>
              <w:adjustRightInd w:val="0"/>
              <w:snapToGrid w:val="0"/>
              <w:spacing w:line="360" w:lineRule="auto"/>
              <w:ind w:firstLine="480" w:firstLineChars="200"/>
              <w:rPr>
                <w:rFonts w:cs="宋体"/>
                <w:bCs/>
                <w:sz w:val="24"/>
              </w:rPr>
            </w:pPr>
            <w:r>
              <w:rPr>
                <w:rFonts w:cs="宋体"/>
                <w:bCs/>
                <w:sz w:val="24"/>
              </w:rPr>
              <w:t>厂区生活用水拉运</w:t>
            </w:r>
            <w:r>
              <w:rPr>
                <w:rFonts w:hint="eastAsia" w:cs="宋体"/>
                <w:bCs/>
                <w:sz w:val="24"/>
              </w:rPr>
              <w:t>高勒庙村</w:t>
            </w:r>
            <w:r>
              <w:rPr>
                <w:rFonts w:cs="宋体"/>
                <w:bCs/>
                <w:sz w:val="24"/>
              </w:rPr>
              <w:t>井水。</w:t>
            </w:r>
          </w:p>
          <w:p>
            <w:pPr>
              <w:adjustRightInd w:val="0"/>
              <w:snapToGrid w:val="0"/>
              <w:spacing w:line="360" w:lineRule="auto"/>
              <w:ind w:firstLine="480" w:firstLineChars="200"/>
              <w:rPr>
                <w:rFonts w:cs="宋体"/>
                <w:bCs/>
                <w:sz w:val="24"/>
              </w:rPr>
            </w:pPr>
            <w:r>
              <w:rPr>
                <w:rFonts w:cs="宋体"/>
                <w:bCs/>
                <w:sz w:val="24"/>
              </w:rPr>
              <w:t>生产用水</w:t>
            </w:r>
            <w:r>
              <w:rPr>
                <w:rFonts w:hint="eastAsia" w:cs="宋体"/>
                <w:bCs/>
                <w:sz w:val="24"/>
              </w:rPr>
              <w:t>为札萨克镇台格办事处污水处理厂经过处理产生的中水，由札萨克镇台格办事处污水处理厂建设的管道输送至项目区。</w:t>
            </w:r>
          </w:p>
          <w:p>
            <w:pPr>
              <w:adjustRightInd w:val="0"/>
              <w:snapToGrid w:val="0"/>
              <w:spacing w:line="360" w:lineRule="auto"/>
              <w:ind w:firstLine="480" w:firstLineChars="200"/>
              <w:rPr>
                <w:rFonts w:cs="宋体"/>
                <w:bCs/>
                <w:color w:val="FF0000"/>
                <w:sz w:val="24"/>
              </w:rPr>
            </w:pPr>
            <w:r>
              <w:rPr>
                <w:rFonts w:cs="宋体"/>
                <w:bCs/>
                <w:color w:val="FF0000"/>
                <w:sz w:val="24"/>
              </w:rPr>
              <w:t>厂区</w:t>
            </w:r>
            <w:r>
              <w:rPr>
                <w:rFonts w:hint="eastAsia" w:cs="宋体"/>
                <w:bCs/>
                <w:color w:val="FF0000"/>
                <w:sz w:val="24"/>
              </w:rPr>
              <w:t>总用水量为</w:t>
            </w:r>
            <w:r>
              <w:rPr>
                <w:rFonts w:cs="宋体"/>
                <w:bCs/>
                <w:color w:val="FF0000"/>
                <w:sz w:val="24"/>
              </w:rPr>
              <w:t>301.74</w:t>
            </w:r>
            <w:r>
              <w:rPr>
                <w:rFonts w:hint="eastAsia" w:cs="宋体"/>
                <w:bCs/>
                <w:color w:val="FF0000"/>
                <w:sz w:val="24"/>
              </w:rPr>
              <w:t>m</w:t>
            </w:r>
            <w:r>
              <w:rPr>
                <w:rFonts w:hint="eastAsia" w:cs="宋体"/>
                <w:bCs/>
                <w:color w:val="FF0000"/>
                <w:sz w:val="24"/>
                <w:vertAlign w:val="superscript"/>
              </w:rPr>
              <w:t>3</w:t>
            </w:r>
            <w:r>
              <w:rPr>
                <w:rFonts w:hint="eastAsia" w:cs="宋体"/>
                <w:bCs/>
                <w:color w:val="FF0000"/>
                <w:sz w:val="24"/>
              </w:rPr>
              <w:t>/d（</w:t>
            </w:r>
            <w:r>
              <w:rPr>
                <w:rFonts w:cs="宋体"/>
                <w:bCs/>
                <w:color w:val="FF0000"/>
                <w:sz w:val="24"/>
              </w:rPr>
              <w:t>60348</w:t>
            </w:r>
            <w:r>
              <w:rPr>
                <w:rFonts w:hint="eastAsia" w:cs="宋体"/>
                <w:bCs/>
                <w:color w:val="FF0000"/>
                <w:sz w:val="24"/>
              </w:rPr>
              <w:t>m</w:t>
            </w:r>
            <w:r>
              <w:rPr>
                <w:rFonts w:hint="eastAsia" w:cs="宋体"/>
                <w:bCs/>
                <w:color w:val="FF0000"/>
                <w:sz w:val="24"/>
                <w:vertAlign w:val="superscript"/>
              </w:rPr>
              <w:t>3</w:t>
            </w:r>
            <w:r>
              <w:rPr>
                <w:rFonts w:hint="eastAsia" w:cs="宋体"/>
                <w:bCs/>
                <w:color w:val="FF0000"/>
                <w:sz w:val="24"/>
              </w:rPr>
              <w:t>/a）。</w:t>
            </w:r>
          </w:p>
          <w:p>
            <w:pPr>
              <w:adjustRightInd w:val="0"/>
              <w:snapToGrid w:val="0"/>
              <w:spacing w:line="360" w:lineRule="auto"/>
              <w:ind w:firstLine="480" w:firstLineChars="200"/>
              <w:rPr>
                <w:rFonts w:cs="宋体"/>
                <w:bCs/>
                <w:sz w:val="24"/>
              </w:rPr>
            </w:pPr>
            <w:r>
              <w:rPr>
                <w:rFonts w:hint="eastAsia" w:cs="宋体"/>
                <w:bCs/>
                <w:sz w:val="24"/>
              </w:rPr>
              <w:t>①生产用水</w:t>
            </w:r>
          </w:p>
          <w:p>
            <w:pPr>
              <w:adjustRightInd w:val="0"/>
              <w:snapToGrid w:val="0"/>
              <w:spacing w:line="360" w:lineRule="auto"/>
              <w:ind w:firstLine="480" w:firstLineChars="200"/>
              <w:rPr>
                <w:rFonts w:cs="宋体"/>
                <w:bCs/>
                <w:sz w:val="24"/>
              </w:rPr>
            </w:pPr>
            <w:r>
              <w:rPr>
                <w:rFonts w:hint="eastAsia" w:cs="宋体"/>
                <w:bCs/>
                <w:sz w:val="24"/>
              </w:rPr>
              <w:t>生产用水主要是搅拌混合用水、搅拌机及运输车辆</w:t>
            </w:r>
            <w:r>
              <w:rPr>
                <w:rFonts w:cs="宋体"/>
                <w:bCs/>
                <w:sz w:val="24"/>
              </w:rPr>
              <w:t>清洗用水</w:t>
            </w:r>
            <w:r>
              <w:rPr>
                <w:rFonts w:hint="eastAsia" w:cs="宋体"/>
                <w:bCs/>
                <w:sz w:val="24"/>
              </w:rPr>
              <w:t>、料棚抑尘用水等。</w:t>
            </w:r>
          </w:p>
          <w:p>
            <w:pPr>
              <w:adjustRightInd w:val="0"/>
              <w:snapToGrid w:val="0"/>
              <w:spacing w:line="360" w:lineRule="auto"/>
              <w:ind w:firstLine="480" w:firstLineChars="200"/>
              <w:rPr>
                <w:rFonts w:cs="宋体"/>
                <w:bCs/>
                <w:sz w:val="24"/>
              </w:rPr>
            </w:pPr>
            <w:r>
              <w:rPr>
                <w:rFonts w:hint="eastAsia" w:cs="宋体"/>
                <w:bCs/>
                <w:sz w:val="24"/>
              </w:rPr>
              <w:t>搅拌混合用水：</w:t>
            </w:r>
            <w:r>
              <w:rPr>
                <w:rFonts w:cs="宋体"/>
                <w:bCs/>
                <w:sz w:val="24"/>
              </w:rPr>
              <w:t>项目建成后年产混凝土</w:t>
            </w:r>
            <w:r>
              <w:rPr>
                <w:rFonts w:hint="eastAsia" w:cs="宋体"/>
                <w:bCs/>
                <w:sz w:val="24"/>
              </w:rPr>
              <w:t>3</w:t>
            </w:r>
            <w:r>
              <w:rPr>
                <w:rFonts w:cs="宋体"/>
                <w:bCs/>
                <w:sz w:val="24"/>
              </w:rPr>
              <w:t>0万m</w:t>
            </w:r>
            <w:r>
              <w:rPr>
                <w:rFonts w:cs="宋体"/>
                <w:bCs/>
                <w:sz w:val="24"/>
                <w:vertAlign w:val="superscript"/>
              </w:rPr>
              <w:t>3</w:t>
            </w:r>
            <w:r>
              <w:rPr>
                <w:rFonts w:hint="eastAsia" w:cs="宋体"/>
                <w:bCs/>
                <w:sz w:val="24"/>
              </w:rPr>
              <w:t>，根据</w:t>
            </w:r>
            <w:r>
              <w:rPr>
                <w:rFonts w:cs="宋体"/>
                <w:bCs/>
                <w:sz w:val="24"/>
              </w:rPr>
              <w:t>《</w:t>
            </w:r>
            <w:r>
              <w:rPr>
                <w:rFonts w:hint="eastAsia" w:cs="宋体"/>
                <w:bCs/>
                <w:sz w:val="24"/>
              </w:rPr>
              <w:t>行业用水定额</w:t>
            </w:r>
            <w:r>
              <w:rPr>
                <w:rFonts w:cs="宋体"/>
                <w:bCs/>
                <w:sz w:val="24"/>
              </w:rPr>
              <w:t>》</w:t>
            </w:r>
            <w:r>
              <w:rPr>
                <w:rFonts w:hint="eastAsia" w:cs="宋体"/>
                <w:bCs/>
                <w:sz w:val="24"/>
              </w:rPr>
              <w:t>（D</w:t>
            </w:r>
            <w:r>
              <w:rPr>
                <w:rFonts w:cs="宋体"/>
                <w:bCs/>
                <w:sz w:val="24"/>
              </w:rPr>
              <w:t>B15/T385 2020</w:t>
            </w:r>
            <w:r>
              <w:rPr>
                <w:rFonts w:hint="eastAsia" w:cs="宋体"/>
                <w:bCs/>
                <w:sz w:val="24"/>
              </w:rPr>
              <w:t>）预拌混凝土用水量按0</w:t>
            </w:r>
            <w:r>
              <w:rPr>
                <w:rFonts w:cs="宋体"/>
                <w:bCs/>
                <w:sz w:val="24"/>
              </w:rPr>
              <w:t>.2</w:t>
            </w:r>
            <w:r>
              <w:rPr>
                <w:rFonts w:hint="eastAsia" w:cs="宋体"/>
                <w:bCs/>
                <w:sz w:val="24"/>
              </w:rPr>
              <w:t>m</w:t>
            </w:r>
            <w:r>
              <w:rPr>
                <w:rFonts w:hint="eastAsia" w:cs="宋体"/>
                <w:bCs/>
                <w:sz w:val="24"/>
                <w:vertAlign w:val="superscript"/>
              </w:rPr>
              <w:t>3</w:t>
            </w:r>
            <w:r>
              <w:rPr>
                <w:rFonts w:cs="宋体"/>
                <w:bCs/>
                <w:sz w:val="24"/>
              </w:rPr>
              <w:t>/m</w:t>
            </w:r>
            <w:r>
              <w:rPr>
                <w:rFonts w:cs="宋体"/>
                <w:bCs/>
                <w:sz w:val="24"/>
                <w:vertAlign w:val="superscript"/>
              </w:rPr>
              <w:t>3</w:t>
            </w:r>
            <w:r>
              <w:rPr>
                <w:rFonts w:cs="宋体"/>
                <w:bCs/>
                <w:sz w:val="24"/>
              </w:rPr>
              <w:t>计算，则</w:t>
            </w:r>
            <w:r>
              <w:rPr>
                <w:rFonts w:hint="eastAsia" w:cs="宋体"/>
                <w:bCs/>
                <w:sz w:val="24"/>
              </w:rPr>
              <w:t>年</w:t>
            </w:r>
            <w:r>
              <w:rPr>
                <w:rFonts w:cs="宋体"/>
                <w:bCs/>
                <w:sz w:val="24"/>
              </w:rPr>
              <w:t>生产用水量为60000m</w:t>
            </w:r>
            <w:r>
              <w:rPr>
                <w:rFonts w:cs="宋体"/>
                <w:bCs/>
                <w:sz w:val="24"/>
                <w:vertAlign w:val="superscript"/>
              </w:rPr>
              <w:t>3</w:t>
            </w:r>
            <w:r>
              <w:rPr>
                <w:rFonts w:cs="宋体"/>
                <w:bCs/>
                <w:sz w:val="24"/>
              </w:rPr>
              <w:t>/a（300m</w:t>
            </w:r>
            <w:r>
              <w:rPr>
                <w:rFonts w:cs="宋体"/>
                <w:bCs/>
                <w:sz w:val="24"/>
                <w:vertAlign w:val="superscript"/>
              </w:rPr>
              <w:t>3</w:t>
            </w:r>
            <w:r>
              <w:rPr>
                <w:rFonts w:cs="宋体"/>
                <w:bCs/>
                <w:sz w:val="24"/>
              </w:rPr>
              <w:t>/d）。</w:t>
            </w:r>
          </w:p>
          <w:p>
            <w:pPr>
              <w:adjustRightInd w:val="0"/>
              <w:snapToGrid w:val="0"/>
              <w:spacing w:line="360" w:lineRule="auto"/>
              <w:ind w:firstLine="480" w:firstLineChars="200"/>
              <w:rPr>
                <w:rFonts w:cs="宋体"/>
                <w:bCs/>
                <w:sz w:val="24"/>
              </w:rPr>
            </w:pPr>
            <w:r>
              <w:rPr>
                <w:rFonts w:hint="eastAsia" w:cs="宋体"/>
                <w:bCs/>
                <w:sz w:val="24"/>
              </w:rPr>
              <w:t>搅拌机及运输车辆</w:t>
            </w:r>
            <w:r>
              <w:rPr>
                <w:rFonts w:cs="宋体"/>
                <w:bCs/>
                <w:sz w:val="24"/>
              </w:rPr>
              <w:t>清洗用水</w:t>
            </w:r>
            <w:r>
              <w:rPr>
                <w:rFonts w:hint="eastAsia" w:cs="宋体"/>
                <w:bCs/>
                <w:sz w:val="24"/>
              </w:rPr>
              <w:t>：</w:t>
            </w:r>
            <w:r>
              <w:rPr>
                <w:rFonts w:cs="宋体"/>
                <w:bCs/>
                <w:sz w:val="24"/>
              </w:rPr>
              <w:t>搅拌机</w:t>
            </w:r>
            <w:r>
              <w:rPr>
                <w:rFonts w:hint="eastAsia" w:cs="宋体"/>
                <w:bCs/>
                <w:sz w:val="24"/>
              </w:rPr>
              <w:t>清</w:t>
            </w:r>
            <w:r>
              <w:rPr>
                <w:rFonts w:cs="宋体"/>
                <w:bCs/>
                <w:sz w:val="24"/>
              </w:rPr>
              <w:t>洗用水量为1.0m</w:t>
            </w:r>
            <w:r>
              <w:rPr>
                <w:rFonts w:cs="宋体"/>
                <w:bCs/>
                <w:sz w:val="24"/>
                <w:vertAlign w:val="superscript"/>
              </w:rPr>
              <w:t>3</w:t>
            </w:r>
            <w:r>
              <w:rPr>
                <w:rFonts w:cs="宋体"/>
                <w:bCs/>
                <w:sz w:val="24"/>
              </w:rPr>
              <w:t>/d</w:t>
            </w:r>
            <w:r>
              <w:rPr>
                <w:rFonts w:hint="eastAsia" w:cs="宋体"/>
                <w:bCs/>
                <w:sz w:val="24"/>
              </w:rPr>
              <w:t>（</w:t>
            </w:r>
            <w:r>
              <w:rPr>
                <w:rFonts w:cs="宋体"/>
                <w:bCs/>
                <w:sz w:val="24"/>
              </w:rPr>
              <w:t>2</w:t>
            </w:r>
            <w:r>
              <w:rPr>
                <w:rFonts w:hint="eastAsia" w:cs="宋体"/>
                <w:bCs/>
                <w:sz w:val="24"/>
              </w:rPr>
              <w:t>0</w:t>
            </w:r>
            <w:r>
              <w:rPr>
                <w:rFonts w:cs="宋体"/>
                <w:bCs/>
                <w:sz w:val="24"/>
              </w:rPr>
              <w:t>0m</w:t>
            </w:r>
            <w:r>
              <w:rPr>
                <w:rFonts w:cs="宋体"/>
                <w:bCs/>
                <w:sz w:val="24"/>
                <w:vertAlign w:val="superscript"/>
              </w:rPr>
              <w:t>3</w:t>
            </w:r>
            <w:r>
              <w:rPr>
                <w:rFonts w:cs="宋体"/>
                <w:bCs/>
                <w:sz w:val="24"/>
              </w:rPr>
              <w:t>/a</w:t>
            </w:r>
            <w:r>
              <w:rPr>
                <w:rFonts w:hint="eastAsia" w:cs="宋体"/>
                <w:bCs/>
                <w:sz w:val="24"/>
              </w:rPr>
              <w:t>）</w:t>
            </w:r>
            <w:r>
              <w:rPr>
                <w:rFonts w:cs="宋体"/>
                <w:bCs/>
                <w:sz w:val="24"/>
              </w:rPr>
              <w:t>；项目共有混凝土罐车10辆，</w:t>
            </w:r>
            <w:r>
              <w:rPr>
                <w:rFonts w:hint="eastAsia" w:cs="宋体"/>
                <w:bCs/>
                <w:sz w:val="24"/>
              </w:rPr>
              <w:t>混凝土罐车四天冲洗一次，</w:t>
            </w:r>
            <w:r>
              <w:rPr>
                <w:rFonts w:cs="宋体"/>
                <w:bCs/>
                <w:sz w:val="24"/>
              </w:rPr>
              <w:t>平均每辆冲洗用水量约0.</w:t>
            </w:r>
            <w:r>
              <w:rPr>
                <w:rFonts w:hint="eastAsia" w:cs="宋体"/>
                <w:bCs/>
                <w:sz w:val="24"/>
              </w:rPr>
              <w:t>5</w:t>
            </w:r>
            <w:r>
              <w:rPr>
                <w:rFonts w:cs="宋体"/>
                <w:bCs/>
                <w:sz w:val="24"/>
              </w:rPr>
              <w:t>m</w:t>
            </w:r>
            <w:r>
              <w:rPr>
                <w:rFonts w:cs="宋体"/>
                <w:bCs/>
                <w:sz w:val="24"/>
                <w:vertAlign w:val="superscript"/>
              </w:rPr>
              <w:t>3</w:t>
            </w:r>
            <w:r>
              <w:rPr>
                <w:rFonts w:cs="宋体"/>
                <w:bCs/>
                <w:sz w:val="24"/>
              </w:rPr>
              <w:t>，则车辆清洗用水量为5m</w:t>
            </w:r>
            <w:r>
              <w:rPr>
                <w:rFonts w:cs="宋体"/>
                <w:bCs/>
                <w:sz w:val="24"/>
                <w:vertAlign w:val="superscript"/>
              </w:rPr>
              <w:t>3</w:t>
            </w:r>
            <w:r>
              <w:rPr>
                <w:rFonts w:cs="宋体"/>
                <w:bCs/>
                <w:sz w:val="24"/>
              </w:rPr>
              <w:t>/</w:t>
            </w:r>
            <w:r>
              <w:rPr>
                <w:rFonts w:hint="eastAsia" w:cs="宋体"/>
                <w:bCs/>
                <w:sz w:val="24"/>
              </w:rPr>
              <w:t>次（</w:t>
            </w:r>
            <w:r>
              <w:rPr>
                <w:rFonts w:cs="宋体"/>
                <w:bCs/>
                <w:sz w:val="24"/>
              </w:rPr>
              <w:t>2</w:t>
            </w:r>
            <w:r>
              <w:rPr>
                <w:rFonts w:hint="eastAsia" w:cs="宋体"/>
                <w:bCs/>
                <w:sz w:val="24"/>
              </w:rPr>
              <w:t>5</w:t>
            </w:r>
            <w:r>
              <w:rPr>
                <w:rFonts w:cs="宋体"/>
                <w:bCs/>
                <w:sz w:val="24"/>
              </w:rPr>
              <w:t>0m</w:t>
            </w:r>
            <w:r>
              <w:rPr>
                <w:rFonts w:cs="宋体"/>
                <w:bCs/>
                <w:sz w:val="24"/>
                <w:vertAlign w:val="superscript"/>
              </w:rPr>
              <w:t>3</w:t>
            </w:r>
            <w:r>
              <w:rPr>
                <w:rFonts w:cs="宋体"/>
                <w:bCs/>
                <w:sz w:val="24"/>
              </w:rPr>
              <w:t>/a</w:t>
            </w:r>
            <w:r>
              <w:rPr>
                <w:rFonts w:hint="eastAsia" w:cs="宋体"/>
                <w:bCs/>
                <w:sz w:val="24"/>
              </w:rPr>
              <w:t>），按照生产天数折算日用水量为</w:t>
            </w:r>
            <w:r>
              <w:rPr>
                <w:rFonts w:cs="宋体"/>
                <w:bCs/>
                <w:sz w:val="24"/>
              </w:rPr>
              <w:t>1.25m</w:t>
            </w:r>
            <w:r>
              <w:rPr>
                <w:rFonts w:cs="宋体"/>
                <w:bCs/>
                <w:sz w:val="24"/>
                <w:vertAlign w:val="superscript"/>
              </w:rPr>
              <w:t>3</w:t>
            </w:r>
            <w:r>
              <w:rPr>
                <w:rFonts w:cs="宋体"/>
                <w:bCs/>
                <w:sz w:val="24"/>
              </w:rPr>
              <w:t>/d。则</w:t>
            </w:r>
            <w:r>
              <w:rPr>
                <w:rFonts w:hint="eastAsia" w:cs="宋体"/>
                <w:bCs/>
                <w:sz w:val="24"/>
              </w:rPr>
              <w:t>搅拌机</w:t>
            </w:r>
            <w:r>
              <w:rPr>
                <w:rFonts w:cs="宋体"/>
                <w:bCs/>
                <w:sz w:val="24"/>
              </w:rPr>
              <w:t>、运输车辆清洗用水总量为</w:t>
            </w:r>
            <w:r>
              <w:rPr>
                <w:rFonts w:hint="eastAsia" w:cs="宋体"/>
                <w:bCs/>
                <w:sz w:val="24"/>
              </w:rPr>
              <w:t>2</w:t>
            </w:r>
            <w:r>
              <w:rPr>
                <w:rFonts w:cs="宋体"/>
                <w:bCs/>
                <w:sz w:val="24"/>
              </w:rPr>
              <w:t>.25</w:t>
            </w:r>
            <w:r>
              <w:rPr>
                <w:rFonts w:hint="eastAsia" w:cs="宋体"/>
                <w:bCs/>
                <w:sz w:val="24"/>
              </w:rPr>
              <w:t>m</w:t>
            </w:r>
            <w:r>
              <w:rPr>
                <w:rFonts w:hint="eastAsia" w:cs="宋体"/>
                <w:bCs/>
                <w:sz w:val="24"/>
                <w:vertAlign w:val="superscript"/>
              </w:rPr>
              <w:t>3</w:t>
            </w:r>
            <w:r>
              <w:rPr>
                <w:rFonts w:cs="宋体"/>
                <w:bCs/>
                <w:sz w:val="24"/>
              </w:rPr>
              <w:t>/</w:t>
            </w:r>
            <w:r>
              <w:rPr>
                <w:rFonts w:hint="eastAsia" w:cs="宋体"/>
                <w:bCs/>
                <w:sz w:val="24"/>
              </w:rPr>
              <w:t>d（</w:t>
            </w:r>
            <w:r>
              <w:rPr>
                <w:rFonts w:cs="宋体"/>
                <w:bCs/>
                <w:sz w:val="24"/>
              </w:rPr>
              <w:t>4</w:t>
            </w:r>
            <w:r>
              <w:rPr>
                <w:rFonts w:hint="eastAsia" w:cs="宋体"/>
                <w:bCs/>
                <w:sz w:val="24"/>
              </w:rPr>
              <w:t>50</w:t>
            </w:r>
            <w:r>
              <w:rPr>
                <w:rFonts w:cs="宋体"/>
                <w:bCs/>
                <w:sz w:val="24"/>
              </w:rPr>
              <w:t>m</w:t>
            </w:r>
            <w:r>
              <w:rPr>
                <w:rFonts w:cs="宋体"/>
                <w:bCs/>
                <w:sz w:val="24"/>
                <w:vertAlign w:val="superscript"/>
              </w:rPr>
              <w:t>3</w:t>
            </w:r>
            <w:r>
              <w:rPr>
                <w:rFonts w:cs="宋体"/>
                <w:bCs/>
                <w:sz w:val="24"/>
              </w:rPr>
              <w:t>/a</w:t>
            </w:r>
            <w:r>
              <w:rPr>
                <w:rFonts w:hint="eastAsia" w:cs="宋体"/>
                <w:bCs/>
                <w:sz w:val="24"/>
              </w:rPr>
              <w:t>）。</w:t>
            </w:r>
          </w:p>
          <w:p>
            <w:pPr>
              <w:pStyle w:val="3"/>
              <w:spacing w:line="360" w:lineRule="auto"/>
              <w:ind w:firstLine="480"/>
              <w:rPr>
                <w:rFonts w:ascii="Times New Roman" w:hAnsi="Times New Roman"/>
                <w:sz w:val="24"/>
              </w:rPr>
            </w:pPr>
            <w:r>
              <w:rPr>
                <w:rFonts w:ascii="Times New Roman" w:hAnsi="Times New Roman"/>
                <w:sz w:val="24"/>
              </w:rPr>
              <w:t>料棚抑尘用水：砂石</w:t>
            </w:r>
            <w:r>
              <w:rPr>
                <w:rFonts w:hint="eastAsia" w:ascii="Times New Roman" w:hAnsi="Times New Roman"/>
                <w:sz w:val="24"/>
              </w:rPr>
              <w:t>储料</w:t>
            </w:r>
            <w:r>
              <w:rPr>
                <w:rFonts w:ascii="Times New Roman" w:hAnsi="Times New Roman"/>
                <w:sz w:val="24"/>
              </w:rPr>
              <w:t>库占地面积175</w:t>
            </w:r>
            <w:r>
              <w:rPr>
                <w:rFonts w:hint="eastAsia" w:ascii="Times New Roman" w:hAnsi="Times New Roman"/>
                <w:sz w:val="24"/>
              </w:rPr>
              <w:t>0</w:t>
            </w:r>
            <w:r>
              <w:rPr>
                <w:rFonts w:ascii="Times New Roman" w:hAnsi="Times New Roman"/>
                <w:sz w:val="24"/>
              </w:rPr>
              <w:t>m</w:t>
            </w:r>
            <w:r>
              <w:rPr>
                <w:rFonts w:ascii="Times New Roman" w:hAnsi="Times New Roman"/>
                <w:sz w:val="24"/>
                <w:vertAlign w:val="superscript"/>
              </w:rPr>
              <w:t>2</w:t>
            </w:r>
            <w:r>
              <w:rPr>
                <w:rFonts w:ascii="Times New Roman" w:hAnsi="Times New Roman"/>
                <w:sz w:val="24"/>
              </w:rPr>
              <w:t>，</w:t>
            </w:r>
            <w:r>
              <w:rPr>
                <w:rFonts w:hint="eastAsia" w:ascii="Times New Roman" w:hAnsi="Times New Roman"/>
                <w:sz w:val="24"/>
              </w:rPr>
              <w:t>为全封闭式，抑尘用水定额按</w:t>
            </w:r>
            <w:r>
              <w:rPr>
                <w:rFonts w:ascii="Times New Roman" w:hAnsi="Times New Roman"/>
                <w:sz w:val="24"/>
              </w:rPr>
              <w:t>0.5L</w:t>
            </w:r>
            <w:r>
              <w:rPr>
                <w:rFonts w:hint="eastAsia" w:ascii="Times New Roman" w:hAnsi="Times New Roman"/>
                <w:sz w:val="24"/>
              </w:rPr>
              <w:t>/m</w:t>
            </w:r>
            <w:r>
              <w:rPr>
                <w:rFonts w:hint="eastAsia" w:ascii="Times New Roman" w:hAnsi="Times New Roman"/>
                <w:sz w:val="24"/>
                <w:vertAlign w:val="superscript"/>
              </w:rPr>
              <w:t>2</w:t>
            </w:r>
            <w:r>
              <w:rPr>
                <w:rFonts w:ascii="Times New Roman" w:hAnsi="Times New Roman"/>
                <w:sz w:val="24"/>
              </w:rPr>
              <w:t>.d</w:t>
            </w:r>
            <w:r>
              <w:rPr>
                <w:rFonts w:hint="eastAsia" w:ascii="Times New Roman" w:hAnsi="Times New Roman"/>
                <w:sz w:val="24"/>
              </w:rPr>
              <w:t>计，则料棚抑尘用水量为</w:t>
            </w:r>
            <w:r>
              <w:rPr>
                <w:rFonts w:ascii="Times New Roman" w:hAnsi="Times New Roman"/>
                <w:sz w:val="24"/>
              </w:rPr>
              <w:t>0.88</w:t>
            </w:r>
            <w:r>
              <w:rPr>
                <w:rFonts w:hint="eastAsia" w:ascii="Times New Roman" w:hAnsi="Times New Roman"/>
                <w:sz w:val="24"/>
              </w:rPr>
              <w:t>m</w:t>
            </w:r>
            <w:r>
              <w:rPr>
                <w:rFonts w:hint="eastAsia" w:ascii="Times New Roman" w:hAnsi="Times New Roman"/>
                <w:sz w:val="24"/>
                <w:vertAlign w:val="superscript"/>
              </w:rPr>
              <w:t>3</w:t>
            </w:r>
            <w:r>
              <w:rPr>
                <w:rFonts w:ascii="Times New Roman" w:hAnsi="Times New Roman"/>
                <w:sz w:val="24"/>
              </w:rPr>
              <w:t>/d</w:t>
            </w:r>
            <w:r>
              <w:rPr>
                <w:rFonts w:hint="eastAsia" w:ascii="Times New Roman" w:hAnsi="Times New Roman"/>
                <w:sz w:val="24"/>
              </w:rPr>
              <w:t>（</w:t>
            </w:r>
            <w:r>
              <w:rPr>
                <w:rFonts w:ascii="Times New Roman" w:hAnsi="Times New Roman"/>
                <w:sz w:val="24"/>
              </w:rPr>
              <w:t>176m</w:t>
            </w:r>
            <w:r>
              <w:rPr>
                <w:rFonts w:hint="eastAsia" w:ascii="Times New Roman" w:hAnsi="Times New Roman"/>
                <w:sz w:val="24"/>
                <w:vertAlign w:val="superscript"/>
              </w:rPr>
              <w:t>3</w:t>
            </w:r>
            <w:r>
              <w:rPr>
                <w:rFonts w:ascii="Times New Roman" w:hAnsi="Times New Roman"/>
                <w:sz w:val="24"/>
              </w:rPr>
              <w:t>/</w:t>
            </w:r>
            <w:r>
              <w:rPr>
                <w:rFonts w:hint="eastAsia" w:ascii="Times New Roman" w:hAnsi="Times New Roman"/>
                <w:sz w:val="24"/>
              </w:rPr>
              <w:t>a）。</w:t>
            </w:r>
          </w:p>
          <w:p>
            <w:pPr>
              <w:spacing w:line="360" w:lineRule="auto"/>
              <w:ind w:firstLine="480" w:firstLineChars="200"/>
              <w:rPr>
                <w:rFonts w:cs="宋体"/>
                <w:bCs/>
                <w:sz w:val="24"/>
              </w:rPr>
            </w:pPr>
            <w:r>
              <w:rPr>
                <w:rFonts w:hint="eastAsia" w:cs="宋体"/>
                <w:bCs/>
                <w:sz w:val="24"/>
              </w:rPr>
              <w:t>②生活用水</w:t>
            </w:r>
          </w:p>
          <w:p>
            <w:pPr>
              <w:adjustRightInd w:val="0"/>
              <w:snapToGrid w:val="0"/>
              <w:spacing w:line="360" w:lineRule="auto"/>
              <w:ind w:firstLine="480" w:firstLineChars="200"/>
              <w:rPr>
                <w:b/>
                <w:bCs/>
                <w:sz w:val="24"/>
              </w:rPr>
            </w:pPr>
            <w:r>
              <w:rPr>
                <w:bCs/>
                <w:sz w:val="24"/>
              </w:rPr>
              <w:t>本项目劳动定员4人，</w:t>
            </w:r>
            <w:r>
              <w:rPr>
                <w:rFonts w:hint="eastAsia"/>
                <w:bCs/>
                <w:sz w:val="24"/>
              </w:rPr>
              <w:t>根据《行业用水定额》（D</w:t>
            </w:r>
            <w:r>
              <w:rPr>
                <w:bCs/>
                <w:sz w:val="24"/>
              </w:rPr>
              <w:t>B15/T385 2020</w:t>
            </w:r>
            <w:r>
              <w:rPr>
                <w:rFonts w:hint="eastAsia"/>
                <w:bCs/>
                <w:sz w:val="24"/>
              </w:rPr>
              <w:t>）</w:t>
            </w:r>
            <w:r>
              <w:rPr>
                <w:bCs/>
                <w:sz w:val="24"/>
              </w:rPr>
              <w:t>，职工生活用水量按40L/人·d计，则用水量为0.16m</w:t>
            </w:r>
            <w:r>
              <w:rPr>
                <w:bCs/>
                <w:sz w:val="24"/>
                <w:vertAlign w:val="superscript"/>
              </w:rPr>
              <w:t>3</w:t>
            </w:r>
            <w:r>
              <w:rPr>
                <w:bCs/>
                <w:sz w:val="24"/>
              </w:rPr>
              <w:t>/d，合32m</w:t>
            </w:r>
            <w:r>
              <w:rPr>
                <w:bCs/>
                <w:sz w:val="24"/>
                <w:vertAlign w:val="superscript"/>
              </w:rPr>
              <w:t>3</w:t>
            </w:r>
            <w:r>
              <w:rPr>
                <w:bCs/>
                <w:sz w:val="24"/>
              </w:rPr>
              <w:t>/a。</w:t>
            </w:r>
          </w:p>
          <w:p>
            <w:pPr>
              <w:adjustRightInd w:val="0"/>
              <w:snapToGrid w:val="0"/>
              <w:spacing w:line="360" w:lineRule="auto"/>
              <w:ind w:firstLine="480" w:firstLineChars="200"/>
              <w:rPr>
                <w:bCs/>
                <w:sz w:val="24"/>
              </w:rPr>
            </w:pPr>
            <w:r>
              <w:rPr>
                <w:bCs/>
                <w:sz w:val="24"/>
              </w:rPr>
              <w:t>（2）排水工程</w:t>
            </w:r>
          </w:p>
          <w:p>
            <w:pPr>
              <w:adjustRightInd w:val="0"/>
              <w:snapToGrid w:val="0"/>
              <w:spacing w:line="360" w:lineRule="auto"/>
              <w:ind w:firstLine="480" w:firstLineChars="200"/>
              <w:rPr>
                <w:bCs/>
                <w:sz w:val="24"/>
              </w:rPr>
            </w:pPr>
            <w:r>
              <w:rPr>
                <w:rFonts w:hint="eastAsia"/>
                <w:bCs/>
                <w:sz w:val="24"/>
              </w:rPr>
              <w:t>搅拌混合用水</w:t>
            </w:r>
            <w:r>
              <w:rPr>
                <w:bCs/>
                <w:sz w:val="24"/>
              </w:rPr>
              <w:t>全部进入产品，不外排</w:t>
            </w:r>
            <w:r>
              <w:rPr>
                <w:rFonts w:hint="eastAsia"/>
                <w:bCs/>
                <w:sz w:val="24"/>
              </w:rPr>
              <w:t>；料棚抑尘用水、道路抑尘洒水全部自然蒸发，不外排；搅拌机及</w:t>
            </w:r>
            <w:r>
              <w:rPr>
                <w:bCs/>
                <w:sz w:val="24"/>
              </w:rPr>
              <w:t>运输车辆清洗废水</w:t>
            </w:r>
            <w:r>
              <w:rPr>
                <w:rFonts w:hint="eastAsia"/>
                <w:bCs/>
                <w:sz w:val="24"/>
              </w:rPr>
              <w:t>经沉淀后回用于生产，不外排。故本项目所排</w:t>
            </w:r>
            <w:r>
              <w:rPr>
                <w:bCs/>
                <w:sz w:val="24"/>
              </w:rPr>
              <w:t>废水主要为生活污水</w:t>
            </w:r>
            <w:r>
              <w:rPr>
                <w:rFonts w:hint="eastAsia"/>
                <w:bCs/>
                <w:sz w:val="24"/>
              </w:rPr>
              <w:t>。</w:t>
            </w:r>
          </w:p>
          <w:p>
            <w:pPr>
              <w:adjustRightInd w:val="0"/>
              <w:snapToGrid w:val="0"/>
              <w:spacing w:line="360" w:lineRule="auto"/>
              <w:ind w:firstLine="480" w:firstLineChars="200"/>
              <w:rPr>
                <w:bCs/>
                <w:sz w:val="24"/>
              </w:rPr>
            </w:pPr>
            <w:r>
              <w:rPr>
                <w:bCs/>
                <w:sz w:val="24"/>
              </w:rPr>
              <w:fldChar w:fldCharType="begin"/>
            </w:r>
            <w:r>
              <w:rPr>
                <w:bCs/>
                <w:sz w:val="24"/>
              </w:rPr>
              <w:instrText xml:space="preserve"> = 1 \* GB3 \* MERGEFORMAT </w:instrText>
            </w:r>
            <w:r>
              <w:rPr>
                <w:bCs/>
                <w:sz w:val="24"/>
              </w:rPr>
              <w:fldChar w:fldCharType="separate"/>
            </w:r>
            <w:r>
              <w:rPr>
                <w:rFonts w:hint="eastAsia" w:ascii="宋体" w:hAnsi="宋体" w:cs="宋体"/>
                <w:bCs/>
                <w:sz w:val="24"/>
              </w:rPr>
              <w:t>①</w:t>
            </w:r>
            <w:r>
              <w:rPr>
                <w:bCs/>
                <w:sz w:val="24"/>
              </w:rPr>
              <w:fldChar w:fldCharType="end"/>
            </w:r>
            <w:r>
              <w:rPr>
                <w:bCs/>
                <w:sz w:val="24"/>
              </w:rPr>
              <w:t>生活污水：生活污水量按用水量的80%计算，则职工生活污水产生量为0.128m</w:t>
            </w:r>
            <w:r>
              <w:rPr>
                <w:bCs/>
                <w:sz w:val="24"/>
                <w:vertAlign w:val="superscript"/>
              </w:rPr>
              <w:t>3</w:t>
            </w:r>
            <w:r>
              <w:rPr>
                <w:bCs/>
                <w:sz w:val="24"/>
              </w:rPr>
              <w:t>/d，25.6m</w:t>
            </w:r>
            <w:r>
              <w:rPr>
                <w:bCs/>
                <w:sz w:val="24"/>
                <w:vertAlign w:val="superscript"/>
              </w:rPr>
              <w:t>3</w:t>
            </w:r>
            <w:r>
              <w:rPr>
                <w:bCs/>
                <w:sz w:val="24"/>
              </w:rPr>
              <w:t>/a。生活污水</w:t>
            </w:r>
            <w:r>
              <w:rPr>
                <w:rFonts w:hint="eastAsia"/>
                <w:bCs/>
                <w:sz w:val="24"/>
              </w:rPr>
              <w:t>经化粪池收集后，定期拉运至札萨克镇台格办事处污水处理厂处理</w:t>
            </w:r>
            <w:r>
              <w:rPr>
                <w:bCs/>
                <w:sz w:val="24"/>
              </w:rPr>
              <w:t>。</w:t>
            </w:r>
          </w:p>
          <w:p>
            <w:pPr>
              <w:adjustRightInd w:val="0"/>
              <w:snapToGrid w:val="0"/>
              <w:spacing w:line="360" w:lineRule="auto"/>
              <w:ind w:firstLine="480" w:firstLineChars="200"/>
              <w:rPr>
                <w:bCs/>
                <w:sz w:val="24"/>
              </w:rPr>
            </w:pPr>
            <w:r>
              <w:rPr>
                <w:bCs/>
                <w:sz w:val="24"/>
              </w:rPr>
              <w:fldChar w:fldCharType="begin"/>
            </w:r>
            <w:r>
              <w:rPr>
                <w:bCs/>
                <w:sz w:val="24"/>
              </w:rPr>
              <w:instrText xml:space="preserve"> = 2 \* GB3 \* MERGEFORMAT </w:instrText>
            </w:r>
            <w:r>
              <w:rPr>
                <w:bCs/>
                <w:sz w:val="24"/>
              </w:rPr>
              <w:fldChar w:fldCharType="separate"/>
            </w:r>
            <w:r>
              <w:rPr>
                <w:rFonts w:hint="eastAsia" w:ascii="宋体" w:hAnsi="宋体" w:cs="宋体"/>
                <w:bCs/>
                <w:sz w:val="24"/>
              </w:rPr>
              <w:t>②</w:t>
            </w:r>
            <w:r>
              <w:rPr>
                <w:bCs/>
                <w:sz w:val="24"/>
              </w:rPr>
              <w:fldChar w:fldCharType="end"/>
            </w:r>
            <w:r>
              <w:rPr>
                <w:rFonts w:hint="eastAsia"/>
                <w:bCs/>
                <w:sz w:val="24"/>
              </w:rPr>
              <w:t>搅拌机</w:t>
            </w:r>
            <w:r>
              <w:rPr>
                <w:bCs/>
                <w:sz w:val="24"/>
              </w:rPr>
              <w:t>、运输车辆清洗废水：</w:t>
            </w:r>
            <w:r>
              <w:rPr>
                <w:rFonts w:hint="eastAsia"/>
                <w:bCs/>
                <w:sz w:val="24"/>
              </w:rPr>
              <w:t>搅拌机</w:t>
            </w:r>
            <w:r>
              <w:rPr>
                <w:bCs/>
                <w:sz w:val="24"/>
              </w:rPr>
              <w:t>清洗用水总量为</w:t>
            </w:r>
            <w:r>
              <w:rPr>
                <w:rFonts w:hint="eastAsia"/>
                <w:bCs/>
                <w:sz w:val="24"/>
              </w:rPr>
              <w:t>1</w:t>
            </w:r>
            <w:r>
              <w:rPr>
                <w:bCs/>
                <w:sz w:val="24"/>
              </w:rPr>
              <w:t>.0m</w:t>
            </w:r>
            <w:r>
              <w:rPr>
                <w:bCs/>
                <w:sz w:val="24"/>
                <w:vertAlign w:val="superscript"/>
              </w:rPr>
              <w:t>3</w:t>
            </w:r>
            <w:r>
              <w:rPr>
                <w:bCs/>
                <w:sz w:val="24"/>
              </w:rPr>
              <w:t>/d</w:t>
            </w:r>
            <w:r>
              <w:rPr>
                <w:rFonts w:hint="eastAsia"/>
                <w:bCs/>
                <w:sz w:val="24"/>
              </w:rPr>
              <w:t>（200</w:t>
            </w:r>
            <w:r>
              <w:rPr>
                <w:bCs/>
                <w:sz w:val="24"/>
              </w:rPr>
              <w:t>m</w:t>
            </w:r>
            <w:r>
              <w:rPr>
                <w:bCs/>
                <w:sz w:val="24"/>
                <w:vertAlign w:val="superscript"/>
              </w:rPr>
              <w:t>3</w:t>
            </w:r>
            <w:r>
              <w:rPr>
                <w:bCs/>
                <w:sz w:val="24"/>
              </w:rPr>
              <w:t>/a</w:t>
            </w:r>
            <w:r>
              <w:rPr>
                <w:rFonts w:hint="eastAsia"/>
                <w:bCs/>
                <w:sz w:val="24"/>
              </w:rPr>
              <w:t>）</w:t>
            </w:r>
            <w:r>
              <w:rPr>
                <w:bCs/>
                <w:sz w:val="24"/>
              </w:rPr>
              <w:t>，废水的产生量按用水量的80%计算，则</w:t>
            </w:r>
            <w:r>
              <w:rPr>
                <w:rFonts w:hint="eastAsia"/>
                <w:bCs/>
                <w:sz w:val="24"/>
              </w:rPr>
              <w:t>搅拌机</w:t>
            </w:r>
            <w:r>
              <w:rPr>
                <w:bCs/>
                <w:sz w:val="24"/>
              </w:rPr>
              <w:t>清洗废水产生量为</w:t>
            </w:r>
            <w:r>
              <w:rPr>
                <w:rFonts w:hint="eastAsia"/>
                <w:bCs/>
                <w:sz w:val="24"/>
              </w:rPr>
              <w:t>0.8</w:t>
            </w:r>
            <w:r>
              <w:rPr>
                <w:bCs/>
                <w:sz w:val="24"/>
              </w:rPr>
              <w:t>m</w:t>
            </w:r>
            <w:r>
              <w:rPr>
                <w:bCs/>
                <w:sz w:val="24"/>
                <w:vertAlign w:val="superscript"/>
              </w:rPr>
              <w:t>3</w:t>
            </w:r>
            <w:r>
              <w:rPr>
                <w:bCs/>
                <w:sz w:val="24"/>
              </w:rPr>
              <w:t>/d</w:t>
            </w:r>
            <w:r>
              <w:rPr>
                <w:rFonts w:hint="eastAsia"/>
                <w:bCs/>
                <w:sz w:val="24"/>
              </w:rPr>
              <w:t>（160</w:t>
            </w:r>
            <w:r>
              <w:rPr>
                <w:bCs/>
                <w:sz w:val="24"/>
              </w:rPr>
              <w:t>m</w:t>
            </w:r>
            <w:r>
              <w:rPr>
                <w:bCs/>
                <w:sz w:val="24"/>
                <w:vertAlign w:val="superscript"/>
              </w:rPr>
              <w:t>3</w:t>
            </w:r>
            <w:r>
              <w:rPr>
                <w:bCs/>
                <w:sz w:val="24"/>
              </w:rPr>
              <w:t>/a</w:t>
            </w:r>
            <w:r>
              <w:rPr>
                <w:rFonts w:hint="eastAsia"/>
                <w:bCs/>
                <w:sz w:val="24"/>
              </w:rPr>
              <w:t>）；</w:t>
            </w:r>
            <w:r>
              <w:rPr>
                <w:bCs/>
                <w:sz w:val="24"/>
              </w:rPr>
              <w:t>运输车辆清洗用水总量为5.0m</w:t>
            </w:r>
            <w:r>
              <w:rPr>
                <w:bCs/>
                <w:sz w:val="24"/>
                <w:vertAlign w:val="superscript"/>
              </w:rPr>
              <w:t>3</w:t>
            </w:r>
            <w:r>
              <w:rPr>
                <w:bCs/>
                <w:sz w:val="24"/>
              </w:rPr>
              <w:t>/</w:t>
            </w:r>
            <w:r>
              <w:rPr>
                <w:rFonts w:hint="eastAsia"/>
                <w:bCs/>
                <w:sz w:val="24"/>
              </w:rPr>
              <w:t>次（</w:t>
            </w:r>
            <w:r>
              <w:rPr>
                <w:bCs/>
                <w:sz w:val="24"/>
              </w:rPr>
              <w:t>2</w:t>
            </w:r>
            <w:r>
              <w:rPr>
                <w:rFonts w:hint="eastAsia"/>
                <w:bCs/>
                <w:sz w:val="24"/>
              </w:rPr>
              <w:t>50</w:t>
            </w:r>
            <w:r>
              <w:rPr>
                <w:bCs/>
                <w:sz w:val="24"/>
              </w:rPr>
              <w:t>m</w:t>
            </w:r>
            <w:r>
              <w:rPr>
                <w:bCs/>
                <w:sz w:val="24"/>
                <w:vertAlign w:val="superscript"/>
              </w:rPr>
              <w:t>3</w:t>
            </w:r>
            <w:r>
              <w:rPr>
                <w:bCs/>
                <w:sz w:val="24"/>
              </w:rPr>
              <w:t>/a</w:t>
            </w:r>
            <w:r>
              <w:rPr>
                <w:rFonts w:hint="eastAsia"/>
                <w:bCs/>
                <w:sz w:val="24"/>
              </w:rPr>
              <w:t>），</w:t>
            </w:r>
            <w:r>
              <w:rPr>
                <w:rFonts w:hint="eastAsia" w:cs="宋体"/>
                <w:bCs/>
                <w:sz w:val="24"/>
              </w:rPr>
              <w:t>按照生产天数折算日用水量为</w:t>
            </w:r>
            <w:r>
              <w:rPr>
                <w:rFonts w:cs="宋体"/>
                <w:bCs/>
                <w:sz w:val="24"/>
              </w:rPr>
              <w:t>1.25m</w:t>
            </w:r>
            <w:r>
              <w:rPr>
                <w:rFonts w:cs="宋体"/>
                <w:bCs/>
                <w:sz w:val="24"/>
                <w:vertAlign w:val="superscript"/>
              </w:rPr>
              <w:t>3</w:t>
            </w:r>
            <w:r>
              <w:rPr>
                <w:rFonts w:cs="宋体"/>
                <w:bCs/>
                <w:sz w:val="24"/>
              </w:rPr>
              <w:t>/d</w:t>
            </w:r>
            <w:r>
              <w:rPr>
                <w:rFonts w:hint="eastAsia" w:cs="宋体"/>
                <w:bCs/>
                <w:sz w:val="24"/>
              </w:rPr>
              <w:t>，</w:t>
            </w:r>
            <w:r>
              <w:rPr>
                <w:bCs/>
                <w:sz w:val="24"/>
              </w:rPr>
              <w:t>废水的产生量按用水量的</w:t>
            </w:r>
            <w:r>
              <w:rPr>
                <w:rFonts w:hint="eastAsia"/>
                <w:bCs/>
                <w:sz w:val="24"/>
              </w:rPr>
              <w:t>6</w:t>
            </w:r>
            <w:r>
              <w:rPr>
                <w:bCs/>
                <w:sz w:val="24"/>
              </w:rPr>
              <w:t>0%计算，则</w:t>
            </w:r>
            <w:r>
              <w:rPr>
                <w:rFonts w:hint="eastAsia"/>
                <w:bCs/>
                <w:sz w:val="24"/>
              </w:rPr>
              <w:t>搅拌机</w:t>
            </w:r>
            <w:r>
              <w:rPr>
                <w:bCs/>
                <w:sz w:val="24"/>
              </w:rPr>
              <w:t>清洗废水产生量为3.0m</w:t>
            </w:r>
            <w:r>
              <w:rPr>
                <w:bCs/>
                <w:sz w:val="24"/>
                <w:vertAlign w:val="superscript"/>
              </w:rPr>
              <w:t>3</w:t>
            </w:r>
            <w:r>
              <w:rPr>
                <w:bCs/>
                <w:sz w:val="24"/>
              </w:rPr>
              <w:t>/</w:t>
            </w:r>
            <w:r>
              <w:rPr>
                <w:rFonts w:hint="eastAsia"/>
                <w:bCs/>
                <w:sz w:val="24"/>
              </w:rPr>
              <w:t>次（</w:t>
            </w:r>
            <w:r>
              <w:rPr>
                <w:bCs/>
                <w:sz w:val="24"/>
              </w:rPr>
              <w:t>150m</w:t>
            </w:r>
            <w:r>
              <w:rPr>
                <w:bCs/>
                <w:sz w:val="24"/>
                <w:vertAlign w:val="superscript"/>
              </w:rPr>
              <w:t>3</w:t>
            </w:r>
            <w:r>
              <w:rPr>
                <w:bCs/>
                <w:sz w:val="24"/>
              </w:rPr>
              <w:t>/a</w:t>
            </w:r>
            <w:r>
              <w:rPr>
                <w:rFonts w:hint="eastAsia"/>
                <w:bCs/>
                <w:sz w:val="24"/>
              </w:rPr>
              <w:t>），</w:t>
            </w:r>
            <w:r>
              <w:rPr>
                <w:rFonts w:hint="eastAsia" w:cs="宋体"/>
                <w:bCs/>
                <w:sz w:val="24"/>
              </w:rPr>
              <w:t>按照生产天数折算日排水量为0.</w:t>
            </w:r>
            <w:r>
              <w:rPr>
                <w:rFonts w:cs="宋体"/>
                <w:bCs/>
                <w:sz w:val="24"/>
              </w:rPr>
              <w:t>7</w:t>
            </w:r>
            <w:r>
              <w:rPr>
                <w:rFonts w:hint="eastAsia" w:cs="宋体"/>
                <w:bCs/>
                <w:sz w:val="24"/>
              </w:rPr>
              <w:t>5</w:t>
            </w:r>
            <w:r>
              <w:rPr>
                <w:rFonts w:cs="宋体"/>
                <w:bCs/>
                <w:sz w:val="24"/>
              </w:rPr>
              <w:t>m</w:t>
            </w:r>
            <w:r>
              <w:rPr>
                <w:rFonts w:cs="宋体"/>
                <w:bCs/>
                <w:sz w:val="24"/>
                <w:vertAlign w:val="superscript"/>
              </w:rPr>
              <w:t>3</w:t>
            </w:r>
            <w:r>
              <w:rPr>
                <w:rFonts w:cs="宋体"/>
                <w:bCs/>
                <w:sz w:val="24"/>
              </w:rPr>
              <w:t>/d</w:t>
            </w:r>
            <w:r>
              <w:rPr>
                <w:rFonts w:hint="eastAsia"/>
                <w:bCs/>
                <w:sz w:val="24"/>
              </w:rPr>
              <w:t>；上述废水</w:t>
            </w:r>
            <w:r>
              <w:rPr>
                <w:bCs/>
                <w:sz w:val="24"/>
              </w:rPr>
              <w:t>经沉淀池处理取上清液回用生产。</w:t>
            </w:r>
          </w:p>
          <w:p>
            <w:pPr>
              <w:autoSpaceDE w:val="0"/>
              <w:autoSpaceDN w:val="0"/>
              <w:adjustRightInd w:val="0"/>
              <w:snapToGrid w:val="0"/>
              <w:spacing w:line="360" w:lineRule="auto"/>
              <w:ind w:firstLine="480" w:firstLineChars="200"/>
              <w:rPr>
                <w:sz w:val="24"/>
              </w:rPr>
            </w:pPr>
            <w:r>
              <w:rPr>
                <w:rFonts w:hint="eastAsia"/>
                <w:sz w:val="24"/>
              </w:rPr>
              <w:t>项目用排水情况具体见表</w:t>
            </w:r>
            <w:r>
              <w:rPr>
                <w:sz w:val="24"/>
              </w:rPr>
              <w:t>2-6</w:t>
            </w:r>
            <w:r>
              <w:rPr>
                <w:rFonts w:hint="eastAsia"/>
                <w:sz w:val="24"/>
              </w:rPr>
              <w:t>，水平衡见图</w:t>
            </w:r>
            <w:r>
              <w:rPr>
                <w:sz w:val="24"/>
              </w:rPr>
              <w:t>2-1</w:t>
            </w:r>
            <w:r>
              <w:rPr>
                <w:rFonts w:hint="eastAsia"/>
                <w:sz w:val="24"/>
              </w:rPr>
              <w:t>。</w:t>
            </w:r>
          </w:p>
          <w:p>
            <w:pPr>
              <w:pStyle w:val="22"/>
            </w:pPr>
            <w:r>
              <w:rPr>
                <w:rFonts w:hint="eastAsia"/>
              </w:rPr>
              <w:t>表</w:t>
            </w:r>
            <w:r>
              <w:t>2-6</w:t>
            </w:r>
            <w:r>
              <w:rPr>
                <w:rFonts w:hint="eastAsia"/>
              </w:rPr>
              <w:t xml:space="preserve"> 项目用排水情况一览表</w:t>
            </w:r>
          </w:p>
          <w:tbl>
            <w:tblPr>
              <w:tblStyle w:val="1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78"/>
              <w:gridCol w:w="2645"/>
              <w:gridCol w:w="979"/>
              <w:gridCol w:w="887"/>
              <w:gridCol w:w="1104"/>
              <w:gridCol w:w="1061"/>
              <w:gridCol w:w="10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Merge w:val="restart"/>
                  <w:vAlign w:val="center"/>
                </w:tcPr>
                <w:p>
                  <w:pPr>
                    <w:jc w:val="center"/>
                    <w:rPr>
                      <w:kern w:val="0"/>
                      <w:szCs w:val="21"/>
                    </w:rPr>
                  </w:pPr>
                  <w:r>
                    <w:rPr>
                      <w:kern w:val="0"/>
                      <w:szCs w:val="21"/>
                    </w:rPr>
                    <w:t>序号</w:t>
                  </w:r>
                </w:p>
              </w:tc>
              <w:tc>
                <w:tcPr>
                  <w:tcW w:w="1605" w:type="pct"/>
                  <w:vMerge w:val="restart"/>
                  <w:vAlign w:val="center"/>
                </w:tcPr>
                <w:p>
                  <w:pPr>
                    <w:jc w:val="center"/>
                    <w:rPr>
                      <w:kern w:val="0"/>
                      <w:szCs w:val="21"/>
                    </w:rPr>
                  </w:pPr>
                  <w:r>
                    <w:rPr>
                      <w:kern w:val="0"/>
                      <w:szCs w:val="21"/>
                    </w:rPr>
                    <w:t>用水项目</w:t>
                  </w:r>
                </w:p>
              </w:tc>
              <w:tc>
                <w:tcPr>
                  <w:tcW w:w="1132" w:type="pct"/>
                  <w:gridSpan w:val="2"/>
                  <w:vAlign w:val="center"/>
                </w:tcPr>
                <w:p>
                  <w:pPr>
                    <w:jc w:val="center"/>
                    <w:rPr>
                      <w:kern w:val="0"/>
                      <w:szCs w:val="21"/>
                    </w:rPr>
                  </w:pPr>
                  <w:r>
                    <w:rPr>
                      <w:kern w:val="0"/>
                      <w:szCs w:val="21"/>
                    </w:rPr>
                    <w:t>用水量（m</w:t>
                  </w:r>
                  <w:r>
                    <w:rPr>
                      <w:kern w:val="0"/>
                      <w:szCs w:val="21"/>
                      <w:vertAlign w:val="superscript"/>
                    </w:rPr>
                    <w:t>3</w:t>
                  </w:r>
                  <w:r>
                    <w:rPr>
                      <w:kern w:val="0"/>
                      <w:szCs w:val="21"/>
                    </w:rPr>
                    <w:t>/d）</w:t>
                  </w:r>
                </w:p>
              </w:tc>
              <w:tc>
                <w:tcPr>
                  <w:tcW w:w="670" w:type="pct"/>
                  <w:vMerge w:val="restart"/>
                  <w:vAlign w:val="center"/>
                </w:tcPr>
                <w:p>
                  <w:pPr>
                    <w:jc w:val="center"/>
                    <w:rPr>
                      <w:kern w:val="0"/>
                      <w:szCs w:val="21"/>
                    </w:rPr>
                  </w:pPr>
                  <w:r>
                    <w:rPr>
                      <w:rFonts w:hint="eastAsia"/>
                      <w:kern w:val="0"/>
                      <w:szCs w:val="21"/>
                    </w:rPr>
                    <w:t>排污</w:t>
                  </w:r>
                  <w:r>
                    <w:rPr>
                      <w:kern w:val="0"/>
                      <w:szCs w:val="21"/>
                    </w:rPr>
                    <w:t>系数</w:t>
                  </w:r>
                </w:p>
              </w:tc>
              <w:tc>
                <w:tcPr>
                  <w:tcW w:w="644" w:type="pct"/>
                  <w:vMerge w:val="restart"/>
                  <w:vAlign w:val="center"/>
                </w:tcPr>
                <w:p>
                  <w:pPr>
                    <w:jc w:val="center"/>
                    <w:rPr>
                      <w:kern w:val="0"/>
                      <w:szCs w:val="21"/>
                    </w:rPr>
                  </w:pPr>
                  <w:r>
                    <w:rPr>
                      <w:rFonts w:hint="eastAsia"/>
                      <w:kern w:val="0"/>
                      <w:szCs w:val="21"/>
                    </w:rPr>
                    <w:t>废</w:t>
                  </w:r>
                  <w:r>
                    <w:rPr>
                      <w:kern w:val="0"/>
                      <w:szCs w:val="21"/>
                    </w:rPr>
                    <w:t>水量（m</w:t>
                  </w:r>
                  <w:r>
                    <w:rPr>
                      <w:kern w:val="0"/>
                      <w:szCs w:val="21"/>
                      <w:vertAlign w:val="superscript"/>
                    </w:rPr>
                    <w:t>3</w:t>
                  </w:r>
                  <w:r>
                    <w:rPr>
                      <w:kern w:val="0"/>
                      <w:szCs w:val="21"/>
                    </w:rPr>
                    <w:t>/d）</w:t>
                  </w:r>
                </w:p>
              </w:tc>
              <w:tc>
                <w:tcPr>
                  <w:tcW w:w="658" w:type="pct"/>
                  <w:vMerge w:val="restart"/>
                  <w:vAlign w:val="center"/>
                </w:tcPr>
                <w:p>
                  <w:pPr>
                    <w:jc w:val="center"/>
                    <w:rPr>
                      <w:kern w:val="0"/>
                      <w:szCs w:val="21"/>
                    </w:rPr>
                  </w:pPr>
                  <w:r>
                    <w:rPr>
                      <w:kern w:val="0"/>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Merge w:val="continue"/>
                  <w:vAlign w:val="center"/>
                </w:tcPr>
                <w:p>
                  <w:pPr>
                    <w:jc w:val="center"/>
                    <w:rPr>
                      <w:kern w:val="0"/>
                      <w:szCs w:val="21"/>
                    </w:rPr>
                  </w:pPr>
                </w:p>
              </w:tc>
              <w:tc>
                <w:tcPr>
                  <w:tcW w:w="1605" w:type="pct"/>
                  <w:vMerge w:val="continue"/>
                  <w:vAlign w:val="center"/>
                </w:tcPr>
                <w:p>
                  <w:pPr>
                    <w:jc w:val="center"/>
                    <w:rPr>
                      <w:kern w:val="0"/>
                      <w:szCs w:val="21"/>
                    </w:rPr>
                  </w:pPr>
                </w:p>
              </w:tc>
              <w:tc>
                <w:tcPr>
                  <w:tcW w:w="594" w:type="pct"/>
                  <w:vAlign w:val="center"/>
                </w:tcPr>
                <w:p>
                  <w:pPr>
                    <w:jc w:val="center"/>
                    <w:rPr>
                      <w:kern w:val="0"/>
                      <w:szCs w:val="21"/>
                    </w:rPr>
                  </w:pPr>
                  <w:r>
                    <w:rPr>
                      <w:rFonts w:hint="eastAsia"/>
                      <w:kern w:val="0"/>
                      <w:szCs w:val="21"/>
                    </w:rPr>
                    <w:t>新鲜水</w:t>
                  </w:r>
                </w:p>
              </w:tc>
              <w:tc>
                <w:tcPr>
                  <w:tcW w:w="538" w:type="pct"/>
                  <w:vAlign w:val="center"/>
                </w:tcPr>
                <w:p>
                  <w:pPr>
                    <w:jc w:val="center"/>
                    <w:rPr>
                      <w:kern w:val="0"/>
                      <w:szCs w:val="21"/>
                    </w:rPr>
                  </w:pPr>
                  <w:r>
                    <w:rPr>
                      <w:rFonts w:hint="eastAsia"/>
                      <w:kern w:val="0"/>
                      <w:szCs w:val="21"/>
                    </w:rPr>
                    <w:t>回用水</w:t>
                  </w:r>
                </w:p>
              </w:tc>
              <w:tc>
                <w:tcPr>
                  <w:tcW w:w="670" w:type="pct"/>
                  <w:vMerge w:val="continue"/>
                  <w:vAlign w:val="center"/>
                </w:tcPr>
                <w:p>
                  <w:pPr>
                    <w:jc w:val="center"/>
                    <w:rPr>
                      <w:kern w:val="0"/>
                      <w:szCs w:val="21"/>
                    </w:rPr>
                  </w:pPr>
                </w:p>
              </w:tc>
              <w:tc>
                <w:tcPr>
                  <w:tcW w:w="644" w:type="pct"/>
                  <w:vMerge w:val="continue"/>
                  <w:vAlign w:val="center"/>
                </w:tcPr>
                <w:p>
                  <w:pPr>
                    <w:jc w:val="center"/>
                    <w:rPr>
                      <w:kern w:val="0"/>
                      <w:szCs w:val="21"/>
                    </w:rPr>
                  </w:pPr>
                </w:p>
              </w:tc>
              <w:tc>
                <w:tcPr>
                  <w:tcW w:w="658" w:type="pct"/>
                  <w:vMerge w:val="continue"/>
                  <w:vAlign w:val="center"/>
                </w:tcPr>
                <w:p>
                  <w:pPr>
                    <w:jc w:val="center"/>
                    <w:rPr>
                      <w:kern w:val="0"/>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Align w:val="center"/>
                </w:tcPr>
                <w:p>
                  <w:pPr>
                    <w:jc w:val="center"/>
                    <w:rPr>
                      <w:kern w:val="0"/>
                      <w:szCs w:val="21"/>
                    </w:rPr>
                  </w:pPr>
                  <w:r>
                    <w:rPr>
                      <w:kern w:val="0"/>
                      <w:szCs w:val="21"/>
                    </w:rPr>
                    <w:t>1</w:t>
                  </w:r>
                </w:p>
              </w:tc>
              <w:tc>
                <w:tcPr>
                  <w:tcW w:w="1605" w:type="pct"/>
                  <w:vAlign w:val="center"/>
                </w:tcPr>
                <w:p>
                  <w:pPr>
                    <w:jc w:val="center"/>
                    <w:rPr>
                      <w:kern w:val="0"/>
                      <w:szCs w:val="21"/>
                    </w:rPr>
                  </w:pPr>
                  <w:r>
                    <w:rPr>
                      <w:rFonts w:hint="eastAsia"/>
                      <w:kern w:val="0"/>
                      <w:szCs w:val="21"/>
                    </w:rPr>
                    <w:t>搅拌混合用水</w:t>
                  </w:r>
                </w:p>
              </w:tc>
              <w:tc>
                <w:tcPr>
                  <w:tcW w:w="594" w:type="pct"/>
                  <w:vAlign w:val="center"/>
                </w:tcPr>
                <w:p>
                  <w:pPr>
                    <w:jc w:val="center"/>
                    <w:rPr>
                      <w:kern w:val="0"/>
                      <w:szCs w:val="21"/>
                    </w:rPr>
                  </w:pPr>
                  <w:r>
                    <w:rPr>
                      <w:rFonts w:hint="eastAsia"/>
                      <w:kern w:val="0"/>
                      <w:szCs w:val="21"/>
                    </w:rPr>
                    <w:t>2</w:t>
                  </w:r>
                  <w:r>
                    <w:rPr>
                      <w:kern w:val="0"/>
                      <w:szCs w:val="21"/>
                    </w:rPr>
                    <w:t>98.45</w:t>
                  </w:r>
                </w:p>
              </w:tc>
              <w:tc>
                <w:tcPr>
                  <w:tcW w:w="538" w:type="pct"/>
                  <w:vAlign w:val="center"/>
                </w:tcPr>
                <w:p>
                  <w:pPr>
                    <w:jc w:val="center"/>
                    <w:rPr>
                      <w:kern w:val="0"/>
                      <w:szCs w:val="21"/>
                    </w:rPr>
                  </w:pPr>
                  <w:r>
                    <w:rPr>
                      <w:rFonts w:hint="eastAsia"/>
                      <w:kern w:val="0"/>
                      <w:szCs w:val="21"/>
                    </w:rPr>
                    <w:t>1</w:t>
                  </w:r>
                  <w:r>
                    <w:rPr>
                      <w:kern w:val="0"/>
                      <w:szCs w:val="21"/>
                    </w:rPr>
                    <w:t>.55</w:t>
                  </w:r>
                </w:p>
              </w:tc>
              <w:tc>
                <w:tcPr>
                  <w:tcW w:w="670" w:type="pct"/>
                  <w:vAlign w:val="center"/>
                </w:tcPr>
                <w:p>
                  <w:pPr>
                    <w:jc w:val="center"/>
                    <w:rPr>
                      <w:kern w:val="0"/>
                      <w:szCs w:val="21"/>
                    </w:rPr>
                  </w:pPr>
                  <w:r>
                    <w:rPr>
                      <w:kern w:val="0"/>
                      <w:szCs w:val="21"/>
                    </w:rPr>
                    <w:t>—</w:t>
                  </w:r>
                </w:p>
              </w:tc>
              <w:tc>
                <w:tcPr>
                  <w:tcW w:w="644" w:type="pct"/>
                  <w:vAlign w:val="center"/>
                </w:tcPr>
                <w:p>
                  <w:pPr>
                    <w:jc w:val="center"/>
                    <w:rPr>
                      <w:kern w:val="0"/>
                      <w:szCs w:val="21"/>
                    </w:rPr>
                  </w:pPr>
                  <w:r>
                    <w:rPr>
                      <w:kern w:val="0"/>
                      <w:szCs w:val="21"/>
                    </w:rPr>
                    <w:t>—</w:t>
                  </w:r>
                </w:p>
              </w:tc>
              <w:tc>
                <w:tcPr>
                  <w:tcW w:w="658" w:type="pct"/>
                  <w:vAlign w:val="center"/>
                </w:tcPr>
                <w:p>
                  <w:pPr>
                    <w:jc w:val="center"/>
                    <w:rPr>
                      <w:kern w:val="0"/>
                      <w:szCs w:val="21"/>
                    </w:rPr>
                  </w:pPr>
                  <w:r>
                    <w:rPr>
                      <w:kern w:val="0"/>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Align w:val="center"/>
                </w:tcPr>
                <w:p>
                  <w:pPr>
                    <w:jc w:val="center"/>
                    <w:rPr>
                      <w:kern w:val="0"/>
                      <w:szCs w:val="21"/>
                    </w:rPr>
                  </w:pPr>
                  <w:r>
                    <w:rPr>
                      <w:kern w:val="0"/>
                      <w:szCs w:val="21"/>
                    </w:rPr>
                    <w:t>2</w:t>
                  </w:r>
                </w:p>
              </w:tc>
              <w:tc>
                <w:tcPr>
                  <w:tcW w:w="1605" w:type="pct"/>
                  <w:vAlign w:val="center"/>
                </w:tcPr>
                <w:p>
                  <w:pPr>
                    <w:jc w:val="center"/>
                    <w:rPr>
                      <w:kern w:val="0"/>
                      <w:szCs w:val="21"/>
                    </w:rPr>
                  </w:pPr>
                  <w:r>
                    <w:rPr>
                      <w:kern w:val="0"/>
                      <w:szCs w:val="21"/>
                    </w:rPr>
                    <w:t>生</w:t>
                  </w:r>
                  <w:r>
                    <w:rPr>
                      <w:rFonts w:hint="eastAsia"/>
                      <w:kern w:val="0"/>
                      <w:szCs w:val="21"/>
                    </w:rPr>
                    <w:t>活</w:t>
                  </w:r>
                  <w:r>
                    <w:rPr>
                      <w:kern w:val="0"/>
                      <w:szCs w:val="21"/>
                    </w:rPr>
                    <w:t>用水</w:t>
                  </w:r>
                </w:p>
              </w:tc>
              <w:tc>
                <w:tcPr>
                  <w:tcW w:w="594" w:type="pct"/>
                  <w:vAlign w:val="center"/>
                </w:tcPr>
                <w:p>
                  <w:pPr>
                    <w:jc w:val="center"/>
                    <w:rPr>
                      <w:kern w:val="0"/>
                      <w:szCs w:val="21"/>
                    </w:rPr>
                  </w:pPr>
                  <w:r>
                    <w:rPr>
                      <w:kern w:val="0"/>
                      <w:szCs w:val="21"/>
                    </w:rPr>
                    <w:t>0.16</w:t>
                  </w:r>
                </w:p>
              </w:tc>
              <w:tc>
                <w:tcPr>
                  <w:tcW w:w="538" w:type="pct"/>
                  <w:vAlign w:val="center"/>
                </w:tcPr>
                <w:p>
                  <w:pPr>
                    <w:jc w:val="center"/>
                    <w:rPr>
                      <w:kern w:val="0"/>
                      <w:szCs w:val="21"/>
                    </w:rPr>
                  </w:pPr>
                  <w:r>
                    <w:rPr>
                      <w:rFonts w:hint="eastAsia"/>
                      <w:kern w:val="0"/>
                      <w:szCs w:val="21"/>
                    </w:rPr>
                    <w:t>0</w:t>
                  </w:r>
                </w:p>
              </w:tc>
              <w:tc>
                <w:tcPr>
                  <w:tcW w:w="670" w:type="pct"/>
                  <w:vAlign w:val="center"/>
                </w:tcPr>
                <w:p>
                  <w:pPr>
                    <w:jc w:val="center"/>
                    <w:rPr>
                      <w:kern w:val="0"/>
                      <w:szCs w:val="21"/>
                    </w:rPr>
                  </w:pPr>
                  <w:r>
                    <w:rPr>
                      <w:rFonts w:hint="eastAsia"/>
                      <w:kern w:val="0"/>
                      <w:szCs w:val="21"/>
                    </w:rPr>
                    <w:t>0</w:t>
                  </w:r>
                  <w:r>
                    <w:rPr>
                      <w:kern w:val="0"/>
                      <w:szCs w:val="21"/>
                    </w:rPr>
                    <w:t>.8</w:t>
                  </w:r>
                </w:p>
              </w:tc>
              <w:tc>
                <w:tcPr>
                  <w:tcW w:w="644" w:type="pct"/>
                  <w:vAlign w:val="center"/>
                </w:tcPr>
                <w:p>
                  <w:pPr>
                    <w:jc w:val="center"/>
                    <w:rPr>
                      <w:kern w:val="0"/>
                      <w:szCs w:val="21"/>
                    </w:rPr>
                  </w:pPr>
                  <w:r>
                    <w:rPr>
                      <w:rFonts w:hint="eastAsia"/>
                      <w:kern w:val="0"/>
                      <w:szCs w:val="21"/>
                    </w:rPr>
                    <w:t>0</w:t>
                  </w:r>
                  <w:r>
                    <w:rPr>
                      <w:kern w:val="0"/>
                      <w:szCs w:val="21"/>
                    </w:rPr>
                    <w:t>.128</w:t>
                  </w:r>
                </w:p>
              </w:tc>
              <w:tc>
                <w:tcPr>
                  <w:tcW w:w="658" w:type="pct"/>
                  <w:vAlign w:val="center"/>
                </w:tcPr>
                <w:p>
                  <w:pPr>
                    <w:jc w:val="center"/>
                    <w:rPr>
                      <w:kern w:val="0"/>
                      <w:szCs w:val="21"/>
                    </w:rPr>
                  </w:pPr>
                  <w:r>
                    <w:rPr>
                      <w:kern w:val="0"/>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Align w:val="center"/>
                </w:tcPr>
                <w:p>
                  <w:pPr>
                    <w:jc w:val="center"/>
                    <w:rPr>
                      <w:kern w:val="0"/>
                      <w:szCs w:val="21"/>
                    </w:rPr>
                  </w:pPr>
                  <w:r>
                    <w:rPr>
                      <w:rFonts w:hint="eastAsia"/>
                      <w:kern w:val="0"/>
                      <w:szCs w:val="21"/>
                    </w:rPr>
                    <w:t>3</w:t>
                  </w:r>
                </w:p>
              </w:tc>
              <w:tc>
                <w:tcPr>
                  <w:tcW w:w="1605" w:type="pct"/>
                  <w:vAlign w:val="center"/>
                </w:tcPr>
                <w:p>
                  <w:pPr>
                    <w:jc w:val="center"/>
                    <w:rPr>
                      <w:kern w:val="0"/>
                      <w:szCs w:val="21"/>
                    </w:rPr>
                  </w:pPr>
                  <w:r>
                    <w:rPr>
                      <w:kern w:val="0"/>
                      <w:szCs w:val="21"/>
                    </w:rPr>
                    <w:t>搅拌机清洗水</w:t>
                  </w:r>
                </w:p>
              </w:tc>
              <w:tc>
                <w:tcPr>
                  <w:tcW w:w="594" w:type="pct"/>
                  <w:vAlign w:val="center"/>
                </w:tcPr>
                <w:p>
                  <w:pPr>
                    <w:jc w:val="center"/>
                    <w:rPr>
                      <w:kern w:val="0"/>
                      <w:szCs w:val="21"/>
                    </w:rPr>
                  </w:pPr>
                  <w:r>
                    <w:rPr>
                      <w:kern w:val="0"/>
                      <w:szCs w:val="21"/>
                    </w:rPr>
                    <w:t>1.0</w:t>
                  </w:r>
                </w:p>
              </w:tc>
              <w:tc>
                <w:tcPr>
                  <w:tcW w:w="538" w:type="pct"/>
                  <w:vAlign w:val="center"/>
                </w:tcPr>
                <w:p>
                  <w:pPr>
                    <w:jc w:val="center"/>
                    <w:rPr>
                      <w:kern w:val="0"/>
                      <w:szCs w:val="21"/>
                    </w:rPr>
                  </w:pPr>
                  <w:r>
                    <w:rPr>
                      <w:rFonts w:hint="eastAsia"/>
                      <w:kern w:val="0"/>
                      <w:szCs w:val="21"/>
                    </w:rPr>
                    <w:t>0</w:t>
                  </w:r>
                </w:p>
              </w:tc>
              <w:tc>
                <w:tcPr>
                  <w:tcW w:w="670" w:type="pct"/>
                  <w:vAlign w:val="center"/>
                </w:tcPr>
                <w:p>
                  <w:pPr>
                    <w:jc w:val="center"/>
                    <w:rPr>
                      <w:kern w:val="0"/>
                      <w:szCs w:val="21"/>
                    </w:rPr>
                  </w:pPr>
                  <w:r>
                    <w:rPr>
                      <w:kern w:val="0"/>
                      <w:szCs w:val="21"/>
                    </w:rPr>
                    <w:t>0.8</w:t>
                  </w:r>
                </w:p>
              </w:tc>
              <w:tc>
                <w:tcPr>
                  <w:tcW w:w="644" w:type="pct"/>
                  <w:vAlign w:val="center"/>
                </w:tcPr>
                <w:p>
                  <w:pPr>
                    <w:jc w:val="center"/>
                    <w:rPr>
                      <w:kern w:val="0"/>
                      <w:szCs w:val="21"/>
                    </w:rPr>
                  </w:pPr>
                  <w:r>
                    <w:rPr>
                      <w:kern w:val="0"/>
                      <w:szCs w:val="21"/>
                    </w:rPr>
                    <w:t>0.8</w:t>
                  </w:r>
                </w:p>
              </w:tc>
              <w:tc>
                <w:tcPr>
                  <w:tcW w:w="658" w:type="pct"/>
                  <w:vAlign w:val="center"/>
                </w:tcPr>
                <w:p>
                  <w:pPr>
                    <w:jc w:val="center"/>
                    <w:rPr>
                      <w:kern w:val="0"/>
                      <w:szCs w:val="21"/>
                    </w:rPr>
                  </w:pPr>
                  <w:r>
                    <w:rPr>
                      <w:kern w:val="0"/>
                      <w:szCs w:val="21"/>
                    </w:rPr>
                    <w:t>回用生产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Align w:val="center"/>
                </w:tcPr>
                <w:p>
                  <w:pPr>
                    <w:jc w:val="center"/>
                    <w:rPr>
                      <w:kern w:val="0"/>
                      <w:szCs w:val="21"/>
                    </w:rPr>
                  </w:pPr>
                  <w:r>
                    <w:rPr>
                      <w:rFonts w:hint="eastAsia"/>
                      <w:kern w:val="0"/>
                      <w:szCs w:val="21"/>
                    </w:rPr>
                    <w:t>4</w:t>
                  </w:r>
                </w:p>
              </w:tc>
              <w:tc>
                <w:tcPr>
                  <w:tcW w:w="1605" w:type="pct"/>
                  <w:vAlign w:val="center"/>
                </w:tcPr>
                <w:p>
                  <w:pPr>
                    <w:jc w:val="center"/>
                    <w:rPr>
                      <w:kern w:val="0"/>
                      <w:szCs w:val="21"/>
                    </w:rPr>
                  </w:pPr>
                  <w:r>
                    <w:rPr>
                      <w:bCs/>
                      <w:kern w:val="0"/>
                      <w:szCs w:val="21"/>
                    </w:rPr>
                    <w:t>运输车辆清洗水</w:t>
                  </w:r>
                </w:p>
              </w:tc>
              <w:tc>
                <w:tcPr>
                  <w:tcW w:w="594" w:type="pct"/>
                  <w:vAlign w:val="center"/>
                </w:tcPr>
                <w:p>
                  <w:pPr>
                    <w:jc w:val="center"/>
                    <w:rPr>
                      <w:kern w:val="0"/>
                      <w:szCs w:val="21"/>
                    </w:rPr>
                  </w:pPr>
                  <w:r>
                    <w:rPr>
                      <w:kern w:val="0"/>
                      <w:szCs w:val="21"/>
                    </w:rPr>
                    <w:t>1.25</w:t>
                  </w:r>
                </w:p>
              </w:tc>
              <w:tc>
                <w:tcPr>
                  <w:tcW w:w="538" w:type="pct"/>
                  <w:vAlign w:val="center"/>
                </w:tcPr>
                <w:p>
                  <w:pPr>
                    <w:jc w:val="center"/>
                    <w:rPr>
                      <w:kern w:val="0"/>
                      <w:szCs w:val="21"/>
                    </w:rPr>
                  </w:pPr>
                  <w:r>
                    <w:rPr>
                      <w:rFonts w:hint="eastAsia"/>
                      <w:kern w:val="0"/>
                      <w:szCs w:val="21"/>
                    </w:rPr>
                    <w:t>0</w:t>
                  </w:r>
                </w:p>
              </w:tc>
              <w:tc>
                <w:tcPr>
                  <w:tcW w:w="670" w:type="pct"/>
                  <w:vAlign w:val="center"/>
                </w:tcPr>
                <w:p>
                  <w:pPr>
                    <w:jc w:val="center"/>
                    <w:rPr>
                      <w:kern w:val="0"/>
                      <w:szCs w:val="21"/>
                    </w:rPr>
                  </w:pPr>
                  <w:r>
                    <w:rPr>
                      <w:kern w:val="0"/>
                      <w:szCs w:val="21"/>
                    </w:rPr>
                    <w:t>0.</w:t>
                  </w:r>
                  <w:r>
                    <w:rPr>
                      <w:rFonts w:hint="eastAsia"/>
                      <w:kern w:val="0"/>
                      <w:szCs w:val="21"/>
                    </w:rPr>
                    <w:t>6</w:t>
                  </w:r>
                </w:p>
              </w:tc>
              <w:tc>
                <w:tcPr>
                  <w:tcW w:w="644" w:type="pct"/>
                  <w:vAlign w:val="center"/>
                </w:tcPr>
                <w:p>
                  <w:pPr>
                    <w:jc w:val="center"/>
                    <w:rPr>
                      <w:kern w:val="0"/>
                      <w:szCs w:val="21"/>
                    </w:rPr>
                  </w:pPr>
                  <w:r>
                    <w:rPr>
                      <w:kern w:val="0"/>
                      <w:szCs w:val="21"/>
                    </w:rPr>
                    <w:t>0.75</w:t>
                  </w:r>
                </w:p>
              </w:tc>
              <w:tc>
                <w:tcPr>
                  <w:tcW w:w="658" w:type="pct"/>
                  <w:vAlign w:val="center"/>
                </w:tcPr>
                <w:p>
                  <w:pPr>
                    <w:jc w:val="center"/>
                    <w:rPr>
                      <w:kern w:val="0"/>
                      <w:szCs w:val="21"/>
                    </w:rPr>
                  </w:pPr>
                  <w:r>
                    <w:rPr>
                      <w:kern w:val="0"/>
                      <w:szCs w:val="21"/>
                    </w:rPr>
                    <w:t>回用生产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 w:type="pct"/>
                  <w:vAlign w:val="center"/>
                </w:tcPr>
                <w:p>
                  <w:pPr>
                    <w:jc w:val="center"/>
                    <w:rPr>
                      <w:kern w:val="0"/>
                      <w:szCs w:val="21"/>
                    </w:rPr>
                  </w:pPr>
                  <w:r>
                    <w:rPr>
                      <w:kern w:val="0"/>
                      <w:szCs w:val="21"/>
                    </w:rPr>
                    <w:t>5</w:t>
                  </w:r>
                </w:p>
              </w:tc>
              <w:tc>
                <w:tcPr>
                  <w:tcW w:w="1605" w:type="pct"/>
                  <w:vAlign w:val="center"/>
                </w:tcPr>
                <w:p>
                  <w:pPr>
                    <w:jc w:val="center"/>
                    <w:rPr>
                      <w:kern w:val="0"/>
                      <w:szCs w:val="21"/>
                    </w:rPr>
                  </w:pPr>
                  <w:r>
                    <w:rPr>
                      <w:rFonts w:hint="eastAsia"/>
                      <w:kern w:val="0"/>
                      <w:szCs w:val="21"/>
                    </w:rPr>
                    <w:t>料棚抑尘用水</w:t>
                  </w:r>
                </w:p>
              </w:tc>
              <w:tc>
                <w:tcPr>
                  <w:tcW w:w="594" w:type="pct"/>
                  <w:vAlign w:val="center"/>
                </w:tcPr>
                <w:p>
                  <w:pPr>
                    <w:jc w:val="center"/>
                    <w:rPr>
                      <w:kern w:val="0"/>
                      <w:szCs w:val="21"/>
                    </w:rPr>
                  </w:pPr>
                  <w:r>
                    <w:rPr>
                      <w:kern w:val="0"/>
                      <w:szCs w:val="21"/>
                    </w:rPr>
                    <w:t>0.88</w:t>
                  </w:r>
                </w:p>
              </w:tc>
              <w:tc>
                <w:tcPr>
                  <w:tcW w:w="538" w:type="pct"/>
                  <w:vAlign w:val="center"/>
                </w:tcPr>
                <w:p>
                  <w:pPr>
                    <w:jc w:val="center"/>
                    <w:rPr>
                      <w:kern w:val="0"/>
                      <w:szCs w:val="21"/>
                    </w:rPr>
                  </w:pPr>
                  <w:r>
                    <w:rPr>
                      <w:rFonts w:hint="eastAsia"/>
                      <w:kern w:val="0"/>
                      <w:szCs w:val="21"/>
                    </w:rPr>
                    <w:t>0</w:t>
                  </w:r>
                </w:p>
              </w:tc>
              <w:tc>
                <w:tcPr>
                  <w:tcW w:w="670" w:type="pct"/>
                  <w:vAlign w:val="center"/>
                </w:tcPr>
                <w:p>
                  <w:pPr>
                    <w:jc w:val="center"/>
                    <w:rPr>
                      <w:kern w:val="0"/>
                      <w:szCs w:val="21"/>
                    </w:rPr>
                  </w:pPr>
                  <w:r>
                    <w:rPr>
                      <w:rFonts w:hint="eastAsia"/>
                      <w:kern w:val="0"/>
                      <w:szCs w:val="21"/>
                    </w:rPr>
                    <w:t>/</w:t>
                  </w:r>
                </w:p>
              </w:tc>
              <w:tc>
                <w:tcPr>
                  <w:tcW w:w="644" w:type="pct"/>
                  <w:vAlign w:val="center"/>
                </w:tcPr>
                <w:p>
                  <w:pPr>
                    <w:jc w:val="center"/>
                    <w:rPr>
                      <w:kern w:val="0"/>
                      <w:szCs w:val="21"/>
                    </w:rPr>
                  </w:pPr>
                  <w:r>
                    <w:rPr>
                      <w:rFonts w:hint="eastAsia"/>
                      <w:kern w:val="0"/>
                      <w:szCs w:val="21"/>
                    </w:rPr>
                    <w:t>0</w:t>
                  </w:r>
                </w:p>
              </w:tc>
              <w:tc>
                <w:tcPr>
                  <w:tcW w:w="658" w:type="pct"/>
                  <w:vAlign w:val="center"/>
                </w:tcPr>
                <w:p>
                  <w:pPr>
                    <w:jc w:val="center"/>
                    <w:rPr>
                      <w:kern w:val="0"/>
                      <w:szCs w:val="21"/>
                    </w:rPr>
                  </w:pPr>
                  <w:r>
                    <w:rPr>
                      <w:rFonts w:hint="eastAsia"/>
                      <w:kern w:val="0"/>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5" w:type="pct"/>
                  <w:gridSpan w:val="2"/>
                  <w:vAlign w:val="center"/>
                </w:tcPr>
                <w:p>
                  <w:pPr>
                    <w:jc w:val="center"/>
                    <w:rPr>
                      <w:kern w:val="0"/>
                      <w:szCs w:val="21"/>
                    </w:rPr>
                  </w:pPr>
                  <w:r>
                    <w:rPr>
                      <w:kern w:val="0"/>
                      <w:szCs w:val="21"/>
                    </w:rPr>
                    <w:t>合计</w:t>
                  </w:r>
                </w:p>
              </w:tc>
              <w:tc>
                <w:tcPr>
                  <w:tcW w:w="594" w:type="pct"/>
                  <w:vAlign w:val="center"/>
                </w:tcPr>
                <w:p>
                  <w:pPr>
                    <w:jc w:val="center"/>
                    <w:rPr>
                      <w:color w:val="FF0000"/>
                      <w:kern w:val="0"/>
                      <w:szCs w:val="21"/>
                    </w:rPr>
                  </w:pPr>
                  <w:r>
                    <w:rPr>
                      <w:color w:val="FF0000"/>
                      <w:kern w:val="0"/>
                      <w:szCs w:val="21"/>
                    </w:rPr>
                    <w:fldChar w:fldCharType="begin"/>
                  </w:r>
                  <w:r>
                    <w:rPr>
                      <w:color w:val="FF0000"/>
                      <w:kern w:val="0"/>
                      <w:szCs w:val="21"/>
                    </w:rPr>
                    <w:instrText xml:space="preserve"> =SUM(ABOVE) </w:instrText>
                  </w:r>
                  <w:r>
                    <w:rPr>
                      <w:color w:val="FF0000"/>
                      <w:kern w:val="0"/>
                      <w:szCs w:val="21"/>
                    </w:rPr>
                    <w:fldChar w:fldCharType="separate"/>
                  </w:r>
                  <w:r>
                    <w:rPr>
                      <w:color w:val="FF0000"/>
                      <w:kern w:val="0"/>
                      <w:szCs w:val="21"/>
                    </w:rPr>
                    <w:fldChar w:fldCharType="end"/>
                  </w:r>
                  <w:r>
                    <w:rPr>
                      <w:color w:val="FF0000"/>
                      <w:kern w:val="0"/>
                      <w:szCs w:val="21"/>
                    </w:rPr>
                    <w:fldChar w:fldCharType="begin"/>
                  </w:r>
                  <w:r>
                    <w:rPr>
                      <w:color w:val="FF0000"/>
                      <w:kern w:val="0"/>
                      <w:szCs w:val="21"/>
                    </w:rPr>
                    <w:instrText xml:space="preserve"> =SUM(ABOVE) </w:instrText>
                  </w:r>
                  <w:r>
                    <w:rPr>
                      <w:color w:val="FF0000"/>
                      <w:kern w:val="0"/>
                      <w:szCs w:val="21"/>
                    </w:rPr>
                    <w:fldChar w:fldCharType="separate"/>
                  </w:r>
                  <w:r>
                    <w:rPr>
                      <w:color w:val="FF0000"/>
                      <w:kern w:val="0"/>
                      <w:szCs w:val="21"/>
                    </w:rPr>
                    <w:t>301.74</w:t>
                  </w:r>
                  <w:r>
                    <w:rPr>
                      <w:color w:val="FF0000"/>
                      <w:kern w:val="0"/>
                      <w:szCs w:val="21"/>
                    </w:rPr>
                    <w:fldChar w:fldCharType="end"/>
                  </w:r>
                </w:p>
              </w:tc>
              <w:tc>
                <w:tcPr>
                  <w:tcW w:w="538" w:type="pct"/>
                  <w:vAlign w:val="center"/>
                </w:tcPr>
                <w:p>
                  <w:pPr>
                    <w:jc w:val="center"/>
                    <w:rPr>
                      <w:kern w:val="0"/>
                      <w:szCs w:val="21"/>
                    </w:rPr>
                  </w:pPr>
                  <w:r>
                    <w:rPr>
                      <w:kern w:val="0"/>
                      <w:szCs w:val="21"/>
                    </w:rPr>
                    <w:t>0</w:t>
                  </w:r>
                </w:p>
              </w:tc>
              <w:tc>
                <w:tcPr>
                  <w:tcW w:w="670" w:type="pct"/>
                  <w:vAlign w:val="center"/>
                </w:tcPr>
                <w:p>
                  <w:pPr>
                    <w:jc w:val="center"/>
                    <w:rPr>
                      <w:kern w:val="0"/>
                      <w:szCs w:val="21"/>
                    </w:rPr>
                  </w:pPr>
                  <w:r>
                    <w:rPr>
                      <w:kern w:val="0"/>
                      <w:szCs w:val="21"/>
                    </w:rPr>
                    <w:t>—</w:t>
                  </w:r>
                </w:p>
              </w:tc>
              <w:tc>
                <w:tcPr>
                  <w:tcW w:w="644" w:type="pct"/>
                  <w:vAlign w:val="center"/>
                </w:tcPr>
                <w:p>
                  <w:pPr>
                    <w:jc w:val="center"/>
                    <w:rPr>
                      <w:kern w:val="0"/>
                      <w:szCs w:val="21"/>
                    </w:rPr>
                  </w:pPr>
                  <w:r>
                    <w:rPr>
                      <w:rFonts w:hint="eastAsia"/>
                      <w:kern w:val="0"/>
                      <w:szCs w:val="21"/>
                    </w:rPr>
                    <w:t>0.</w:t>
                  </w:r>
                  <w:r>
                    <w:rPr>
                      <w:kern w:val="0"/>
                      <w:szCs w:val="21"/>
                    </w:rPr>
                    <w:t>128</w:t>
                  </w:r>
                </w:p>
              </w:tc>
              <w:tc>
                <w:tcPr>
                  <w:tcW w:w="658" w:type="pct"/>
                  <w:vAlign w:val="center"/>
                </w:tcPr>
                <w:p>
                  <w:pPr>
                    <w:jc w:val="center"/>
                    <w:rPr>
                      <w:kern w:val="0"/>
                      <w:szCs w:val="21"/>
                    </w:rPr>
                  </w:pPr>
                  <w:r>
                    <w:rPr>
                      <w:kern w:val="0"/>
                      <w:szCs w:val="21"/>
                    </w:rPr>
                    <w:t>—</w:t>
                  </w:r>
                </w:p>
              </w:tc>
            </w:tr>
          </w:tbl>
          <w:p>
            <w:pPr>
              <w:adjustRightInd w:val="0"/>
              <w:snapToGrid w:val="0"/>
              <w:spacing w:line="360" w:lineRule="auto"/>
              <w:ind w:firstLine="480" w:firstLineChars="200"/>
              <w:rPr>
                <w:bCs/>
                <w:sz w:val="24"/>
              </w:rPr>
            </w:pPr>
            <w:r>
              <w:rPr>
                <w:bCs/>
                <w:sz w:val="24"/>
              </w:rPr>
              <w:t>（</w:t>
            </w:r>
            <w:r>
              <w:rPr>
                <w:rFonts w:hint="eastAsia"/>
                <w:bCs/>
                <w:sz w:val="24"/>
              </w:rPr>
              <w:t>3</w:t>
            </w:r>
            <w:r>
              <w:rPr>
                <w:bCs/>
                <w:sz w:val="24"/>
              </w:rPr>
              <w:t>）</w:t>
            </w:r>
            <w:r>
              <w:rPr>
                <w:rFonts w:hint="eastAsia"/>
                <w:bCs/>
                <w:sz w:val="24"/>
              </w:rPr>
              <w:t>供电</w:t>
            </w:r>
            <w:r>
              <w:rPr>
                <w:bCs/>
                <w:sz w:val="24"/>
              </w:rPr>
              <w:t>工程</w:t>
            </w:r>
          </w:p>
          <w:p>
            <w:pPr>
              <w:spacing w:line="360" w:lineRule="auto"/>
              <w:ind w:firstLine="480" w:firstLineChars="200"/>
              <w:rPr>
                <w:rFonts w:cs="宋体"/>
                <w:bCs/>
                <w:sz w:val="24"/>
              </w:rPr>
            </w:pPr>
            <w:r>
              <w:rPr>
                <w:rFonts w:cs="宋体"/>
                <w:bCs/>
                <w:sz w:val="24"/>
              </w:rPr>
              <w:t>项目总用电量为</w:t>
            </w:r>
            <w:r>
              <w:rPr>
                <w:rFonts w:hint="eastAsia" w:cs="宋体"/>
                <w:bCs/>
                <w:sz w:val="24"/>
              </w:rPr>
              <w:t>50000</w:t>
            </w:r>
            <w:r>
              <w:rPr>
                <w:rFonts w:cs="宋体"/>
                <w:bCs/>
                <w:sz w:val="24"/>
              </w:rPr>
              <w:t>KWh，由</w:t>
            </w:r>
            <w:r>
              <w:rPr>
                <w:rFonts w:hint="eastAsia" w:cs="宋体"/>
                <w:bCs/>
                <w:sz w:val="24"/>
              </w:rPr>
              <w:t>当地电网</w:t>
            </w:r>
            <w:r>
              <w:rPr>
                <w:rFonts w:cs="宋体"/>
                <w:bCs/>
                <w:sz w:val="24"/>
              </w:rPr>
              <w:t>供给</w:t>
            </w:r>
            <w:r>
              <w:rPr>
                <w:rFonts w:hint="eastAsia" w:cs="宋体"/>
                <w:bCs/>
                <w:sz w:val="24"/>
              </w:rPr>
              <w:t>。</w:t>
            </w:r>
          </w:p>
          <w:p>
            <w:pPr>
              <w:spacing w:line="360" w:lineRule="auto"/>
              <w:ind w:firstLine="480" w:firstLineChars="200"/>
              <w:rPr>
                <w:rFonts w:cs="宋体"/>
                <w:bCs/>
                <w:sz w:val="24"/>
              </w:rPr>
            </w:pPr>
            <w:r>
              <w:rPr>
                <w:rFonts w:hint="eastAsia" w:cs="宋体"/>
                <w:bCs/>
                <w:sz w:val="24"/>
              </w:rPr>
              <w:t>（4）供暖工程</w:t>
            </w:r>
          </w:p>
          <w:p>
            <w:pPr>
              <w:spacing w:line="360" w:lineRule="auto"/>
              <w:ind w:firstLine="480" w:firstLineChars="200"/>
              <w:rPr>
                <w:rFonts w:cs="宋体"/>
                <w:bCs/>
                <w:sz w:val="24"/>
              </w:rPr>
            </w:pPr>
            <w:r>
              <w:rPr>
                <w:sz w:val="24"/>
              </w:rPr>
              <w:t>本项目冬季不生产，无需取暖</w:t>
            </w:r>
            <w:r>
              <w:rPr>
                <w:rFonts w:hint="eastAsia"/>
                <w:sz w:val="24"/>
              </w:rPr>
              <w:t>。</w:t>
            </w:r>
          </w:p>
          <w:p>
            <w:pPr>
              <w:autoSpaceDE w:val="0"/>
              <w:autoSpaceDN w:val="0"/>
              <w:adjustRightInd w:val="0"/>
              <w:snapToGrid w:val="0"/>
              <w:spacing w:line="360" w:lineRule="auto"/>
              <w:jc w:val="center"/>
              <w:rPr>
                <w:b/>
                <w:kern w:val="0"/>
                <w:szCs w:val="21"/>
              </w:rPr>
            </w:pPr>
            <w:r>
              <w:rPr>
                <w:b/>
                <w:kern w:val="0"/>
                <w:szCs w:val="21"/>
              </w:rPr>
              <w:drawing>
                <wp:inline distT="0" distB="0" distL="0" distR="0">
                  <wp:extent cx="4572000" cy="2495550"/>
                  <wp:effectExtent l="0" t="0" r="0" b="0"/>
                  <wp:docPr id="2069" name="图片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图片 2068"/>
                          <pic:cNvPicPr>
                            <a:picLocks noChangeAspect="1"/>
                          </pic:cNvPicPr>
                        </pic:nvPicPr>
                        <pic:blipFill>
                          <a:blip r:embed="rId9"/>
                          <a:stretch>
                            <a:fillRect/>
                          </a:stretch>
                        </pic:blipFill>
                        <pic:spPr>
                          <a:xfrm>
                            <a:off x="0" y="0"/>
                            <a:ext cx="4576417" cy="2498297"/>
                          </a:xfrm>
                          <a:prstGeom prst="rect">
                            <a:avLst/>
                          </a:prstGeom>
                        </pic:spPr>
                      </pic:pic>
                    </a:graphicData>
                  </a:graphic>
                </wp:inline>
              </w:drawing>
            </w:r>
          </w:p>
          <w:p>
            <w:pPr>
              <w:pStyle w:val="22"/>
              <w:rPr>
                <w:rFonts w:cs="宋体"/>
              </w:rPr>
            </w:pPr>
            <w:r>
              <w:rPr>
                <w:rFonts w:hint="eastAsia"/>
                <w:color w:val="FF0000"/>
              </w:rPr>
              <w:t>图</w:t>
            </w:r>
            <w:r>
              <w:rPr>
                <w:color w:val="FF0000"/>
              </w:rPr>
              <w:t>2-1</w:t>
            </w:r>
            <w:r>
              <w:rPr>
                <w:rFonts w:hint="eastAsia"/>
                <w:color w:val="FF0000"/>
              </w:rPr>
              <w:t xml:space="preserve"> 项目水平衡图  m</w:t>
            </w:r>
            <w:r>
              <w:rPr>
                <w:rFonts w:hint="eastAsia"/>
                <w:color w:val="FF0000"/>
                <w:vertAlign w:val="superscript"/>
              </w:rPr>
              <w:t>3</w:t>
            </w:r>
            <w:r>
              <w:rPr>
                <w:rFonts w:hint="eastAsia"/>
                <w:color w:val="FF0000"/>
              </w:rPr>
              <w:t>/d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314" w:type="pct"/>
            <w:vAlign w:val="center"/>
          </w:tcPr>
          <w:p>
            <w:pPr>
              <w:pStyle w:val="13"/>
              <w:adjustRightInd w:val="0"/>
              <w:snapToGrid w:val="0"/>
              <w:spacing w:before="0" w:beforeAutospacing="0" w:after="0" w:afterAutospacing="0"/>
              <w:jc w:val="center"/>
              <w:rPr>
                <w:rFonts w:ascii="Times New Roman" w:hAnsi="Times New Roman" w:cs="宋体"/>
                <w:sz w:val="21"/>
                <w:szCs w:val="21"/>
              </w:rPr>
            </w:pPr>
            <w:r>
              <w:rPr>
                <w:rFonts w:hint="eastAsia" w:ascii="Times New Roman" w:hAnsi="Times New Roman" w:cs="宋体"/>
                <w:sz w:val="21"/>
                <w:szCs w:val="21"/>
              </w:rPr>
              <w:t>工艺流程和产排污环节</w:t>
            </w:r>
          </w:p>
        </w:tc>
        <w:tc>
          <w:tcPr>
            <w:tcW w:w="4686" w:type="pct"/>
          </w:tcPr>
          <w:p>
            <w:pPr>
              <w:spacing w:line="360" w:lineRule="auto"/>
              <w:jc w:val="left"/>
              <w:rPr>
                <w:b/>
                <w:sz w:val="24"/>
              </w:rPr>
            </w:pPr>
            <w:r>
              <w:rPr>
                <w:b/>
                <w:sz w:val="24"/>
              </w:rPr>
              <w:t>1</w:t>
            </w:r>
            <w:r>
              <w:rPr>
                <w:rFonts w:hint="eastAsia"/>
                <w:b/>
                <w:sz w:val="24"/>
              </w:rPr>
              <w:t>、</w:t>
            </w:r>
            <w:r>
              <w:rPr>
                <w:b/>
                <w:sz w:val="24"/>
              </w:rPr>
              <w:t>施工期工程分析</w:t>
            </w:r>
          </w:p>
          <w:p>
            <w:pPr>
              <w:adjustRightInd w:val="0"/>
              <w:snapToGrid w:val="0"/>
              <w:spacing w:line="360" w:lineRule="auto"/>
              <w:ind w:firstLine="480" w:firstLineChars="200"/>
              <w:rPr>
                <w:sz w:val="24"/>
              </w:rPr>
            </w:pPr>
            <w:r>
              <w:rPr>
                <w:sz w:val="24"/>
              </w:rPr>
              <w:t>施工流程及各阶段主要污染物产生见图2-2。</w:t>
            </w:r>
          </w:p>
          <w:p>
            <w:pPr>
              <w:adjustRightInd w:val="0"/>
              <w:snapToGrid w:val="0"/>
              <w:spacing w:line="360" w:lineRule="auto"/>
              <w:ind w:firstLine="480" w:firstLineChars="200"/>
              <w:jc w:val="center"/>
              <w:rPr>
                <w:sz w:val="24"/>
              </w:rPr>
            </w:pPr>
            <w:r>
              <w:rPr>
                <w:sz w:val="24"/>
              </w:rPr>
              <w:drawing>
                <wp:inline distT="0" distB="0" distL="0" distR="0">
                  <wp:extent cx="3380105" cy="1995170"/>
                  <wp:effectExtent l="0" t="0" r="0" b="5080"/>
                  <wp:docPr id="185131758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17580" name="图片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383503" cy="1997707"/>
                          </a:xfrm>
                          <a:prstGeom prst="rect">
                            <a:avLst/>
                          </a:prstGeom>
                          <a:noFill/>
                          <a:ln>
                            <a:noFill/>
                          </a:ln>
                        </pic:spPr>
                      </pic:pic>
                    </a:graphicData>
                  </a:graphic>
                </wp:inline>
              </w:drawing>
            </w:r>
          </w:p>
          <w:p>
            <w:pPr>
              <w:pStyle w:val="22"/>
            </w:pPr>
            <w:r>
              <w:t>图2-2 施工期工艺流程图</w:t>
            </w:r>
          </w:p>
          <w:p>
            <w:pPr>
              <w:adjustRightInd w:val="0"/>
              <w:snapToGrid w:val="0"/>
              <w:spacing w:line="360" w:lineRule="auto"/>
              <w:jc w:val="left"/>
              <w:rPr>
                <w:b/>
                <w:bCs/>
                <w:sz w:val="24"/>
              </w:rPr>
            </w:pPr>
            <w:r>
              <w:rPr>
                <w:b/>
                <w:bCs/>
                <w:sz w:val="24"/>
              </w:rPr>
              <w:t>2</w:t>
            </w:r>
            <w:r>
              <w:rPr>
                <w:rFonts w:hint="eastAsia"/>
                <w:b/>
                <w:bCs/>
                <w:sz w:val="24"/>
              </w:rPr>
              <w:t>、</w:t>
            </w:r>
            <w:r>
              <w:rPr>
                <w:b/>
                <w:bCs/>
                <w:sz w:val="24"/>
              </w:rPr>
              <w:t>运营期工程分析</w:t>
            </w:r>
          </w:p>
          <w:p>
            <w:pPr>
              <w:adjustRightInd w:val="0"/>
              <w:snapToGrid w:val="0"/>
              <w:spacing w:line="360" w:lineRule="auto"/>
              <w:ind w:firstLine="480" w:firstLineChars="200"/>
              <w:jc w:val="left"/>
              <w:rPr>
                <w:bCs/>
                <w:sz w:val="24"/>
              </w:rPr>
            </w:pPr>
            <w:r>
              <w:rPr>
                <w:rFonts w:hint="eastAsia"/>
                <w:bCs/>
                <w:sz w:val="24"/>
              </w:rPr>
              <w:t>本项目混凝土搅拌站工艺流程如下：</w:t>
            </w:r>
          </w:p>
          <w:p>
            <w:pPr>
              <w:adjustRightInd w:val="0"/>
              <w:snapToGrid w:val="0"/>
              <w:jc w:val="center"/>
              <w:rPr>
                <w:bCs/>
                <w:szCs w:val="21"/>
              </w:rPr>
            </w:pPr>
            <w:r>
              <w:rPr>
                <w:bCs/>
                <w:szCs w:val="21"/>
              </w:rPr>
              <w:drawing>
                <wp:inline distT="0" distB="0" distL="0" distR="0">
                  <wp:extent cx="4508500" cy="3116580"/>
                  <wp:effectExtent l="0" t="0" r="6350" b="7620"/>
                  <wp:docPr id="8988854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885410" name="图片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517789" cy="3123013"/>
                          </a:xfrm>
                          <a:prstGeom prst="rect">
                            <a:avLst/>
                          </a:prstGeom>
                          <a:noFill/>
                        </pic:spPr>
                      </pic:pic>
                    </a:graphicData>
                  </a:graphic>
                </wp:inline>
              </w:drawing>
            </w:r>
          </w:p>
          <w:p>
            <w:pPr>
              <w:pStyle w:val="22"/>
            </w:pPr>
            <w:r>
              <w:t>图2-3</w:t>
            </w:r>
            <w:r>
              <w:rPr>
                <w:rFonts w:hint="eastAsia"/>
              </w:rPr>
              <w:t xml:space="preserve"> 运营</w:t>
            </w:r>
            <w:r>
              <w:t>期工艺流程及产污环节图</w:t>
            </w:r>
          </w:p>
          <w:p>
            <w:pPr>
              <w:adjustRightInd w:val="0"/>
              <w:snapToGrid w:val="0"/>
              <w:spacing w:line="360" w:lineRule="auto"/>
              <w:ind w:firstLine="480" w:firstLineChars="200"/>
              <w:jc w:val="left"/>
              <w:rPr>
                <w:b/>
                <w:bCs/>
                <w:sz w:val="24"/>
              </w:rPr>
            </w:pPr>
            <w:r>
              <w:rPr>
                <w:bCs/>
                <w:sz w:val="24"/>
              </w:rPr>
              <w:t xml:space="preserve">（1）原料 </w:t>
            </w:r>
          </w:p>
          <w:p>
            <w:pPr>
              <w:adjustRightInd w:val="0"/>
              <w:snapToGrid w:val="0"/>
              <w:spacing w:line="360" w:lineRule="auto"/>
              <w:ind w:firstLine="480" w:firstLineChars="200"/>
              <w:jc w:val="left"/>
              <w:rPr>
                <w:bCs/>
                <w:sz w:val="24"/>
              </w:rPr>
            </w:pPr>
            <w:r>
              <w:rPr>
                <w:bCs/>
                <w:sz w:val="24"/>
              </w:rPr>
              <w:t>本项目生产所需要的原料有水泥、砂子、</w:t>
            </w:r>
            <w:r>
              <w:rPr>
                <w:rFonts w:hint="eastAsia"/>
                <w:bCs/>
                <w:sz w:val="24"/>
              </w:rPr>
              <w:t>粉煤灰、</w:t>
            </w:r>
            <w:r>
              <w:rPr>
                <w:bCs/>
                <w:sz w:val="24"/>
              </w:rPr>
              <w:t>石子和</w:t>
            </w:r>
            <w:r>
              <w:rPr>
                <w:sz w:val="24"/>
              </w:rPr>
              <w:t>添加剂</w:t>
            </w:r>
            <w:r>
              <w:rPr>
                <w:bCs/>
                <w:sz w:val="24"/>
              </w:rPr>
              <w:t>，其中水泥原料采用罐装车运输到厂区后，正压吹入相应原料筒仓内储存；砂子、石子等由运输车辆运至</w:t>
            </w:r>
            <w:r>
              <w:rPr>
                <w:rFonts w:hint="eastAsia"/>
                <w:bCs/>
                <w:sz w:val="24"/>
              </w:rPr>
              <w:t>全</w:t>
            </w:r>
            <w:r>
              <w:rPr>
                <w:bCs/>
                <w:sz w:val="24"/>
              </w:rPr>
              <w:t>封闭原料堆棚内堆存；</w:t>
            </w:r>
            <w:r>
              <w:rPr>
                <w:sz w:val="24"/>
              </w:rPr>
              <w:t>添加剂</w:t>
            </w:r>
            <w:r>
              <w:rPr>
                <w:bCs/>
                <w:sz w:val="24"/>
              </w:rPr>
              <w:t>存放于</w:t>
            </w:r>
            <w:r>
              <w:rPr>
                <w:sz w:val="24"/>
              </w:rPr>
              <w:t>添加剂</w:t>
            </w:r>
            <w:r>
              <w:rPr>
                <w:bCs/>
                <w:sz w:val="24"/>
              </w:rPr>
              <w:t>罐中备用。</w:t>
            </w:r>
          </w:p>
          <w:p>
            <w:pPr>
              <w:adjustRightInd w:val="0"/>
              <w:snapToGrid w:val="0"/>
              <w:spacing w:line="360" w:lineRule="auto"/>
              <w:ind w:firstLine="480" w:firstLineChars="200"/>
              <w:jc w:val="left"/>
              <w:rPr>
                <w:b/>
                <w:bCs/>
                <w:sz w:val="24"/>
              </w:rPr>
            </w:pPr>
            <w:r>
              <w:rPr>
                <w:bCs/>
                <w:sz w:val="24"/>
              </w:rPr>
              <w:t>（</w:t>
            </w:r>
            <w:r>
              <w:rPr>
                <w:rFonts w:hint="eastAsia"/>
                <w:bCs/>
                <w:sz w:val="24"/>
              </w:rPr>
              <w:t>2</w:t>
            </w:r>
            <w:r>
              <w:rPr>
                <w:bCs/>
                <w:sz w:val="24"/>
              </w:rPr>
              <w:t>）加料</w:t>
            </w:r>
          </w:p>
          <w:p>
            <w:pPr>
              <w:adjustRightInd w:val="0"/>
              <w:snapToGrid w:val="0"/>
              <w:spacing w:line="360" w:lineRule="auto"/>
              <w:ind w:firstLine="480" w:firstLineChars="200"/>
              <w:jc w:val="left"/>
              <w:rPr>
                <w:bCs/>
                <w:sz w:val="24"/>
              </w:rPr>
            </w:pPr>
            <w:r>
              <w:rPr>
                <w:bCs/>
                <w:sz w:val="24"/>
              </w:rPr>
              <w:t>储存于原料</w:t>
            </w:r>
            <w:r>
              <w:rPr>
                <w:rFonts w:hint="eastAsia"/>
                <w:bCs/>
                <w:sz w:val="24"/>
              </w:rPr>
              <w:t>储料</w:t>
            </w:r>
            <w:r>
              <w:rPr>
                <w:bCs/>
                <w:sz w:val="24"/>
              </w:rPr>
              <w:t>棚的砂子、石子由装载机铲入配料斗，进行称量，称量完毕后再通过密闭水平</w:t>
            </w:r>
            <w:r>
              <w:rPr>
                <w:rFonts w:hint="eastAsia"/>
                <w:bCs/>
                <w:sz w:val="24"/>
              </w:rPr>
              <w:t>输送带</w:t>
            </w:r>
            <w:r>
              <w:rPr>
                <w:bCs/>
                <w:sz w:val="24"/>
              </w:rPr>
              <w:t>输送至原料提升斗，原料提升斗将砂子、石子提升至搅拌主机里的原料中间仓，砂子、石子由原料中间仓放料阀放进搅拌机内；水泥等粉状原料则通过螺旋输送机密闭上料至搅拌主机内，经称量后放料进搅拌机；搅拌用水及</w:t>
            </w:r>
            <w:r>
              <w:rPr>
                <w:sz w:val="24"/>
              </w:rPr>
              <w:t>添加剂</w:t>
            </w:r>
            <w:r>
              <w:rPr>
                <w:bCs/>
                <w:sz w:val="24"/>
              </w:rPr>
              <w:t>采用压力供水及水泵上料。整个过程均采用计算机监控，全程自动化操作。</w:t>
            </w:r>
          </w:p>
          <w:p>
            <w:pPr>
              <w:adjustRightInd w:val="0"/>
              <w:snapToGrid w:val="0"/>
              <w:spacing w:line="360" w:lineRule="auto"/>
              <w:ind w:firstLine="480" w:firstLineChars="200"/>
              <w:jc w:val="left"/>
              <w:rPr>
                <w:b/>
                <w:bCs/>
                <w:sz w:val="24"/>
              </w:rPr>
            </w:pPr>
            <w:r>
              <w:rPr>
                <w:bCs/>
                <w:sz w:val="24"/>
              </w:rPr>
              <w:t>（</w:t>
            </w:r>
            <w:r>
              <w:rPr>
                <w:rFonts w:hint="eastAsia"/>
                <w:bCs/>
                <w:sz w:val="24"/>
              </w:rPr>
              <w:t>3</w:t>
            </w:r>
            <w:r>
              <w:rPr>
                <w:bCs/>
                <w:sz w:val="24"/>
              </w:rPr>
              <w:t>）搅拌</w:t>
            </w:r>
          </w:p>
          <w:p>
            <w:pPr>
              <w:adjustRightInd w:val="0"/>
              <w:snapToGrid w:val="0"/>
              <w:spacing w:line="360" w:lineRule="auto"/>
              <w:ind w:firstLine="480" w:firstLineChars="200"/>
              <w:jc w:val="left"/>
              <w:rPr>
                <w:bCs/>
                <w:sz w:val="24"/>
              </w:rPr>
            </w:pPr>
            <w:r>
              <w:rPr>
                <w:bCs/>
                <w:sz w:val="24"/>
              </w:rPr>
              <w:t>经过计量后的各种原料进入搅拌仓中进行机械式强制搅拌，原料进入搅拌机时按设定的顺序进料，以减少进料时产生的粉尘。本工艺搅拌过程全部采用电脑自动控制，以有效保证混凝土的质量。</w:t>
            </w:r>
          </w:p>
          <w:p>
            <w:pPr>
              <w:adjustRightInd w:val="0"/>
              <w:snapToGrid w:val="0"/>
              <w:spacing w:line="360" w:lineRule="auto"/>
              <w:ind w:firstLine="480" w:firstLineChars="200"/>
              <w:jc w:val="left"/>
              <w:rPr>
                <w:b/>
                <w:bCs/>
                <w:sz w:val="24"/>
              </w:rPr>
            </w:pPr>
            <w:r>
              <w:rPr>
                <w:bCs/>
                <w:sz w:val="24"/>
              </w:rPr>
              <w:t>（</w:t>
            </w:r>
            <w:r>
              <w:rPr>
                <w:rFonts w:hint="eastAsia"/>
                <w:bCs/>
                <w:sz w:val="24"/>
              </w:rPr>
              <w:t>4</w:t>
            </w:r>
            <w:r>
              <w:rPr>
                <w:bCs/>
                <w:sz w:val="24"/>
              </w:rPr>
              <w:t>）成品</w:t>
            </w:r>
          </w:p>
          <w:p>
            <w:pPr>
              <w:adjustRightInd w:val="0"/>
              <w:snapToGrid w:val="0"/>
              <w:spacing w:line="360" w:lineRule="auto"/>
              <w:ind w:firstLine="480" w:firstLineChars="200"/>
              <w:jc w:val="left"/>
              <w:rPr>
                <w:bCs/>
                <w:sz w:val="24"/>
              </w:rPr>
            </w:pPr>
            <w:r>
              <w:rPr>
                <w:bCs/>
                <w:sz w:val="24"/>
              </w:rPr>
              <w:t>生产出的混凝土成品由混凝土罐车直接装运，送到用户指定的建筑工地进行砼浇筑。</w:t>
            </w:r>
          </w:p>
          <w:p>
            <w:pPr>
              <w:adjustRightInd w:val="0"/>
              <w:snapToGrid w:val="0"/>
              <w:spacing w:line="360" w:lineRule="auto"/>
              <w:ind w:firstLine="480" w:firstLineChars="200"/>
              <w:jc w:val="left"/>
              <w:rPr>
                <w:bCs/>
                <w:sz w:val="24"/>
              </w:rPr>
            </w:pPr>
            <w:r>
              <w:rPr>
                <w:bCs/>
                <w:sz w:val="24"/>
              </w:rPr>
              <w:t>为保证原料及产品质量，厂区内对原料及产品进行质量检测，主要包括原料细度、稠度检测，产品强度检测等，检测合格的原料及产品方可使用。整个检测过程均不使用任何化学药品。</w:t>
            </w:r>
          </w:p>
          <w:p>
            <w:pPr>
              <w:pStyle w:val="22"/>
              <w:rPr>
                <w:sz w:val="2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9" w:hRule="atLeast"/>
          <w:jc w:val="center"/>
        </w:trPr>
        <w:tc>
          <w:tcPr>
            <w:tcW w:w="314" w:type="pct"/>
            <w:vAlign w:val="center"/>
          </w:tcPr>
          <w:p>
            <w:pPr>
              <w:pStyle w:val="13"/>
              <w:adjustRightInd w:val="0"/>
              <w:snapToGrid w:val="0"/>
              <w:spacing w:before="0" w:beforeAutospacing="0" w:after="0" w:afterAutospacing="0"/>
              <w:jc w:val="center"/>
              <w:rPr>
                <w:rFonts w:ascii="Times New Roman" w:hAnsi="Times New Roman" w:cs="宋体"/>
                <w:sz w:val="21"/>
                <w:szCs w:val="21"/>
              </w:rPr>
            </w:pPr>
            <w:r>
              <w:rPr>
                <w:rFonts w:hint="eastAsia" w:ascii="Times New Roman" w:hAnsi="Times New Roman" w:cs="宋体"/>
                <w:bCs/>
                <w:kern w:val="2"/>
                <w:sz w:val="21"/>
                <w:szCs w:val="21"/>
              </w:rPr>
              <w:t>与项目有关的原有环境污染问题</w:t>
            </w:r>
          </w:p>
        </w:tc>
        <w:tc>
          <w:tcPr>
            <w:tcW w:w="4686" w:type="pct"/>
            <w:vAlign w:val="center"/>
          </w:tcPr>
          <w:p>
            <w:pPr>
              <w:spacing w:line="360" w:lineRule="auto"/>
              <w:ind w:firstLine="480" w:firstLineChars="200"/>
              <w:rPr>
                <w:kern w:val="0"/>
                <w:sz w:val="24"/>
              </w:rPr>
            </w:pPr>
            <w:r>
              <w:rPr>
                <w:rFonts w:hint="eastAsia"/>
                <w:kern w:val="0"/>
                <w:sz w:val="24"/>
              </w:rPr>
              <w:t>本项目为未批先建项目，于2023年5月至2023年10月 建设完成。鄂尔多斯市生态环境综合行政执法支队伊金霍洛旗大队执法人员于2023年11月23日对伊金霍洛旗红星兆劳务有限责任公司进行现场检查，发现吉祥商砼站项目未办理环境影响评价审批手续擅自开工建设，目前主体工程已建成并调试生产。上述行为违反了《中华人民共和国环境影响评价法》第二十五条:“建设项目的环境影响评价文件未依法经审批部门审查或者审查后未予批准的，建设单位不得开工建设”的规定。</w:t>
            </w:r>
          </w:p>
          <w:p>
            <w:pPr>
              <w:spacing w:line="360" w:lineRule="auto"/>
              <w:ind w:firstLine="480" w:firstLineChars="200"/>
              <w:rPr>
                <w:kern w:val="0"/>
                <w:sz w:val="24"/>
              </w:rPr>
            </w:pPr>
            <w:r>
              <w:rPr>
                <w:rFonts w:hint="eastAsia"/>
                <w:kern w:val="0"/>
                <w:sz w:val="24"/>
              </w:rPr>
              <w:t>2</w:t>
            </w:r>
            <w:r>
              <w:rPr>
                <w:kern w:val="0"/>
                <w:sz w:val="24"/>
              </w:rPr>
              <w:t>023</w:t>
            </w:r>
            <w:r>
              <w:rPr>
                <w:rFonts w:hint="eastAsia"/>
                <w:kern w:val="0"/>
                <w:sz w:val="24"/>
              </w:rPr>
              <w:t>年1</w:t>
            </w:r>
            <w:r>
              <w:rPr>
                <w:kern w:val="0"/>
                <w:sz w:val="24"/>
              </w:rPr>
              <w:t>1</w:t>
            </w:r>
            <w:r>
              <w:rPr>
                <w:rFonts w:hint="eastAsia"/>
                <w:kern w:val="0"/>
                <w:sz w:val="24"/>
              </w:rPr>
              <w:t>月2</w:t>
            </w:r>
            <w:r>
              <w:rPr>
                <w:kern w:val="0"/>
                <w:sz w:val="24"/>
              </w:rPr>
              <w:t>4</w:t>
            </w:r>
            <w:r>
              <w:rPr>
                <w:rFonts w:hint="eastAsia"/>
                <w:kern w:val="0"/>
                <w:sz w:val="24"/>
              </w:rPr>
              <w:t>日，鄂尔多斯市生态环境局出具《责令改正违法行为决定书》（鄂环责改字[2023]5-48号）。2</w:t>
            </w:r>
            <w:r>
              <w:rPr>
                <w:kern w:val="0"/>
                <w:sz w:val="24"/>
              </w:rPr>
              <w:t>023年</w:t>
            </w:r>
            <w:r>
              <w:rPr>
                <w:rFonts w:hint="eastAsia"/>
                <w:kern w:val="0"/>
                <w:sz w:val="24"/>
              </w:rPr>
              <w:t>1</w:t>
            </w:r>
            <w:r>
              <w:rPr>
                <w:kern w:val="0"/>
                <w:sz w:val="24"/>
              </w:rPr>
              <w:t>1月</w:t>
            </w:r>
            <w:r>
              <w:rPr>
                <w:rFonts w:hint="eastAsia"/>
                <w:kern w:val="0"/>
                <w:sz w:val="24"/>
              </w:rPr>
              <w:t>2</w:t>
            </w:r>
            <w:r>
              <w:rPr>
                <w:kern w:val="0"/>
                <w:sz w:val="24"/>
              </w:rPr>
              <w:t>9日，</w:t>
            </w:r>
            <w:r>
              <w:rPr>
                <w:rFonts w:hint="eastAsia"/>
                <w:kern w:val="0"/>
                <w:sz w:val="24"/>
              </w:rPr>
              <w:t>鄂尔多斯市生态环境局出具《行政处罚事先(听证)告知书》（鄂环罚告字[2023]5-48号）</w:t>
            </w:r>
            <w:r>
              <w:rPr>
                <w:kern w:val="0"/>
                <w:sz w:val="24"/>
              </w:rPr>
              <w:t>。</w:t>
            </w:r>
            <w:r>
              <w:rPr>
                <w:rFonts w:hint="eastAsia"/>
                <w:kern w:val="0"/>
                <w:sz w:val="24"/>
              </w:rPr>
              <w:t>2023年12月6日，鄂尔多斯市生态环境局出具《行政处罚决定书》（鄂环罚[2023]5-48号）。责令伊金霍洛旗红星兆劳务有限责任公司立即停止违法行为，并办理相关环评手续，拟处以总投资额2%的罚款共计人民币肆万元整（￥40，000.00)。</w:t>
            </w:r>
          </w:p>
          <w:p>
            <w:pPr>
              <w:spacing w:line="360" w:lineRule="auto"/>
              <w:ind w:firstLine="480" w:firstLineChars="200"/>
              <w:rPr>
                <w:kern w:val="0"/>
                <w:sz w:val="24"/>
              </w:rPr>
            </w:pPr>
            <w:r>
              <w:rPr>
                <w:rFonts w:hint="eastAsia"/>
                <w:kern w:val="0"/>
                <w:sz w:val="24"/>
              </w:rPr>
              <w:t>伊金霍洛旗红星兆劳务有限责任公司收到《行政处罚决定书》（鄂环罚[2023]5-48号）后对项目进行停产，并于2023年12月7日，全额缴纳罚款40000元。</w:t>
            </w:r>
          </w:p>
          <w:p>
            <w:pPr>
              <w:spacing w:line="360" w:lineRule="auto"/>
              <w:ind w:firstLine="480" w:firstLineChars="200"/>
              <w:rPr>
                <w:kern w:val="0"/>
                <w:sz w:val="24"/>
              </w:rPr>
            </w:pPr>
            <w:r>
              <w:rPr>
                <w:rFonts w:hint="eastAsia"/>
                <w:kern w:val="0"/>
                <w:sz w:val="24"/>
              </w:rPr>
              <w:t>本项目现已全部建设完成，施工现场已清理干净，无环境污染问题。</w:t>
            </w:r>
          </w:p>
          <w:p>
            <w:pPr>
              <w:spacing w:line="360" w:lineRule="auto"/>
              <w:jc w:val="center"/>
              <w:rPr>
                <w:kern w:val="0"/>
                <w:sz w:val="24"/>
              </w:rPr>
            </w:pPr>
          </w:p>
        </w:tc>
      </w:tr>
    </w:tbl>
    <w:p>
      <w:pPr>
        <w:pStyle w:val="13"/>
        <w:jc w:val="center"/>
        <w:rPr>
          <w:rFonts w:ascii="Times New Roman" w:hAnsi="Times New Roman" w:eastAsia="黑体"/>
          <w:snapToGrid w:val="0"/>
          <w:sz w:val="36"/>
          <w:szCs w:val="36"/>
        </w:rPr>
        <w:sectPr>
          <w:pgSz w:w="11906" w:h="16838"/>
          <w:pgMar w:top="1701" w:right="1531" w:bottom="1701" w:left="1531" w:header="851" w:footer="851" w:gutter="0"/>
          <w:cols w:space="720" w:num="1"/>
          <w:docGrid w:linePitch="312" w:charSpace="0"/>
        </w:sectPr>
      </w:pPr>
    </w:p>
    <w:p>
      <w:pPr>
        <w:pStyle w:val="13"/>
        <w:jc w:val="center"/>
        <w:outlineLvl w:val="0"/>
        <w:rPr>
          <w:rFonts w:ascii="Times New Roman" w:hAnsi="Times New Roman" w:eastAsia="黑体"/>
          <w:snapToGrid w:val="0"/>
          <w:sz w:val="30"/>
          <w:szCs w:val="30"/>
        </w:rPr>
      </w:pPr>
      <w:r>
        <w:rPr>
          <w:rFonts w:hint="eastAsia" w:ascii="Times New Roman" w:hAnsi="Times New Roman" w:eastAsia="黑体"/>
          <w:snapToGrid w:val="0"/>
          <w:sz w:val="30"/>
          <w:szCs w:val="30"/>
        </w:rPr>
        <w:t>三、区域环境质量现状、环境保护目标及评价标准</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84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67" w:hRule="atLeast"/>
          <w:jc w:val="center"/>
        </w:trPr>
        <w:tc>
          <w:tcPr>
            <w:tcW w:w="699" w:type="dxa"/>
            <w:vAlign w:val="center"/>
          </w:tcPr>
          <w:p>
            <w:pPr>
              <w:adjustRightInd w:val="0"/>
              <w:snapToGrid w:val="0"/>
              <w:jc w:val="center"/>
              <w:rPr>
                <w:rFonts w:cs="宋体"/>
                <w:kern w:val="0"/>
                <w:szCs w:val="21"/>
              </w:rPr>
            </w:pPr>
            <w:r>
              <w:rPr>
                <w:rFonts w:hint="eastAsia" w:cs="宋体"/>
                <w:kern w:val="0"/>
                <w:szCs w:val="21"/>
              </w:rPr>
              <w:t>区域</w:t>
            </w:r>
          </w:p>
          <w:p>
            <w:pPr>
              <w:adjustRightInd w:val="0"/>
              <w:snapToGrid w:val="0"/>
              <w:jc w:val="center"/>
              <w:rPr>
                <w:rFonts w:cs="宋体"/>
                <w:kern w:val="0"/>
                <w:szCs w:val="21"/>
              </w:rPr>
            </w:pPr>
            <w:r>
              <w:rPr>
                <w:rFonts w:hint="eastAsia" w:cs="宋体"/>
                <w:kern w:val="0"/>
                <w:szCs w:val="21"/>
              </w:rPr>
              <w:t>环境</w:t>
            </w:r>
          </w:p>
          <w:p>
            <w:pPr>
              <w:adjustRightInd w:val="0"/>
              <w:snapToGrid w:val="0"/>
              <w:jc w:val="center"/>
              <w:rPr>
                <w:rFonts w:cs="宋体"/>
                <w:kern w:val="0"/>
                <w:szCs w:val="21"/>
              </w:rPr>
            </w:pPr>
            <w:r>
              <w:rPr>
                <w:rFonts w:hint="eastAsia" w:cs="宋体"/>
                <w:kern w:val="0"/>
                <w:szCs w:val="21"/>
              </w:rPr>
              <w:t>质量</w:t>
            </w:r>
          </w:p>
          <w:p>
            <w:pPr>
              <w:adjustRightInd w:val="0"/>
              <w:snapToGrid w:val="0"/>
              <w:jc w:val="center"/>
              <w:rPr>
                <w:rFonts w:cs="宋体"/>
                <w:kern w:val="0"/>
                <w:szCs w:val="21"/>
              </w:rPr>
            </w:pPr>
            <w:r>
              <w:rPr>
                <w:rFonts w:hint="eastAsia" w:cs="宋体"/>
                <w:kern w:val="0"/>
                <w:szCs w:val="21"/>
              </w:rPr>
              <w:t>现状</w:t>
            </w:r>
          </w:p>
        </w:tc>
        <w:tc>
          <w:tcPr>
            <w:tcW w:w="8126" w:type="dxa"/>
            <w:vAlign w:val="center"/>
          </w:tcPr>
          <w:p>
            <w:pPr>
              <w:autoSpaceDE w:val="0"/>
              <w:autoSpaceDN w:val="0"/>
              <w:spacing w:line="360" w:lineRule="auto"/>
              <w:ind w:firstLine="482" w:firstLineChars="200"/>
              <w:jc w:val="left"/>
              <w:rPr>
                <w:b/>
                <w:kern w:val="0"/>
                <w:sz w:val="24"/>
              </w:rPr>
            </w:pPr>
            <w:r>
              <w:rPr>
                <w:rFonts w:hint="eastAsia"/>
                <w:b/>
                <w:kern w:val="0"/>
                <w:sz w:val="24"/>
              </w:rPr>
              <w:t>1、环境空气质量现状监测与评价</w:t>
            </w:r>
          </w:p>
          <w:p>
            <w:pPr>
              <w:spacing w:line="360" w:lineRule="auto"/>
              <w:ind w:firstLine="480" w:firstLineChars="200"/>
              <w:rPr>
                <w:kern w:val="0"/>
                <w:sz w:val="24"/>
              </w:rPr>
            </w:pPr>
            <w:r>
              <w:rPr>
                <w:rFonts w:hint="eastAsia"/>
                <w:kern w:val="0"/>
                <w:sz w:val="24"/>
              </w:rPr>
              <w:t>1.1达标区判断及基本污染物环境空气质量</w:t>
            </w:r>
          </w:p>
          <w:p>
            <w:pPr>
              <w:widowControl/>
              <w:spacing w:line="360" w:lineRule="auto"/>
              <w:ind w:firstLine="480" w:firstLineChars="200"/>
              <w:jc w:val="left"/>
              <w:rPr>
                <w:kern w:val="0"/>
                <w:sz w:val="24"/>
              </w:rPr>
            </w:pPr>
            <w:r>
              <w:rPr>
                <w:kern w:val="0"/>
                <w:sz w:val="24"/>
              </w:rPr>
              <w:t>本次区域环境质量现状采用内蒙古自治区生态环境厅发布的《2022年内蒙古自治区生态环境状况公报》中鄂尔多斯市的数据统计，区域基本污染物监测统计结果见表3-1。</w:t>
            </w:r>
          </w:p>
          <w:p>
            <w:pPr>
              <w:pStyle w:val="22"/>
            </w:pPr>
            <w:r>
              <w:t>表3-1 环境空气监测结果统计表</w:t>
            </w:r>
          </w:p>
          <w:tbl>
            <w:tblPr>
              <w:tblStyle w:val="14"/>
              <w:tblW w:w="82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222"/>
              <w:gridCol w:w="1299"/>
              <w:gridCol w:w="1299"/>
              <w:gridCol w:w="946"/>
              <w:gridCol w:w="997"/>
              <w:gridCol w:w="6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exact"/>
                <w:jc w:val="center"/>
              </w:trPr>
              <w:tc>
                <w:tcPr>
                  <w:tcW w:w="472" w:type="pct"/>
                  <w:vAlign w:val="center"/>
                </w:tcPr>
                <w:p>
                  <w:pPr>
                    <w:widowControl/>
                    <w:adjustRightInd w:val="0"/>
                    <w:snapToGrid w:val="0"/>
                    <w:jc w:val="center"/>
                    <w:rPr>
                      <w:b/>
                      <w:bCs/>
                      <w:kern w:val="0"/>
                      <w:szCs w:val="21"/>
                    </w:rPr>
                  </w:pPr>
                  <w:r>
                    <w:rPr>
                      <w:b/>
                      <w:bCs/>
                      <w:kern w:val="0"/>
                      <w:szCs w:val="21"/>
                    </w:rPr>
                    <w:t>监测项目</w:t>
                  </w:r>
                </w:p>
              </w:tc>
              <w:tc>
                <w:tcPr>
                  <w:tcW w:w="1351" w:type="pct"/>
                  <w:vAlign w:val="center"/>
                </w:tcPr>
                <w:p>
                  <w:pPr>
                    <w:widowControl/>
                    <w:adjustRightInd w:val="0"/>
                    <w:snapToGrid w:val="0"/>
                    <w:jc w:val="center"/>
                    <w:rPr>
                      <w:b/>
                      <w:bCs/>
                      <w:kern w:val="0"/>
                      <w:szCs w:val="21"/>
                    </w:rPr>
                  </w:pPr>
                  <w:r>
                    <w:rPr>
                      <w:b/>
                      <w:bCs/>
                      <w:kern w:val="0"/>
                      <w:szCs w:val="21"/>
                    </w:rPr>
                    <w:t>年评价指标</w:t>
                  </w:r>
                </w:p>
              </w:tc>
              <w:tc>
                <w:tcPr>
                  <w:tcW w:w="790" w:type="pct"/>
                  <w:vAlign w:val="center"/>
                </w:tcPr>
                <w:p>
                  <w:pPr>
                    <w:widowControl/>
                    <w:adjustRightInd w:val="0"/>
                    <w:snapToGrid w:val="0"/>
                    <w:jc w:val="center"/>
                    <w:rPr>
                      <w:b/>
                      <w:bCs/>
                      <w:kern w:val="0"/>
                      <w:szCs w:val="21"/>
                    </w:rPr>
                  </w:pPr>
                  <w:r>
                    <w:rPr>
                      <w:b/>
                      <w:bCs/>
                      <w:kern w:val="0"/>
                      <w:szCs w:val="21"/>
                    </w:rPr>
                    <w:t>现状浓度</w:t>
                  </w:r>
                </w:p>
                <w:p>
                  <w:pPr>
                    <w:widowControl/>
                    <w:adjustRightInd w:val="0"/>
                    <w:snapToGrid w:val="0"/>
                    <w:jc w:val="center"/>
                    <w:rPr>
                      <w:b/>
                      <w:bCs/>
                      <w:kern w:val="0"/>
                      <w:szCs w:val="21"/>
                    </w:rPr>
                  </w:pPr>
                  <w:r>
                    <w:rPr>
                      <w:b/>
                      <w:bCs/>
                      <w:kern w:val="0"/>
                      <w:szCs w:val="21"/>
                    </w:rPr>
                    <w:t>（μg/m</w:t>
                  </w:r>
                  <w:r>
                    <w:rPr>
                      <w:b/>
                      <w:bCs/>
                      <w:kern w:val="0"/>
                      <w:szCs w:val="21"/>
                      <w:vertAlign w:val="superscript"/>
                    </w:rPr>
                    <w:t>3</w:t>
                  </w:r>
                  <w:r>
                    <w:rPr>
                      <w:b/>
                      <w:bCs/>
                      <w:kern w:val="0"/>
                      <w:szCs w:val="21"/>
                    </w:rPr>
                    <w:t>）</w:t>
                  </w:r>
                </w:p>
              </w:tc>
              <w:tc>
                <w:tcPr>
                  <w:tcW w:w="790" w:type="pct"/>
                  <w:vAlign w:val="center"/>
                </w:tcPr>
                <w:p>
                  <w:pPr>
                    <w:widowControl/>
                    <w:adjustRightInd w:val="0"/>
                    <w:snapToGrid w:val="0"/>
                    <w:jc w:val="center"/>
                    <w:rPr>
                      <w:b/>
                      <w:bCs/>
                      <w:kern w:val="0"/>
                      <w:szCs w:val="21"/>
                    </w:rPr>
                  </w:pPr>
                  <w:r>
                    <w:rPr>
                      <w:b/>
                      <w:bCs/>
                      <w:kern w:val="0"/>
                      <w:szCs w:val="21"/>
                    </w:rPr>
                    <w:t>标准值</w:t>
                  </w:r>
                </w:p>
                <w:p>
                  <w:pPr>
                    <w:widowControl/>
                    <w:adjustRightInd w:val="0"/>
                    <w:snapToGrid w:val="0"/>
                    <w:jc w:val="center"/>
                    <w:rPr>
                      <w:b/>
                      <w:bCs/>
                      <w:kern w:val="0"/>
                      <w:szCs w:val="21"/>
                    </w:rPr>
                  </w:pPr>
                  <w:r>
                    <w:rPr>
                      <w:b/>
                      <w:bCs/>
                      <w:kern w:val="0"/>
                      <w:szCs w:val="21"/>
                    </w:rPr>
                    <w:t>（μg/m</w:t>
                  </w:r>
                  <w:r>
                    <w:rPr>
                      <w:b/>
                      <w:bCs/>
                      <w:kern w:val="0"/>
                      <w:szCs w:val="21"/>
                      <w:vertAlign w:val="superscript"/>
                    </w:rPr>
                    <w:t>3</w:t>
                  </w:r>
                  <w:r>
                    <w:rPr>
                      <w:b/>
                      <w:bCs/>
                      <w:kern w:val="0"/>
                      <w:szCs w:val="21"/>
                    </w:rPr>
                    <w:t>）</w:t>
                  </w:r>
                </w:p>
              </w:tc>
              <w:tc>
                <w:tcPr>
                  <w:tcW w:w="575" w:type="pct"/>
                  <w:vAlign w:val="center"/>
                </w:tcPr>
                <w:p>
                  <w:pPr>
                    <w:widowControl/>
                    <w:adjustRightInd w:val="0"/>
                    <w:snapToGrid w:val="0"/>
                    <w:jc w:val="center"/>
                    <w:rPr>
                      <w:b/>
                      <w:bCs/>
                      <w:kern w:val="0"/>
                      <w:szCs w:val="21"/>
                    </w:rPr>
                  </w:pPr>
                  <w:r>
                    <w:rPr>
                      <w:b/>
                      <w:bCs/>
                      <w:kern w:val="0"/>
                      <w:szCs w:val="21"/>
                    </w:rPr>
                    <w:t>占标率</w:t>
                  </w:r>
                </w:p>
                <w:p>
                  <w:pPr>
                    <w:widowControl/>
                    <w:adjustRightInd w:val="0"/>
                    <w:snapToGrid w:val="0"/>
                    <w:jc w:val="center"/>
                    <w:rPr>
                      <w:b/>
                      <w:bCs/>
                      <w:kern w:val="0"/>
                      <w:szCs w:val="21"/>
                    </w:rPr>
                  </w:pPr>
                  <w:r>
                    <w:rPr>
                      <w:b/>
                      <w:bCs/>
                      <w:kern w:val="0"/>
                      <w:szCs w:val="21"/>
                    </w:rPr>
                    <w:t>（%）</w:t>
                  </w:r>
                </w:p>
              </w:tc>
              <w:tc>
                <w:tcPr>
                  <w:tcW w:w="606" w:type="pct"/>
                  <w:vAlign w:val="center"/>
                </w:tcPr>
                <w:p>
                  <w:pPr>
                    <w:widowControl/>
                    <w:adjustRightInd w:val="0"/>
                    <w:snapToGrid w:val="0"/>
                    <w:jc w:val="center"/>
                    <w:rPr>
                      <w:b/>
                      <w:bCs/>
                      <w:kern w:val="0"/>
                      <w:szCs w:val="21"/>
                    </w:rPr>
                  </w:pPr>
                  <w:r>
                    <w:rPr>
                      <w:b/>
                      <w:bCs/>
                      <w:kern w:val="0"/>
                      <w:szCs w:val="21"/>
                    </w:rPr>
                    <w:t>超标率</w:t>
                  </w:r>
                </w:p>
                <w:p>
                  <w:pPr>
                    <w:widowControl/>
                    <w:adjustRightInd w:val="0"/>
                    <w:snapToGrid w:val="0"/>
                    <w:jc w:val="center"/>
                    <w:rPr>
                      <w:b/>
                      <w:bCs/>
                      <w:kern w:val="0"/>
                      <w:szCs w:val="21"/>
                    </w:rPr>
                  </w:pPr>
                  <w:r>
                    <w:rPr>
                      <w:b/>
                      <w:bCs/>
                      <w:kern w:val="0"/>
                      <w:szCs w:val="21"/>
                    </w:rPr>
                    <w:t>（%）</w:t>
                  </w:r>
                </w:p>
              </w:tc>
              <w:tc>
                <w:tcPr>
                  <w:tcW w:w="416" w:type="pct"/>
                  <w:vAlign w:val="center"/>
                </w:tcPr>
                <w:p>
                  <w:pPr>
                    <w:widowControl/>
                    <w:adjustRightInd w:val="0"/>
                    <w:snapToGrid w:val="0"/>
                    <w:jc w:val="center"/>
                    <w:rPr>
                      <w:b/>
                      <w:bCs/>
                      <w:kern w:val="0"/>
                      <w:szCs w:val="21"/>
                    </w:rPr>
                  </w:pPr>
                  <w:r>
                    <w:rPr>
                      <w:b/>
                      <w:bCs/>
                      <w:kern w:val="0"/>
                      <w:szCs w:val="21"/>
                    </w:rPr>
                    <w:t>达标</w:t>
                  </w:r>
                </w:p>
                <w:p>
                  <w:pPr>
                    <w:widowControl/>
                    <w:adjustRightInd w:val="0"/>
                    <w:snapToGrid w:val="0"/>
                    <w:jc w:val="center"/>
                    <w:rPr>
                      <w:b/>
                      <w:bCs/>
                      <w:kern w:val="0"/>
                      <w:szCs w:val="21"/>
                    </w:rPr>
                  </w:pPr>
                  <w:r>
                    <w:rPr>
                      <w:b/>
                      <w:bCs/>
                      <w:kern w:val="0"/>
                      <w:szCs w:val="21"/>
                    </w:rPr>
                    <w:t>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72" w:type="pct"/>
                  <w:vAlign w:val="center"/>
                </w:tcPr>
                <w:p>
                  <w:pPr>
                    <w:widowControl/>
                    <w:adjustRightInd w:val="0"/>
                    <w:snapToGrid w:val="0"/>
                    <w:jc w:val="center"/>
                    <w:rPr>
                      <w:kern w:val="0"/>
                      <w:szCs w:val="21"/>
                    </w:rPr>
                  </w:pPr>
                  <w:r>
                    <w:rPr>
                      <w:kern w:val="0"/>
                      <w:szCs w:val="21"/>
                    </w:rPr>
                    <w:t>SO</w:t>
                  </w:r>
                  <w:r>
                    <w:rPr>
                      <w:kern w:val="0"/>
                      <w:szCs w:val="21"/>
                      <w:vertAlign w:val="subscript"/>
                    </w:rPr>
                    <w:t>2</w:t>
                  </w:r>
                </w:p>
              </w:tc>
              <w:tc>
                <w:tcPr>
                  <w:tcW w:w="1351" w:type="pct"/>
                  <w:vAlign w:val="center"/>
                </w:tcPr>
                <w:p>
                  <w:pPr>
                    <w:widowControl/>
                    <w:adjustRightInd w:val="0"/>
                    <w:snapToGrid w:val="0"/>
                    <w:jc w:val="center"/>
                    <w:rPr>
                      <w:kern w:val="0"/>
                      <w:szCs w:val="21"/>
                    </w:rPr>
                  </w:pPr>
                  <w:r>
                    <w:rPr>
                      <w:kern w:val="0"/>
                      <w:szCs w:val="21"/>
                    </w:rPr>
                    <w:t>年平均质量浓度</w:t>
                  </w:r>
                </w:p>
              </w:tc>
              <w:tc>
                <w:tcPr>
                  <w:tcW w:w="790" w:type="pct"/>
                  <w:vAlign w:val="center"/>
                </w:tcPr>
                <w:p>
                  <w:pPr>
                    <w:widowControl/>
                    <w:adjustRightInd w:val="0"/>
                    <w:snapToGrid w:val="0"/>
                    <w:jc w:val="center"/>
                    <w:rPr>
                      <w:kern w:val="0"/>
                      <w:szCs w:val="21"/>
                    </w:rPr>
                  </w:pPr>
                  <w:r>
                    <w:rPr>
                      <w:rFonts w:hint="eastAsia"/>
                      <w:kern w:val="0"/>
                      <w:szCs w:val="21"/>
                    </w:rPr>
                    <w:t>1</w:t>
                  </w:r>
                  <w:r>
                    <w:rPr>
                      <w:kern w:val="0"/>
                      <w:szCs w:val="21"/>
                    </w:rPr>
                    <w:t>0</w:t>
                  </w:r>
                </w:p>
              </w:tc>
              <w:tc>
                <w:tcPr>
                  <w:tcW w:w="790" w:type="pct"/>
                  <w:vAlign w:val="center"/>
                </w:tcPr>
                <w:p>
                  <w:pPr>
                    <w:widowControl/>
                    <w:adjustRightInd w:val="0"/>
                    <w:snapToGrid w:val="0"/>
                    <w:jc w:val="center"/>
                    <w:rPr>
                      <w:kern w:val="0"/>
                      <w:szCs w:val="21"/>
                    </w:rPr>
                  </w:pPr>
                  <w:r>
                    <w:rPr>
                      <w:kern w:val="0"/>
                      <w:szCs w:val="21"/>
                    </w:rPr>
                    <w:t>60</w:t>
                  </w:r>
                </w:p>
              </w:tc>
              <w:tc>
                <w:tcPr>
                  <w:tcW w:w="575" w:type="pct"/>
                  <w:vAlign w:val="center"/>
                </w:tcPr>
                <w:p>
                  <w:pPr>
                    <w:widowControl/>
                    <w:adjustRightInd w:val="0"/>
                    <w:snapToGrid w:val="0"/>
                    <w:jc w:val="center"/>
                    <w:rPr>
                      <w:kern w:val="0"/>
                      <w:szCs w:val="21"/>
                    </w:rPr>
                  </w:pPr>
                  <w:r>
                    <w:rPr>
                      <w:rFonts w:hint="eastAsia"/>
                      <w:kern w:val="0"/>
                      <w:szCs w:val="21"/>
                    </w:rPr>
                    <w:t>16.7</w:t>
                  </w:r>
                </w:p>
              </w:tc>
              <w:tc>
                <w:tcPr>
                  <w:tcW w:w="606" w:type="pct"/>
                  <w:vAlign w:val="center"/>
                </w:tcPr>
                <w:p>
                  <w:pPr>
                    <w:widowControl/>
                    <w:adjustRightInd w:val="0"/>
                    <w:snapToGrid w:val="0"/>
                    <w:jc w:val="center"/>
                    <w:rPr>
                      <w:kern w:val="0"/>
                      <w:szCs w:val="21"/>
                    </w:rPr>
                  </w:pPr>
                  <w:r>
                    <w:rPr>
                      <w:kern w:val="0"/>
                      <w:szCs w:val="21"/>
                    </w:rPr>
                    <w:t>/</w:t>
                  </w:r>
                </w:p>
              </w:tc>
              <w:tc>
                <w:tcPr>
                  <w:tcW w:w="416" w:type="pct"/>
                  <w:vAlign w:val="center"/>
                </w:tcPr>
                <w:p>
                  <w:pPr>
                    <w:widowControl/>
                    <w:adjustRightInd w:val="0"/>
                    <w:snapToGrid w:val="0"/>
                    <w:jc w:val="center"/>
                    <w:rPr>
                      <w:kern w:val="0"/>
                      <w:szCs w:val="21"/>
                    </w:rPr>
                  </w:pPr>
                  <w:r>
                    <w:rPr>
                      <w:kern w:val="0"/>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72" w:type="pct"/>
                  <w:vAlign w:val="center"/>
                </w:tcPr>
                <w:p>
                  <w:pPr>
                    <w:widowControl/>
                    <w:adjustRightInd w:val="0"/>
                    <w:snapToGrid w:val="0"/>
                    <w:jc w:val="center"/>
                    <w:rPr>
                      <w:kern w:val="0"/>
                      <w:szCs w:val="21"/>
                    </w:rPr>
                  </w:pPr>
                  <w:r>
                    <w:rPr>
                      <w:kern w:val="0"/>
                      <w:szCs w:val="21"/>
                    </w:rPr>
                    <w:t>NO</w:t>
                  </w:r>
                  <w:r>
                    <w:rPr>
                      <w:kern w:val="0"/>
                      <w:szCs w:val="21"/>
                      <w:vertAlign w:val="subscript"/>
                    </w:rPr>
                    <w:t>2</w:t>
                  </w:r>
                </w:p>
              </w:tc>
              <w:tc>
                <w:tcPr>
                  <w:tcW w:w="1351" w:type="pct"/>
                  <w:vAlign w:val="center"/>
                </w:tcPr>
                <w:p>
                  <w:pPr>
                    <w:widowControl/>
                    <w:adjustRightInd w:val="0"/>
                    <w:snapToGrid w:val="0"/>
                    <w:jc w:val="center"/>
                    <w:rPr>
                      <w:kern w:val="0"/>
                      <w:szCs w:val="21"/>
                    </w:rPr>
                  </w:pPr>
                  <w:r>
                    <w:rPr>
                      <w:kern w:val="0"/>
                      <w:szCs w:val="21"/>
                    </w:rPr>
                    <w:t>年平均质量浓度</w:t>
                  </w:r>
                </w:p>
              </w:tc>
              <w:tc>
                <w:tcPr>
                  <w:tcW w:w="790" w:type="pct"/>
                  <w:vAlign w:val="center"/>
                </w:tcPr>
                <w:p>
                  <w:pPr>
                    <w:widowControl/>
                    <w:adjustRightInd w:val="0"/>
                    <w:snapToGrid w:val="0"/>
                    <w:jc w:val="center"/>
                    <w:rPr>
                      <w:kern w:val="0"/>
                      <w:szCs w:val="21"/>
                    </w:rPr>
                  </w:pPr>
                  <w:r>
                    <w:rPr>
                      <w:rFonts w:hint="eastAsia"/>
                      <w:kern w:val="0"/>
                      <w:szCs w:val="21"/>
                    </w:rPr>
                    <w:t>2</w:t>
                  </w:r>
                  <w:r>
                    <w:rPr>
                      <w:kern w:val="0"/>
                      <w:szCs w:val="21"/>
                    </w:rPr>
                    <w:t>3</w:t>
                  </w:r>
                </w:p>
              </w:tc>
              <w:tc>
                <w:tcPr>
                  <w:tcW w:w="790" w:type="pct"/>
                  <w:vAlign w:val="center"/>
                </w:tcPr>
                <w:p>
                  <w:pPr>
                    <w:widowControl/>
                    <w:adjustRightInd w:val="0"/>
                    <w:snapToGrid w:val="0"/>
                    <w:jc w:val="center"/>
                    <w:rPr>
                      <w:kern w:val="0"/>
                      <w:szCs w:val="21"/>
                    </w:rPr>
                  </w:pPr>
                  <w:r>
                    <w:rPr>
                      <w:kern w:val="0"/>
                      <w:szCs w:val="21"/>
                    </w:rPr>
                    <w:t>40</w:t>
                  </w:r>
                </w:p>
              </w:tc>
              <w:tc>
                <w:tcPr>
                  <w:tcW w:w="575" w:type="pct"/>
                  <w:vAlign w:val="center"/>
                </w:tcPr>
                <w:p>
                  <w:pPr>
                    <w:widowControl/>
                    <w:adjustRightInd w:val="0"/>
                    <w:snapToGrid w:val="0"/>
                    <w:jc w:val="center"/>
                    <w:rPr>
                      <w:kern w:val="0"/>
                      <w:szCs w:val="21"/>
                    </w:rPr>
                  </w:pPr>
                  <w:r>
                    <w:rPr>
                      <w:rFonts w:hint="eastAsia"/>
                      <w:kern w:val="0"/>
                      <w:szCs w:val="21"/>
                    </w:rPr>
                    <w:t>57.5</w:t>
                  </w:r>
                </w:p>
              </w:tc>
              <w:tc>
                <w:tcPr>
                  <w:tcW w:w="606" w:type="pct"/>
                  <w:vAlign w:val="center"/>
                </w:tcPr>
                <w:p>
                  <w:pPr>
                    <w:widowControl/>
                    <w:adjustRightInd w:val="0"/>
                    <w:snapToGrid w:val="0"/>
                    <w:jc w:val="center"/>
                    <w:rPr>
                      <w:kern w:val="0"/>
                      <w:szCs w:val="21"/>
                    </w:rPr>
                  </w:pPr>
                  <w:r>
                    <w:rPr>
                      <w:kern w:val="0"/>
                      <w:szCs w:val="21"/>
                    </w:rPr>
                    <w:t>/</w:t>
                  </w:r>
                </w:p>
              </w:tc>
              <w:tc>
                <w:tcPr>
                  <w:tcW w:w="416" w:type="pct"/>
                  <w:vAlign w:val="center"/>
                </w:tcPr>
                <w:p>
                  <w:pPr>
                    <w:widowControl/>
                    <w:adjustRightInd w:val="0"/>
                    <w:snapToGrid w:val="0"/>
                    <w:jc w:val="center"/>
                    <w:rPr>
                      <w:kern w:val="0"/>
                      <w:szCs w:val="21"/>
                    </w:rPr>
                  </w:pPr>
                  <w:r>
                    <w:rPr>
                      <w:kern w:val="0"/>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72" w:type="pct"/>
                  <w:vAlign w:val="center"/>
                </w:tcPr>
                <w:p>
                  <w:pPr>
                    <w:widowControl/>
                    <w:adjustRightInd w:val="0"/>
                    <w:snapToGrid w:val="0"/>
                    <w:jc w:val="center"/>
                    <w:rPr>
                      <w:kern w:val="0"/>
                      <w:szCs w:val="21"/>
                    </w:rPr>
                  </w:pPr>
                  <w:r>
                    <w:rPr>
                      <w:kern w:val="0"/>
                      <w:szCs w:val="21"/>
                    </w:rPr>
                    <w:t>PM</w:t>
                  </w:r>
                  <w:r>
                    <w:rPr>
                      <w:kern w:val="0"/>
                      <w:szCs w:val="21"/>
                      <w:vertAlign w:val="subscript"/>
                    </w:rPr>
                    <w:t>10</w:t>
                  </w:r>
                </w:p>
              </w:tc>
              <w:tc>
                <w:tcPr>
                  <w:tcW w:w="1351" w:type="pct"/>
                  <w:vAlign w:val="center"/>
                </w:tcPr>
                <w:p>
                  <w:pPr>
                    <w:widowControl/>
                    <w:adjustRightInd w:val="0"/>
                    <w:snapToGrid w:val="0"/>
                    <w:jc w:val="center"/>
                    <w:rPr>
                      <w:kern w:val="0"/>
                      <w:szCs w:val="21"/>
                    </w:rPr>
                  </w:pPr>
                  <w:r>
                    <w:rPr>
                      <w:kern w:val="0"/>
                      <w:szCs w:val="21"/>
                    </w:rPr>
                    <w:t>年平均质量浓度</w:t>
                  </w:r>
                </w:p>
              </w:tc>
              <w:tc>
                <w:tcPr>
                  <w:tcW w:w="790" w:type="pct"/>
                  <w:vAlign w:val="center"/>
                </w:tcPr>
                <w:p>
                  <w:pPr>
                    <w:widowControl/>
                    <w:adjustRightInd w:val="0"/>
                    <w:snapToGrid w:val="0"/>
                    <w:jc w:val="center"/>
                    <w:rPr>
                      <w:kern w:val="0"/>
                      <w:szCs w:val="21"/>
                    </w:rPr>
                  </w:pPr>
                  <w:r>
                    <w:rPr>
                      <w:rFonts w:hint="eastAsia"/>
                      <w:kern w:val="0"/>
                      <w:szCs w:val="21"/>
                    </w:rPr>
                    <w:t>5</w:t>
                  </w:r>
                  <w:r>
                    <w:rPr>
                      <w:kern w:val="0"/>
                      <w:szCs w:val="21"/>
                    </w:rPr>
                    <w:t>1</w:t>
                  </w:r>
                </w:p>
              </w:tc>
              <w:tc>
                <w:tcPr>
                  <w:tcW w:w="790" w:type="pct"/>
                  <w:vAlign w:val="center"/>
                </w:tcPr>
                <w:p>
                  <w:pPr>
                    <w:widowControl/>
                    <w:adjustRightInd w:val="0"/>
                    <w:snapToGrid w:val="0"/>
                    <w:jc w:val="center"/>
                    <w:rPr>
                      <w:kern w:val="0"/>
                      <w:szCs w:val="21"/>
                    </w:rPr>
                  </w:pPr>
                  <w:r>
                    <w:rPr>
                      <w:kern w:val="0"/>
                      <w:szCs w:val="21"/>
                    </w:rPr>
                    <w:t>70</w:t>
                  </w:r>
                </w:p>
              </w:tc>
              <w:tc>
                <w:tcPr>
                  <w:tcW w:w="575" w:type="pct"/>
                  <w:vAlign w:val="center"/>
                </w:tcPr>
                <w:p>
                  <w:pPr>
                    <w:widowControl/>
                    <w:adjustRightInd w:val="0"/>
                    <w:snapToGrid w:val="0"/>
                    <w:jc w:val="center"/>
                    <w:rPr>
                      <w:kern w:val="0"/>
                      <w:szCs w:val="21"/>
                    </w:rPr>
                  </w:pPr>
                  <w:r>
                    <w:rPr>
                      <w:rFonts w:hint="eastAsia"/>
                      <w:kern w:val="0"/>
                      <w:szCs w:val="21"/>
                    </w:rPr>
                    <w:t>72.9</w:t>
                  </w:r>
                </w:p>
              </w:tc>
              <w:tc>
                <w:tcPr>
                  <w:tcW w:w="606" w:type="pct"/>
                  <w:vAlign w:val="center"/>
                </w:tcPr>
                <w:p>
                  <w:pPr>
                    <w:widowControl/>
                    <w:adjustRightInd w:val="0"/>
                    <w:snapToGrid w:val="0"/>
                    <w:jc w:val="center"/>
                    <w:rPr>
                      <w:kern w:val="0"/>
                      <w:szCs w:val="21"/>
                    </w:rPr>
                  </w:pPr>
                  <w:r>
                    <w:rPr>
                      <w:kern w:val="0"/>
                      <w:szCs w:val="21"/>
                    </w:rPr>
                    <w:t>/</w:t>
                  </w:r>
                </w:p>
              </w:tc>
              <w:tc>
                <w:tcPr>
                  <w:tcW w:w="416" w:type="pct"/>
                  <w:vAlign w:val="center"/>
                </w:tcPr>
                <w:p>
                  <w:pPr>
                    <w:widowControl/>
                    <w:adjustRightInd w:val="0"/>
                    <w:snapToGrid w:val="0"/>
                    <w:jc w:val="center"/>
                    <w:rPr>
                      <w:kern w:val="0"/>
                      <w:szCs w:val="21"/>
                    </w:rPr>
                  </w:pPr>
                  <w:r>
                    <w:rPr>
                      <w:kern w:val="0"/>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72" w:type="pct"/>
                  <w:vAlign w:val="center"/>
                </w:tcPr>
                <w:p>
                  <w:pPr>
                    <w:widowControl/>
                    <w:adjustRightInd w:val="0"/>
                    <w:snapToGrid w:val="0"/>
                    <w:jc w:val="center"/>
                    <w:rPr>
                      <w:kern w:val="0"/>
                      <w:szCs w:val="21"/>
                    </w:rPr>
                  </w:pPr>
                  <w:r>
                    <w:rPr>
                      <w:kern w:val="0"/>
                      <w:szCs w:val="21"/>
                    </w:rPr>
                    <w:t>PM</w:t>
                  </w:r>
                  <w:r>
                    <w:rPr>
                      <w:kern w:val="0"/>
                      <w:szCs w:val="21"/>
                      <w:vertAlign w:val="subscript"/>
                    </w:rPr>
                    <w:t>2.5</w:t>
                  </w:r>
                </w:p>
              </w:tc>
              <w:tc>
                <w:tcPr>
                  <w:tcW w:w="1351" w:type="pct"/>
                  <w:vAlign w:val="center"/>
                </w:tcPr>
                <w:p>
                  <w:pPr>
                    <w:widowControl/>
                    <w:adjustRightInd w:val="0"/>
                    <w:snapToGrid w:val="0"/>
                    <w:jc w:val="center"/>
                    <w:rPr>
                      <w:kern w:val="0"/>
                      <w:szCs w:val="21"/>
                    </w:rPr>
                  </w:pPr>
                  <w:r>
                    <w:rPr>
                      <w:kern w:val="0"/>
                      <w:szCs w:val="21"/>
                    </w:rPr>
                    <w:t>年平均质量浓度</w:t>
                  </w:r>
                </w:p>
              </w:tc>
              <w:tc>
                <w:tcPr>
                  <w:tcW w:w="790" w:type="pct"/>
                  <w:vAlign w:val="center"/>
                </w:tcPr>
                <w:p>
                  <w:pPr>
                    <w:widowControl/>
                    <w:adjustRightInd w:val="0"/>
                    <w:snapToGrid w:val="0"/>
                    <w:jc w:val="center"/>
                    <w:rPr>
                      <w:kern w:val="0"/>
                      <w:szCs w:val="21"/>
                    </w:rPr>
                  </w:pPr>
                  <w:r>
                    <w:rPr>
                      <w:rFonts w:hint="eastAsia"/>
                      <w:kern w:val="0"/>
                      <w:szCs w:val="21"/>
                    </w:rPr>
                    <w:t>2</w:t>
                  </w:r>
                  <w:r>
                    <w:rPr>
                      <w:kern w:val="0"/>
                      <w:szCs w:val="21"/>
                    </w:rPr>
                    <w:t>0</w:t>
                  </w:r>
                </w:p>
              </w:tc>
              <w:tc>
                <w:tcPr>
                  <w:tcW w:w="790" w:type="pct"/>
                  <w:vAlign w:val="center"/>
                </w:tcPr>
                <w:p>
                  <w:pPr>
                    <w:widowControl/>
                    <w:adjustRightInd w:val="0"/>
                    <w:snapToGrid w:val="0"/>
                    <w:jc w:val="center"/>
                    <w:rPr>
                      <w:kern w:val="0"/>
                      <w:szCs w:val="21"/>
                    </w:rPr>
                  </w:pPr>
                  <w:r>
                    <w:rPr>
                      <w:kern w:val="0"/>
                      <w:szCs w:val="21"/>
                    </w:rPr>
                    <w:t>35</w:t>
                  </w:r>
                </w:p>
              </w:tc>
              <w:tc>
                <w:tcPr>
                  <w:tcW w:w="575" w:type="pct"/>
                  <w:vAlign w:val="center"/>
                </w:tcPr>
                <w:p>
                  <w:pPr>
                    <w:widowControl/>
                    <w:adjustRightInd w:val="0"/>
                    <w:snapToGrid w:val="0"/>
                    <w:jc w:val="center"/>
                    <w:rPr>
                      <w:kern w:val="0"/>
                      <w:szCs w:val="21"/>
                    </w:rPr>
                  </w:pPr>
                  <w:r>
                    <w:rPr>
                      <w:rFonts w:hint="eastAsia"/>
                      <w:kern w:val="0"/>
                      <w:szCs w:val="21"/>
                    </w:rPr>
                    <w:t>57.1</w:t>
                  </w:r>
                </w:p>
              </w:tc>
              <w:tc>
                <w:tcPr>
                  <w:tcW w:w="606" w:type="pct"/>
                  <w:vAlign w:val="center"/>
                </w:tcPr>
                <w:p>
                  <w:pPr>
                    <w:widowControl/>
                    <w:adjustRightInd w:val="0"/>
                    <w:snapToGrid w:val="0"/>
                    <w:jc w:val="center"/>
                    <w:rPr>
                      <w:kern w:val="0"/>
                      <w:szCs w:val="21"/>
                    </w:rPr>
                  </w:pPr>
                  <w:r>
                    <w:rPr>
                      <w:kern w:val="0"/>
                      <w:szCs w:val="21"/>
                    </w:rPr>
                    <w:t>/</w:t>
                  </w:r>
                </w:p>
              </w:tc>
              <w:tc>
                <w:tcPr>
                  <w:tcW w:w="416" w:type="pct"/>
                  <w:vAlign w:val="center"/>
                </w:tcPr>
                <w:p>
                  <w:pPr>
                    <w:widowControl/>
                    <w:adjustRightInd w:val="0"/>
                    <w:snapToGrid w:val="0"/>
                    <w:jc w:val="center"/>
                    <w:rPr>
                      <w:kern w:val="0"/>
                      <w:szCs w:val="21"/>
                    </w:rPr>
                  </w:pPr>
                  <w:r>
                    <w:rPr>
                      <w:kern w:val="0"/>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exact"/>
                <w:jc w:val="center"/>
              </w:trPr>
              <w:tc>
                <w:tcPr>
                  <w:tcW w:w="472" w:type="pct"/>
                  <w:vAlign w:val="center"/>
                </w:tcPr>
                <w:p>
                  <w:pPr>
                    <w:widowControl/>
                    <w:adjustRightInd w:val="0"/>
                    <w:snapToGrid w:val="0"/>
                    <w:jc w:val="center"/>
                    <w:rPr>
                      <w:kern w:val="0"/>
                      <w:szCs w:val="21"/>
                    </w:rPr>
                  </w:pPr>
                  <w:r>
                    <w:rPr>
                      <w:kern w:val="0"/>
                      <w:szCs w:val="21"/>
                    </w:rPr>
                    <w:t>CO</w:t>
                  </w:r>
                </w:p>
              </w:tc>
              <w:tc>
                <w:tcPr>
                  <w:tcW w:w="1351" w:type="pct"/>
                  <w:vAlign w:val="center"/>
                </w:tcPr>
                <w:p>
                  <w:pPr>
                    <w:widowControl/>
                    <w:adjustRightInd w:val="0"/>
                    <w:snapToGrid w:val="0"/>
                    <w:jc w:val="center"/>
                    <w:rPr>
                      <w:kern w:val="0"/>
                      <w:szCs w:val="21"/>
                    </w:rPr>
                  </w:pPr>
                  <w:r>
                    <w:rPr>
                      <w:kern w:val="0"/>
                      <w:szCs w:val="21"/>
                    </w:rPr>
                    <w:t>24小时平均第95百分位数</w:t>
                  </w:r>
                </w:p>
              </w:tc>
              <w:tc>
                <w:tcPr>
                  <w:tcW w:w="790" w:type="pct"/>
                  <w:vAlign w:val="center"/>
                </w:tcPr>
                <w:p>
                  <w:pPr>
                    <w:widowControl/>
                    <w:adjustRightInd w:val="0"/>
                    <w:snapToGrid w:val="0"/>
                    <w:jc w:val="center"/>
                    <w:rPr>
                      <w:kern w:val="0"/>
                      <w:szCs w:val="21"/>
                    </w:rPr>
                  </w:pPr>
                  <w:r>
                    <w:rPr>
                      <w:rFonts w:hint="eastAsia"/>
                      <w:kern w:val="0"/>
                      <w:szCs w:val="21"/>
                    </w:rPr>
                    <w:t>9</w:t>
                  </w:r>
                  <w:r>
                    <w:rPr>
                      <w:kern w:val="0"/>
                      <w:szCs w:val="21"/>
                    </w:rPr>
                    <w:t>00</w:t>
                  </w:r>
                </w:p>
              </w:tc>
              <w:tc>
                <w:tcPr>
                  <w:tcW w:w="790" w:type="pct"/>
                  <w:vAlign w:val="center"/>
                </w:tcPr>
                <w:p>
                  <w:pPr>
                    <w:widowControl/>
                    <w:adjustRightInd w:val="0"/>
                    <w:snapToGrid w:val="0"/>
                    <w:jc w:val="center"/>
                    <w:rPr>
                      <w:kern w:val="0"/>
                      <w:szCs w:val="21"/>
                    </w:rPr>
                  </w:pPr>
                  <w:r>
                    <w:rPr>
                      <w:kern w:val="0"/>
                      <w:szCs w:val="21"/>
                    </w:rPr>
                    <w:t>4000</w:t>
                  </w:r>
                </w:p>
              </w:tc>
              <w:tc>
                <w:tcPr>
                  <w:tcW w:w="575" w:type="pct"/>
                  <w:vAlign w:val="center"/>
                </w:tcPr>
                <w:p>
                  <w:pPr>
                    <w:widowControl/>
                    <w:adjustRightInd w:val="0"/>
                    <w:snapToGrid w:val="0"/>
                    <w:jc w:val="center"/>
                    <w:rPr>
                      <w:kern w:val="0"/>
                      <w:szCs w:val="21"/>
                    </w:rPr>
                  </w:pPr>
                  <w:r>
                    <w:rPr>
                      <w:rFonts w:hint="eastAsia"/>
                      <w:kern w:val="0"/>
                      <w:szCs w:val="21"/>
                    </w:rPr>
                    <w:t>22.5</w:t>
                  </w:r>
                </w:p>
              </w:tc>
              <w:tc>
                <w:tcPr>
                  <w:tcW w:w="606" w:type="pct"/>
                  <w:vAlign w:val="center"/>
                </w:tcPr>
                <w:p>
                  <w:pPr>
                    <w:widowControl/>
                    <w:adjustRightInd w:val="0"/>
                    <w:snapToGrid w:val="0"/>
                    <w:jc w:val="center"/>
                    <w:rPr>
                      <w:kern w:val="0"/>
                      <w:szCs w:val="21"/>
                    </w:rPr>
                  </w:pPr>
                  <w:r>
                    <w:rPr>
                      <w:kern w:val="0"/>
                      <w:szCs w:val="21"/>
                    </w:rPr>
                    <w:t>/</w:t>
                  </w:r>
                </w:p>
              </w:tc>
              <w:tc>
                <w:tcPr>
                  <w:tcW w:w="416" w:type="pct"/>
                  <w:vAlign w:val="center"/>
                </w:tcPr>
                <w:p>
                  <w:pPr>
                    <w:widowControl/>
                    <w:adjustRightInd w:val="0"/>
                    <w:snapToGrid w:val="0"/>
                    <w:jc w:val="center"/>
                    <w:rPr>
                      <w:kern w:val="0"/>
                      <w:szCs w:val="21"/>
                    </w:rPr>
                  </w:pPr>
                  <w:r>
                    <w:rPr>
                      <w:kern w:val="0"/>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exact"/>
                <w:jc w:val="center"/>
              </w:trPr>
              <w:tc>
                <w:tcPr>
                  <w:tcW w:w="472" w:type="pct"/>
                  <w:vAlign w:val="center"/>
                </w:tcPr>
                <w:p>
                  <w:pPr>
                    <w:widowControl/>
                    <w:adjustRightInd w:val="0"/>
                    <w:snapToGrid w:val="0"/>
                    <w:jc w:val="center"/>
                    <w:rPr>
                      <w:kern w:val="0"/>
                      <w:szCs w:val="21"/>
                    </w:rPr>
                  </w:pPr>
                  <w:r>
                    <w:rPr>
                      <w:kern w:val="0"/>
                      <w:szCs w:val="21"/>
                    </w:rPr>
                    <w:t>O</w:t>
                  </w:r>
                  <w:r>
                    <w:rPr>
                      <w:kern w:val="0"/>
                      <w:szCs w:val="21"/>
                      <w:vertAlign w:val="subscript"/>
                    </w:rPr>
                    <w:t>3</w:t>
                  </w:r>
                </w:p>
              </w:tc>
              <w:tc>
                <w:tcPr>
                  <w:tcW w:w="1351" w:type="pct"/>
                  <w:vAlign w:val="center"/>
                </w:tcPr>
                <w:p>
                  <w:pPr>
                    <w:widowControl/>
                    <w:adjustRightInd w:val="0"/>
                    <w:snapToGrid w:val="0"/>
                    <w:jc w:val="center"/>
                    <w:rPr>
                      <w:kern w:val="0"/>
                      <w:szCs w:val="21"/>
                    </w:rPr>
                  </w:pPr>
                  <w:r>
                    <w:rPr>
                      <w:kern w:val="0"/>
                      <w:szCs w:val="21"/>
                    </w:rPr>
                    <w:t>日最大8小时平均第90百分位数</w:t>
                  </w:r>
                </w:p>
              </w:tc>
              <w:tc>
                <w:tcPr>
                  <w:tcW w:w="790" w:type="pct"/>
                  <w:vAlign w:val="center"/>
                </w:tcPr>
                <w:p>
                  <w:pPr>
                    <w:widowControl/>
                    <w:adjustRightInd w:val="0"/>
                    <w:snapToGrid w:val="0"/>
                    <w:jc w:val="center"/>
                    <w:rPr>
                      <w:kern w:val="0"/>
                      <w:szCs w:val="21"/>
                    </w:rPr>
                  </w:pPr>
                  <w:r>
                    <w:rPr>
                      <w:rFonts w:hint="eastAsia"/>
                      <w:kern w:val="0"/>
                      <w:szCs w:val="21"/>
                    </w:rPr>
                    <w:t>1</w:t>
                  </w:r>
                  <w:r>
                    <w:rPr>
                      <w:kern w:val="0"/>
                      <w:szCs w:val="21"/>
                    </w:rPr>
                    <w:t>48</w:t>
                  </w:r>
                </w:p>
              </w:tc>
              <w:tc>
                <w:tcPr>
                  <w:tcW w:w="790" w:type="pct"/>
                  <w:vAlign w:val="center"/>
                </w:tcPr>
                <w:p>
                  <w:pPr>
                    <w:widowControl/>
                    <w:adjustRightInd w:val="0"/>
                    <w:snapToGrid w:val="0"/>
                    <w:jc w:val="center"/>
                    <w:rPr>
                      <w:kern w:val="0"/>
                      <w:szCs w:val="21"/>
                    </w:rPr>
                  </w:pPr>
                  <w:r>
                    <w:rPr>
                      <w:kern w:val="0"/>
                      <w:szCs w:val="21"/>
                    </w:rPr>
                    <w:t>160</w:t>
                  </w:r>
                </w:p>
              </w:tc>
              <w:tc>
                <w:tcPr>
                  <w:tcW w:w="575" w:type="pct"/>
                  <w:vAlign w:val="center"/>
                </w:tcPr>
                <w:p>
                  <w:pPr>
                    <w:widowControl/>
                    <w:adjustRightInd w:val="0"/>
                    <w:snapToGrid w:val="0"/>
                    <w:jc w:val="center"/>
                    <w:rPr>
                      <w:kern w:val="0"/>
                      <w:szCs w:val="21"/>
                    </w:rPr>
                  </w:pPr>
                  <w:r>
                    <w:rPr>
                      <w:rFonts w:hint="eastAsia"/>
                      <w:kern w:val="0"/>
                      <w:szCs w:val="21"/>
                    </w:rPr>
                    <w:t>92.5</w:t>
                  </w:r>
                </w:p>
              </w:tc>
              <w:tc>
                <w:tcPr>
                  <w:tcW w:w="606" w:type="pct"/>
                  <w:vAlign w:val="center"/>
                </w:tcPr>
                <w:p>
                  <w:pPr>
                    <w:widowControl/>
                    <w:adjustRightInd w:val="0"/>
                    <w:snapToGrid w:val="0"/>
                    <w:jc w:val="center"/>
                    <w:rPr>
                      <w:kern w:val="0"/>
                      <w:szCs w:val="21"/>
                    </w:rPr>
                  </w:pPr>
                  <w:r>
                    <w:rPr>
                      <w:kern w:val="0"/>
                      <w:szCs w:val="21"/>
                    </w:rPr>
                    <w:t>/</w:t>
                  </w:r>
                </w:p>
              </w:tc>
              <w:tc>
                <w:tcPr>
                  <w:tcW w:w="416" w:type="pct"/>
                  <w:vAlign w:val="center"/>
                </w:tcPr>
                <w:p>
                  <w:pPr>
                    <w:widowControl/>
                    <w:adjustRightInd w:val="0"/>
                    <w:snapToGrid w:val="0"/>
                    <w:jc w:val="center"/>
                    <w:rPr>
                      <w:kern w:val="0"/>
                      <w:szCs w:val="21"/>
                    </w:rPr>
                  </w:pPr>
                  <w:r>
                    <w:rPr>
                      <w:kern w:val="0"/>
                      <w:szCs w:val="21"/>
                    </w:rPr>
                    <w:t>达标</w:t>
                  </w:r>
                </w:p>
              </w:tc>
            </w:tr>
          </w:tbl>
          <w:p>
            <w:pPr>
              <w:widowControl/>
              <w:spacing w:line="360" w:lineRule="auto"/>
              <w:ind w:firstLine="480" w:firstLineChars="200"/>
              <w:jc w:val="left"/>
              <w:rPr>
                <w:kern w:val="0"/>
                <w:sz w:val="24"/>
              </w:rPr>
            </w:pPr>
            <w:r>
              <w:rPr>
                <w:kern w:val="0"/>
                <w:sz w:val="24"/>
              </w:rPr>
              <w:t>根据《2022年内蒙古自治区生态环境状况公报》（内蒙古自治区生态环境厅，2023年6月5日）发布全区环境空气质量状况，鄂尔多斯市的2022年环境空气质量达标。</w:t>
            </w:r>
          </w:p>
          <w:p>
            <w:pPr>
              <w:adjustRightInd w:val="0"/>
              <w:snapToGrid w:val="0"/>
              <w:spacing w:line="360" w:lineRule="auto"/>
              <w:ind w:firstLine="480" w:firstLineChars="200"/>
              <w:rPr>
                <w:bCs/>
                <w:sz w:val="24"/>
              </w:rPr>
            </w:pPr>
            <w:r>
              <w:rPr>
                <w:kern w:val="0"/>
                <w:sz w:val="24"/>
              </w:rPr>
              <w:t>项目所在区域为达标区域</w:t>
            </w:r>
            <w:r>
              <w:rPr>
                <w:rFonts w:hint="eastAsia"/>
                <w:bCs/>
                <w:sz w:val="24"/>
              </w:rPr>
              <w:t>。</w:t>
            </w:r>
          </w:p>
          <w:p>
            <w:pPr>
              <w:adjustRightInd w:val="0"/>
              <w:snapToGrid w:val="0"/>
              <w:spacing w:line="360" w:lineRule="auto"/>
              <w:ind w:firstLine="480" w:firstLineChars="200"/>
              <w:jc w:val="left"/>
              <w:rPr>
                <w:bCs/>
                <w:sz w:val="24"/>
              </w:rPr>
            </w:pPr>
            <w:r>
              <w:rPr>
                <w:rFonts w:hint="eastAsia"/>
                <w:bCs/>
                <w:sz w:val="24"/>
              </w:rPr>
              <w:t>1.2环境空气质量现状补充监测</w:t>
            </w:r>
          </w:p>
          <w:p>
            <w:pPr>
              <w:adjustRightInd w:val="0"/>
              <w:snapToGrid w:val="0"/>
              <w:spacing w:line="360" w:lineRule="auto"/>
              <w:ind w:firstLine="482"/>
              <w:rPr>
                <w:sz w:val="24"/>
              </w:rPr>
            </w:pPr>
            <w:r>
              <w:rPr>
                <w:rFonts w:hint="eastAsia"/>
                <w:sz w:val="24"/>
              </w:rPr>
              <w:t>（1）</w:t>
            </w:r>
            <w:r>
              <w:rPr>
                <w:sz w:val="24"/>
              </w:rPr>
              <w:t>监测布点</w:t>
            </w:r>
          </w:p>
          <w:p>
            <w:pPr>
              <w:adjustRightInd w:val="0"/>
              <w:snapToGrid w:val="0"/>
              <w:spacing w:line="360" w:lineRule="auto"/>
              <w:ind w:firstLine="482"/>
              <w:rPr>
                <w:sz w:val="24"/>
              </w:rPr>
            </w:pPr>
            <w:r>
              <w:rPr>
                <w:sz w:val="24"/>
              </w:rPr>
              <w:t>按照《环境影响评价技术导则</w:t>
            </w:r>
            <w:r>
              <w:rPr>
                <w:rFonts w:hint="eastAsia"/>
                <w:sz w:val="24"/>
              </w:rPr>
              <w:t xml:space="preserve"> </w:t>
            </w:r>
            <w:r>
              <w:rPr>
                <w:sz w:val="24"/>
              </w:rPr>
              <w:t>大气环境》</w:t>
            </w:r>
            <w:r>
              <w:rPr>
                <w:rFonts w:hint="eastAsia"/>
                <w:sz w:val="24"/>
              </w:rPr>
              <w:t>（</w:t>
            </w:r>
            <w:r>
              <w:rPr>
                <w:sz w:val="24"/>
              </w:rPr>
              <w:t>HJ2.2-2018</w:t>
            </w:r>
            <w:r>
              <w:rPr>
                <w:rFonts w:hint="eastAsia"/>
                <w:sz w:val="24"/>
              </w:rPr>
              <w:t>）及《建设项目环境影响报告表编制技术指南（污染影响类）（试行）》的</w:t>
            </w:r>
            <w:r>
              <w:rPr>
                <w:sz w:val="24"/>
              </w:rPr>
              <w:t>要求，结合厂址所在区域地形特点以及当地气象特征，本次评价共设置1个大气环境质量现状补充监测点</w:t>
            </w:r>
            <w:r>
              <w:rPr>
                <w:rFonts w:hint="eastAsia"/>
                <w:sz w:val="24"/>
              </w:rPr>
              <w:t>，内蒙古绿城生态环境科技有限公司于202</w:t>
            </w:r>
            <w:r>
              <w:rPr>
                <w:sz w:val="24"/>
              </w:rPr>
              <w:t>3</w:t>
            </w:r>
            <w:r>
              <w:rPr>
                <w:rFonts w:hint="eastAsia"/>
                <w:sz w:val="24"/>
              </w:rPr>
              <w:t>年</w:t>
            </w:r>
            <w:r>
              <w:rPr>
                <w:sz w:val="24"/>
              </w:rPr>
              <w:t>10</w:t>
            </w:r>
            <w:r>
              <w:rPr>
                <w:rFonts w:hint="eastAsia"/>
                <w:sz w:val="24"/>
              </w:rPr>
              <w:t>月</w:t>
            </w:r>
            <w:r>
              <w:rPr>
                <w:sz w:val="24"/>
              </w:rPr>
              <w:t>8</w:t>
            </w:r>
            <w:r>
              <w:rPr>
                <w:rFonts w:hint="eastAsia"/>
                <w:sz w:val="24"/>
              </w:rPr>
              <w:t>日至202</w:t>
            </w:r>
            <w:r>
              <w:rPr>
                <w:sz w:val="24"/>
              </w:rPr>
              <w:t>3</w:t>
            </w:r>
            <w:r>
              <w:rPr>
                <w:rFonts w:hint="eastAsia"/>
                <w:sz w:val="24"/>
              </w:rPr>
              <w:t>年</w:t>
            </w:r>
            <w:r>
              <w:rPr>
                <w:sz w:val="24"/>
              </w:rPr>
              <w:t>10</w:t>
            </w:r>
            <w:r>
              <w:rPr>
                <w:rFonts w:hint="eastAsia"/>
                <w:sz w:val="24"/>
              </w:rPr>
              <w:t>月</w:t>
            </w:r>
            <w:r>
              <w:rPr>
                <w:sz w:val="24"/>
              </w:rPr>
              <w:t>10</w:t>
            </w:r>
            <w:r>
              <w:rPr>
                <w:rFonts w:hint="eastAsia"/>
                <w:sz w:val="24"/>
              </w:rPr>
              <w:t>日连续3天在项目厂区内对TSP进行采样</w:t>
            </w:r>
            <w:r>
              <w:rPr>
                <w:sz w:val="24"/>
              </w:rPr>
              <w:t>。基本信息见表3-2</w:t>
            </w:r>
            <w:r>
              <w:rPr>
                <w:rFonts w:hint="eastAsia"/>
                <w:sz w:val="24"/>
              </w:rPr>
              <w:t>。</w:t>
            </w:r>
          </w:p>
          <w:p>
            <w:pPr>
              <w:pStyle w:val="22"/>
            </w:pPr>
            <w:r>
              <w:t>表3-2 环境空气监测点</w:t>
            </w:r>
            <w:r>
              <w:rPr>
                <w:rFonts w:hint="eastAsia"/>
              </w:rPr>
              <w:t>情况</w:t>
            </w:r>
          </w:p>
          <w:tbl>
            <w:tblPr>
              <w:tblStyle w:val="14"/>
              <w:tblW w:w="82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910"/>
              <w:gridCol w:w="1067"/>
              <w:gridCol w:w="1844"/>
              <w:gridCol w:w="1319"/>
              <w:gridCol w:w="30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53" w:type="pct"/>
                  <w:vAlign w:val="center"/>
                </w:tcPr>
                <w:p>
                  <w:pPr>
                    <w:adjustRightInd w:val="0"/>
                    <w:snapToGrid w:val="0"/>
                    <w:spacing w:before="24" w:beforeLines="10" w:after="24" w:afterLines="10" w:line="259" w:lineRule="auto"/>
                    <w:jc w:val="center"/>
                    <w:rPr>
                      <w:kern w:val="0"/>
                      <w:szCs w:val="21"/>
                    </w:rPr>
                  </w:pPr>
                  <w:r>
                    <w:rPr>
                      <w:kern w:val="0"/>
                      <w:szCs w:val="21"/>
                    </w:rPr>
                    <w:t>序号</w:t>
                  </w:r>
                </w:p>
              </w:tc>
              <w:tc>
                <w:tcPr>
                  <w:tcW w:w="649" w:type="pct"/>
                  <w:vAlign w:val="center"/>
                </w:tcPr>
                <w:p>
                  <w:pPr>
                    <w:adjustRightInd w:val="0"/>
                    <w:snapToGrid w:val="0"/>
                    <w:spacing w:before="24" w:beforeLines="10" w:after="24" w:afterLines="10" w:line="259" w:lineRule="auto"/>
                    <w:jc w:val="center"/>
                    <w:rPr>
                      <w:kern w:val="0"/>
                      <w:szCs w:val="21"/>
                    </w:rPr>
                  </w:pPr>
                  <w:r>
                    <w:rPr>
                      <w:kern w:val="0"/>
                      <w:szCs w:val="21"/>
                    </w:rPr>
                    <w:t>监测点名称</w:t>
                  </w:r>
                </w:p>
              </w:tc>
              <w:tc>
                <w:tcPr>
                  <w:tcW w:w="1121" w:type="pct"/>
                  <w:vAlign w:val="center"/>
                </w:tcPr>
                <w:p>
                  <w:pPr>
                    <w:adjustRightInd w:val="0"/>
                    <w:snapToGrid w:val="0"/>
                    <w:spacing w:before="24" w:beforeLines="10" w:after="24" w:afterLines="10" w:line="259" w:lineRule="auto"/>
                    <w:jc w:val="center"/>
                    <w:rPr>
                      <w:kern w:val="0"/>
                      <w:szCs w:val="21"/>
                    </w:rPr>
                  </w:pPr>
                  <w:r>
                    <w:rPr>
                      <w:kern w:val="0"/>
                      <w:szCs w:val="21"/>
                    </w:rPr>
                    <w:t>坐标</w:t>
                  </w:r>
                </w:p>
              </w:tc>
              <w:tc>
                <w:tcPr>
                  <w:tcW w:w="802" w:type="pct"/>
                  <w:vAlign w:val="center"/>
                </w:tcPr>
                <w:p>
                  <w:pPr>
                    <w:adjustRightInd w:val="0"/>
                    <w:snapToGrid w:val="0"/>
                    <w:spacing w:before="24" w:beforeLines="10" w:after="24" w:afterLines="10" w:line="259" w:lineRule="auto"/>
                    <w:jc w:val="center"/>
                    <w:rPr>
                      <w:kern w:val="0"/>
                      <w:szCs w:val="21"/>
                    </w:rPr>
                  </w:pPr>
                  <w:r>
                    <w:rPr>
                      <w:kern w:val="0"/>
                      <w:szCs w:val="21"/>
                    </w:rPr>
                    <w:t>监测项目</w:t>
                  </w:r>
                </w:p>
              </w:tc>
              <w:tc>
                <w:tcPr>
                  <w:tcW w:w="1874" w:type="pct"/>
                  <w:vAlign w:val="center"/>
                </w:tcPr>
                <w:p>
                  <w:pPr>
                    <w:adjustRightInd w:val="0"/>
                    <w:snapToGrid w:val="0"/>
                    <w:spacing w:before="24" w:beforeLines="10" w:after="24" w:afterLines="10" w:line="259" w:lineRule="auto"/>
                    <w:jc w:val="center"/>
                    <w:rPr>
                      <w:kern w:val="0"/>
                      <w:szCs w:val="21"/>
                    </w:rPr>
                  </w:pPr>
                  <w:r>
                    <w:rPr>
                      <w:kern w:val="0"/>
                      <w:szCs w:val="21"/>
                    </w:rPr>
                    <w:t>监测时间及频次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53" w:type="pct"/>
                  <w:vAlign w:val="center"/>
                </w:tcPr>
                <w:p>
                  <w:pPr>
                    <w:adjustRightInd w:val="0"/>
                    <w:snapToGrid w:val="0"/>
                    <w:spacing w:before="24" w:beforeLines="10" w:after="24" w:afterLines="10" w:line="259" w:lineRule="auto"/>
                    <w:jc w:val="center"/>
                    <w:rPr>
                      <w:kern w:val="0"/>
                      <w:szCs w:val="21"/>
                    </w:rPr>
                  </w:pPr>
                  <w:r>
                    <w:rPr>
                      <w:kern w:val="0"/>
                      <w:szCs w:val="21"/>
                    </w:rPr>
                    <w:t>1#</w:t>
                  </w:r>
                </w:p>
              </w:tc>
              <w:tc>
                <w:tcPr>
                  <w:tcW w:w="649" w:type="pct"/>
                  <w:vAlign w:val="center"/>
                </w:tcPr>
                <w:p>
                  <w:pPr>
                    <w:adjustRightInd w:val="0"/>
                    <w:snapToGrid w:val="0"/>
                    <w:spacing w:before="24" w:beforeLines="10" w:after="24" w:afterLines="10" w:line="259" w:lineRule="auto"/>
                    <w:jc w:val="center"/>
                    <w:rPr>
                      <w:kern w:val="0"/>
                      <w:szCs w:val="21"/>
                    </w:rPr>
                  </w:pPr>
                  <w:r>
                    <w:rPr>
                      <w:rFonts w:hint="eastAsia"/>
                      <w:kern w:val="0"/>
                      <w:szCs w:val="21"/>
                    </w:rPr>
                    <w:t>厂区内（东侧边界）</w:t>
                  </w:r>
                </w:p>
              </w:tc>
              <w:tc>
                <w:tcPr>
                  <w:tcW w:w="1121" w:type="pct"/>
                  <w:vAlign w:val="center"/>
                </w:tcPr>
                <w:p>
                  <w:pPr>
                    <w:adjustRightInd w:val="0"/>
                    <w:snapToGrid w:val="0"/>
                    <w:spacing w:before="24" w:beforeLines="10" w:after="24" w:afterLines="10" w:line="259" w:lineRule="auto"/>
                    <w:jc w:val="center"/>
                    <w:rPr>
                      <w:bCs/>
                      <w:kern w:val="0"/>
                      <w:szCs w:val="21"/>
                    </w:rPr>
                  </w:pPr>
                  <w:r>
                    <w:rPr>
                      <w:bCs/>
                      <w:kern w:val="0"/>
                      <w:szCs w:val="21"/>
                    </w:rPr>
                    <w:t>E109°42'16.592″</w:t>
                  </w:r>
                </w:p>
                <w:p>
                  <w:pPr>
                    <w:adjustRightInd w:val="0"/>
                    <w:snapToGrid w:val="0"/>
                    <w:spacing w:before="24" w:beforeLines="10" w:after="24" w:afterLines="10" w:line="259" w:lineRule="auto"/>
                    <w:jc w:val="center"/>
                    <w:rPr>
                      <w:kern w:val="0"/>
                      <w:szCs w:val="21"/>
                    </w:rPr>
                  </w:pPr>
                  <w:r>
                    <w:rPr>
                      <w:bCs/>
                      <w:kern w:val="0"/>
                      <w:szCs w:val="21"/>
                    </w:rPr>
                    <w:t>N39°7'38775″</w:t>
                  </w:r>
                </w:p>
              </w:tc>
              <w:tc>
                <w:tcPr>
                  <w:tcW w:w="802" w:type="pct"/>
                  <w:vAlign w:val="center"/>
                </w:tcPr>
                <w:p>
                  <w:pPr>
                    <w:adjustRightInd w:val="0"/>
                    <w:snapToGrid w:val="0"/>
                    <w:spacing w:before="24" w:beforeLines="10" w:after="24" w:afterLines="10" w:line="259" w:lineRule="auto"/>
                    <w:jc w:val="center"/>
                    <w:rPr>
                      <w:kern w:val="0"/>
                      <w:szCs w:val="21"/>
                    </w:rPr>
                  </w:pPr>
                  <w:r>
                    <w:rPr>
                      <w:rFonts w:hint="eastAsia"/>
                      <w:kern w:val="0"/>
                      <w:szCs w:val="21"/>
                    </w:rPr>
                    <w:t>总悬浮颗粒物（TSP）</w:t>
                  </w:r>
                </w:p>
              </w:tc>
              <w:tc>
                <w:tcPr>
                  <w:tcW w:w="1874" w:type="pct"/>
                  <w:vAlign w:val="center"/>
                </w:tcPr>
                <w:p>
                  <w:pPr>
                    <w:adjustRightInd w:val="0"/>
                    <w:snapToGrid w:val="0"/>
                    <w:spacing w:before="24" w:beforeLines="10" w:after="24" w:afterLines="10" w:line="259" w:lineRule="auto"/>
                    <w:jc w:val="center"/>
                    <w:rPr>
                      <w:kern w:val="0"/>
                      <w:szCs w:val="21"/>
                    </w:rPr>
                  </w:pPr>
                  <w:r>
                    <w:rPr>
                      <w:rFonts w:hint="eastAsia"/>
                      <w:kern w:val="0"/>
                      <w:szCs w:val="21"/>
                    </w:rPr>
                    <w:t>监测时间为连续监测3天，连续采样不少于24h，TSP每天1次</w:t>
                  </w:r>
                </w:p>
              </w:tc>
            </w:tr>
          </w:tbl>
          <w:p>
            <w:pPr>
              <w:adjustRightInd w:val="0"/>
              <w:snapToGrid w:val="0"/>
              <w:spacing w:before="240" w:line="360" w:lineRule="auto"/>
              <w:ind w:firstLine="480" w:firstLineChars="200"/>
              <w:rPr>
                <w:sz w:val="24"/>
              </w:rPr>
            </w:pPr>
            <w:r>
              <w:rPr>
                <w:sz w:val="24"/>
              </w:rPr>
              <w:t>（2）环境空气质量现状评价结果</w:t>
            </w:r>
          </w:p>
          <w:p>
            <w:pPr>
              <w:adjustRightInd w:val="0"/>
              <w:snapToGrid w:val="0"/>
              <w:spacing w:line="360" w:lineRule="auto"/>
              <w:ind w:firstLine="480" w:firstLineChars="200"/>
              <w:rPr>
                <w:sz w:val="24"/>
              </w:rPr>
            </w:pPr>
            <w:r>
              <w:rPr>
                <w:sz w:val="24"/>
              </w:rPr>
              <w:t>监测期间，监测点</w:t>
            </w:r>
            <w:r>
              <w:rPr>
                <w:rFonts w:hint="eastAsia"/>
                <w:sz w:val="24"/>
              </w:rPr>
              <w:t>T</w:t>
            </w:r>
            <w:r>
              <w:rPr>
                <w:sz w:val="24"/>
              </w:rPr>
              <w:t>SP日均浓度监测数据统计分析结果见表3-4。</w:t>
            </w:r>
          </w:p>
          <w:p>
            <w:pPr>
              <w:pStyle w:val="22"/>
            </w:pPr>
            <w:r>
              <w:rPr>
                <w:rFonts w:hint="eastAsia"/>
              </w:rPr>
              <w:t>表</w:t>
            </w:r>
            <w:r>
              <w:t>3-4</w:t>
            </w:r>
            <w:r>
              <w:rPr>
                <w:rFonts w:hint="eastAsia"/>
              </w:rPr>
              <w:t xml:space="preserve"> 环境空气质量现状评价表</w:t>
            </w:r>
          </w:p>
          <w:tbl>
            <w:tblPr>
              <w:tblStyle w:val="1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966"/>
              <w:gridCol w:w="685"/>
              <w:gridCol w:w="1219"/>
              <w:gridCol w:w="1377"/>
              <w:gridCol w:w="1028"/>
              <w:gridCol w:w="793"/>
              <w:gridCol w:w="72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9" w:type="pct"/>
                  <w:tcBorders>
                    <w:top w:val="single" w:color="auto" w:sz="12" w:space="0"/>
                    <w:bottom w:val="single" w:color="auto" w:sz="4" w:space="0"/>
                  </w:tcBorders>
                  <w:vAlign w:val="center"/>
                </w:tcPr>
                <w:p>
                  <w:pPr>
                    <w:adjustRightInd w:val="0"/>
                    <w:snapToGrid w:val="0"/>
                    <w:spacing w:before="24" w:beforeLines="10" w:after="24" w:afterLines="10" w:line="259" w:lineRule="auto"/>
                    <w:jc w:val="center"/>
                    <w:rPr>
                      <w:kern w:val="0"/>
                      <w:szCs w:val="21"/>
                    </w:rPr>
                  </w:pPr>
                  <w:r>
                    <w:rPr>
                      <w:b/>
                      <w:kern w:val="0"/>
                      <w:szCs w:val="21"/>
                    </w:rPr>
                    <w:t>监测点位</w:t>
                  </w:r>
                </w:p>
              </w:tc>
              <w:tc>
                <w:tcPr>
                  <w:tcW w:w="597" w:type="pct"/>
                  <w:tcBorders>
                    <w:top w:val="single" w:color="auto" w:sz="12" w:space="0"/>
                    <w:bottom w:val="single" w:color="auto" w:sz="4" w:space="0"/>
                  </w:tcBorders>
                  <w:vAlign w:val="center"/>
                </w:tcPr>
                <w:p>
                  <w:pPr>
                    <w:jc w:val="center"/>
                    <w:rPr>
                      <w:b/>
                      <w:szCs w:val="21"/>
                    </w:rPr>
                  </w:pPr>
                  <w:r>
                    <w:rPr>
                      <w:b/>
                      <w:szCs w:val="21"/>
                    </w:rPr>
                    <w:t>污染物</w:t>
                  </w:r>
                </w:p>
              </w:tc>
              <w:tc>
                <w:tcPr>
                  <w:tcW w:w="426" w:type="pct"/>
                  <w:tcBorders>
                    <w:top w:val="single" w:color="auto" w:sz="12" w:space="0"/>
                    <w:bottom w:val="single" w:color="auto" w:sz="4" w:space="0"/>
                  </w:tcBorders>
                  <w:vAlign w:val="center"/>
                </w:tcPr>
                <w:p>
                  <w:pPr>
                    <w:jc w:val="center"/>
                    <w:rPr>
                      <w:b/>
                      <w:szCs w:val="21"/>
                    </w:rPr>
                  </w:pPr>
                  <w:r>
                    <w:rPr>
                      <w:b/>
                      <w:szCs w:val="21"/>
                    </w:rPr>
                    <w:t>平均时间</w:t>
                  </w:r>
                </w:p>
              </w:tc>
              <w:tc>
                <w:tcPr>
                  <w:tcW w:w="673" w:type="pct"/>
                  <w:tcBorders>
                    <w:top w:val="single" w:color="auto" w:sz="12" w:space="0"/>
                    <w:bottom w:val="single" w:color="auto" w:sz="4" w:space="0"/>
                  </w:tcBorders>
                  <w:vAlign w:val="center"/>
                </w:tcPr>
                <w:p>
                  <w:pPr>
                    <w:spacing w:line="240" w:lineRule="exact"/>
                    <w:jc w:val="center"/>
                    <w:rPr>
                      <w:b/>
                      <w:szCs w:val="21"/>
                    </w:rPr>
                  </w:pPr>
                  <w:r>
                    <w:rPr>
                      <w:b/>
                      <w:szCs w:val="21"/>
                    </w:rPr>
                    <w:t>评价标准</w:t>
                  </w:r>
                </w:p>
                <w:p>
                  <w:pPr>
                    <w:spacing w:line="240" w:lineRule="exact"/>
                    <w:jc w:val="center"/>
                    <w:rPr>
                      <w:b/>
                      <w:szCs w:val="21"/>
                    </w:rPr>
                  </w:pPr>
                  <w:r>
                    <w:rPr>
                      <w:b/>
                      <w:szCs w:val="21"/>
                    </w:rPr>
                    <w:t>（</w:t>
                  </w:r>
                  <w:r>
                    <w:rPr>
                      <w:rFonts w:hint="eastAsia"/>
                      <w:b/>
                      <w:szCs w:val="21"/>
                    </w:rPr>
                    <w:t>m</w:t>
                  </w:r>
                  <w:r>
                    <w:rPr>
                      <w:b/>
                      <w:szCs w:val="21"/>
                    </w:rPr>
                    <w:t>g/m</w:t>
                  </w:r>
                  <w:r>
                    <w:rPr>
                      <w:b/>
                      <w:szCs w:val="21"/>
                      <w:vertAlign w:val="superscript"/>
                    </w:rPr>
                    <w:t>3</w:t>
                  </w:r>
                  <w:r>
                    <w:rPr>
                      <w:b/>
                      <w:szCs w:val="21"/>
                    </w:rPr>
                    <w:t>）</w:t>
                  </w:r>
                </w:p>
              </w:tc>
              <w:tc>
                <w:tcPr>
                  <w:tcW w:w="847" w:type="pct"/>
                  <w:tcBorders>
                    <w:top w:val="single" w:color="auto" w:sz="12" w:space="0"/>
                    <w:bottom w:val="single" w:color="auto" w:sz="4" w:space="0"/>
                  </w:tcBorders>
                  <w:vAlign w:val="center"/>
                </w:tcPr>
                <w:p>
                  <w:pPr>
                    <w:spacing w:line="240" w:lineRule="exact"/>
                    <w:jc w:val="center"/>
                    <w:rPr>
                      <w:b/>
                      <w:szCs w:val="21"/>
                    </w:rPr>
                  </w:pPr>
                  <w:r>
                    <w:rPr>
                      <w:b/>
                      <w:szCs w:val="21"/>
                    </w:rPr>
                    <w:t>监测浓度范围（μg/m</w:t>
                  </w:r>
                  <w:r>
                    <w:rPr>
                      <w:b/>
                      <w:szCs w:val="21"/>
                      <w:vertAlign w:val="superscript"/>
                    </w:rPr>
                    <w:t>3</w:t>
                  </w:r>
                  <w:r>
                    <w:rPr>
                      <w:b/>
                      <w:szCs w:val="21"/>
                    </w:rPr>
                    <w:t>）</w:t>
                  </w:r>
                </w:p>
              </w:tc>
              <w:tc>
                <w:tcPr>
                  <w:tcW w:w="635" w:type="pct"/>
                  <w:tcBorders>
                    <w:top w:val="single" w:color="auto" w:sz="12" w:space="0"/>
                    <w:bottom w:val="single" w:color="auto" w:sz="4" w:space="0"/>
                  </w:tcBorders>
                  <w:vAlign w:val="center"/>
                </w:tcPr>
                <w:p>
                  <w:pPr>
                    <w:spacing w:line="240" w:lineRule="exact"/>
                    <w:jc w:val="center"/>
                    <w:rPr>
                      <w:b/>
                      <w:szCs w:val="21"/>
                    </w:rPr>
                  </w:pPr>
                  <w:r>
                    <w:rPr>
                      <w:b/>
                      <w:szCs w:val="21"/>
                    </w:rPr>
                    <w:t>最大浓度占标率%</w:t>
                  </w:r>
                </w:p>
              </w:tc>
              <w:tc>
                <w:tcPr>
                  <w:tcW w:w="492" w:type="pct"/>
                  <w:tcBorders>
                    <w:top w:val="single" w:color="auto" w:sz="12" w:space="0"/>
                    <w:bottom w:val="single" w:color="auto" w:sz="4" w:space="0"/>
                  </w:tcBorders>
                  <w:vAlign w:val="center"/>
                </w:tcPr>
                <w:p>
                  <w:pPr>
                    <w:spacing w:line="240" w:lineRule="exact"/>
                    <w:jc w:val="center"/>
                    <w:rPr>
                      <w:b/>
                      <w:szCs w:val="21"/>
                    </w:rPr>
                  </w:pPr>
                  <w:r>
                    <w:rPr>
                      <w:b/>
                      <w:szCs w:val="21"/>
                    </w:rPr>
                    <w:t>超标频率%</w:t>
                  </w:r>
                </w:p>
              </w:tc>
              <w:tc>
                <w:tcPr>
                  <w:tcW w:w="451" w:type="pct"/>
                  <w:tcBorders>
                    <w:top w:val="single" w:color="auto" w:sz="12" w:space="0"/>
                    <w:bottom w:val="single" w:color="auto" w:sz="4" w:space="0"/>
                  </w:tcBorders>
                  <w:vAlign w:val="center"/>
                </w:tcPr>
                <w:p>
                  <w:pPr>
                    <w:jc w:val="center"/>
                    <w:rPr>
                      <w:b/>
                      <w:szCs w:val="21"/>
                    </w:rPr>
                  </w:pPr>
                  <w:r>
                    <w:rPr>
                      <w:b/>
                      <w:szCs w:val="21"/>
                    </w:rPr>
                    <w:t>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9" w:type="pct"/>
                  <w:vAlign w:val="center"/>
                </w:tcPr>
                <w:p>
                  <w:pPr>
                    <w:adjustRightInd w:val="0"/>
                    <w:snapToGrid w:val="0"/>
                    <w:spacing w:before="24" w:beforeLines="10" w:after="24" w:afterLines="10" w:line="259" w:lineRule="auto"/>
                    <w:jc w:val="center"/>
                    <w:rPr>
                      <w:kern w:val="0"/>
                      <w:szCs w:val="21"/>
                    </w:rPr>
                  </w:pPr>
                  <w:r>
                    <w:rPr>
                      <w:rFonts w:hint="eastAsia"/>
                      <w:kern w:val="0"/>
                      <w:szCs w:val="21"/>
                    </w:rPr>
                    <w:t>厂区内（东侧边界）</w:t>
                  </w:r>
                </w:p>
              </w:tc>
              <w:tc>
                <w:tcPr>
                  <w:tcW w:w="597" w:type="pct"/>
                  <w:vAlign w:val="center"/>
                </w:tcPr>
                <w:p>
                  <w:pPr>
                    <w:adjustRightInd w:val="0"/>
                    <w:snapToGrid w:val="0"/>
                    <w:spacing w:before="24" w:beforeLines="10" w:after="24" w:afterLines="10" w:line="259" w:lineRule="auto"/>
                    <w:jc w:val="center"/>
                    <w:rPr>
                      <w:kern w:val="0"/>
                      <w:szCs w:val="21"/>
                    </w:rPr>
                  </w:pPr>
                  <w:r>
                    <w:rPr>
                      <w:kern w:val="0"/>
                      <w:szCs w:val="21"/>
                    </w:rPr>
                    <w:t>TSP</w:t>
                  </w:r>
                </w:p>
              </w:tc>
              <w:tc>
                <w:tcPr>
                  <w:tcW w:w="426" w:type="pct"/>
                  <w:vAlign w:val="center"/>
                </w:tcPr>
                <w:p>
                  <w:pPr>
                    <w:adjustRightInd w:val="0"/>
                    <w:snapToGrid w:val="0"/>
                    <w:spacing w:before="24" w:beforeLines="10" w:after="24" w:afterLines="10" w:line="259" w:lineRule="auto"/>
                    <w:jc w:val="center"/>
                    <w:rPr>
                      <w:kern w:val="0"/>
                      <w:szCs w:val="21"/>
                    </w:rPr>
                  </w:pPr>
                  <w:r>
                    <w:rPr>
                      <w:kern w:val="0"/>
                      <w:szCs w:val="21"/>
                    </w:rPr>
                    <w:t>24小时</w:t>
                  </w:r>
                </w:p>
              </w:tc>
              <w:tc>
                <w:tcPr>
                  <w:tcW w:w="673" w:type="pct"/>
                  <w:vAlign w:val="center"/>
                </w:tcPr>
                <w:p>
                  <w:pPr>
                    <w:adjustRightInd w:val="0"/>
                    <w:snapToGrid w:val="0"/>
                    <w:spacing w:before="24" w:beforeLines="10" w:after="24" w:afterLines="10" w:line="259" w:lineRule="auto"/>
                    <w:jc w:val="center"/>
                    <w:rPr>
                      <w:kern w:val="0"/>
                      <w:szCs w:val="21"/>
                    </w:rPr>
                  </w:pPr>
                  <w:r>
                    <w:rPr>
                      <w:kern w:val="0"/>
                      <w:szCs w:val="21"/>
                    </w:rPr>
                    <w:t>0.3</w:t>
                  </w:r>
                </w:p>
              </w:tc>
              <w:tc>
                <w:tcPr>
                  <w:tcW w:w="847" w:type="pct"/>
                  <w:vAlign w:val="center"/>
                </w:tcPr>
                <w:p>
                  <w:pPr>
                    <w:adjustRightInd w:val="0"/>
                    <w:snapToGrid w:val="0"/>
                    <w:jc w:val="center"/>
                    <w:rPr>
                      <w:szCs w:val="21"/>
                    </w:rPr>
                  </w:pPr>
                  <w:r>
                    <w:rPr>
                      <w:szCs w:val="21"/>
                    </w:rPr>
                    <w:t>0.053~0.104</w:t>
                  </w:r>
                </w:p>
              </w:tc>
              <w:tc>
                <w:tcPr>
                  <w:tcW w:w="635" w:type="pct"/>
                  <w:vAlign w:val="center"/>
                </w:tcPr>
                <w:p>
                  <w:pPr>
                    <w:adjustRightInd w:val="0"/>
                    <w:snapToGrid w:val="0"/>
                    <w:spacing w:before="24" w:beforeLines="10" w:after="24" w:afterLines="10" w:line="259" w:lineRule="auto"/>
                    <w:jc w:val="center"/>
                    <w:rPr>
                      <w:kern w:val="0"/>
                      <w:szCs w:val="21"/>
                    </w:rPr>
                  </w:pPr>
                  <w:r>
                    <w:rPr>
                      <w:kern w:val="0"/>
                      <w:szCs w:val="21"/>
                    </w:rPr>
                    <w:t>34.67</w:t>
                  </w:r>
                </w:p>
              </w:tc>
              <w:tc>
                <w:tcPr>
                  <w:tcW w:w="492" w:type="pct"/>
                  <w:vAlign w:val="center"/>
                </w:tcPr>
                <w:p>
                  <w:pPr>
                    <w:adjustRightInd w:val="0"/>
                    <w:snapToGrid w:val="0"/>
                    <w:spacing w:before="24" w:beforeLines="10" w:after="24" w:afterLines="10" w:line="259" w:lineRule="auto"/>
                    <w:jc w:val="center"/>
                    <w:rPr>
                      <w:kern w:val="0"/>
                      <w:szCs w:val="21"/>
                    </w:rPr>
                  </w:pPr>
                  <w:r>
                    <w:rPr>
                      <w:kern w:val="0"/>
                      <w:szCs w:val="21"/>
                    </w:rPr>
                    <w:t>0</w:t>
                  </w:r>
                </w:p>
              </w:tc>
              <w:tc>
                <w:tcPr>
                  <w:tcW w:w="451" w:type="pct"/>
                  <w:vAlign w:val="center"/>
                </w:tcPr>
                <w:p>
                  <w:pPr>
                    <w:adjustRightInd w:val="0"/>
                    <w:snapToGrid w:val="0"/>
                    <w:spacing w:before="24" w:beforeLines="10" w:after="24" w:afterLines="10" w:line="259" w:lineRule="auto"/>
                    <w:jc w:val="center"/>
                    <w:rPr>
                      <w:kern w:val="0"/>
                      <w:szCs w:val="21"/>
                    </w:rPr>
                  </w:pPr>
                  <w:r>
                    <w:rPr>
                      <w:kern w:val="0"/>
                      <w:szCs w:val="21"/>
                    </w:rPr>
                    <w:t>达标</w:t>
                  </w:r>
                </w:p>
              </w:tc>
            </w:tr>
          </w:tbl>
          <w:p>
            <w:pPr>
              <w:adjustRightInd w:val="0"/>
              <w:snapToGrid w:val="0"/>
              <w:spacing w:before="240" w:line="360" w:lineRule="auto"/>
              <w:ind w:firstLine="480" w:firstLineChars="200"/>
              <w:rPr>
                <w:sz w:val="24"/>
              </w:rPr>
            </w:pPr>
            <w:r>
              <w:rPr>
                <w:sz w:val="24"/>
              </w:rPr>
              <w:t>根据监测结果，环境空气中TSP的24小时平均值检测结果均可满足《环境空气质量标准》（GB3095-2012）二级标准限值要求，区域环境空气质量较好。</w:t>
            </w:r>
          </w:p>
          <w:p>
            <w:pPr>
              <w:spacing w:before="120" w:beforeLines="50" w:line="360" w:lineRule="auto"/>
              <w:ind w:firstLine="482" w:firstLineChars="200"/>
              <w:rPr>
                <w:b/>
                <w:sz w:val="24"/>
              </w:rPr>
            </w:pPr>
            <w:r>
              <w:rPr>
                <w:b/>
                <w:sz w:val="24"/>
              </w:rPr>
              <w:t>2、声环境质量现状</w:t>
            </w:r>
          </w:p>
          <w:p>
            <w:pPr>
              <w:spacing w:line="360" w:lineRule="auto"/>
              <w:ind w:firstLine="480" w:firstLineChars="200"/>
              <w:rPr>
                <w:sz w:val="24"/>
              </w:rPr>
            </w:pPr>
            <w:r>
              <w:rPr>
                <w:bCs/>
                <w:sz w:val="24"/>
              </w:rPr>
              <w:t>依照《建设项目环境影响报告表编制技术指南（污染影响类）》（试行）</w:t>
            </w:r>
            <w:r>
              <w:rPr>
                <w:rFonts w:hint="eastAsia"/>
                <w:bCs/>
                <w:sz w:val="24"/>
              </w:rPr>
              <w:t>，</w:t>
            </w:r>
            <w:r>
              <w:rPr>
                <w:bCs/>
                <w:sz w:val="24"/>
              </w:rPr>
              <w:t>项目厂界外50m范围内无声环境敏感目标，因此，本次未开展声环境质量现状调查</w:t>
            </w:r>
            <w:r>
              <w:rPr>
                <w:sz w:val="24"/>
              </w:rPr>
              <w:t>。</w:t>
            </w:r>
          </w:p>
          <w:p>
            <w:pPr>
              <w:spacing w:line="360" w:lineRule="auto"/>
              <w:ind w:firstLine="482" w:firstLineChars="200"/>
              <w:rPr>
                <w:b/>
                <w:sz w:val="24"/>
              </w:rPr>
            </w:pPr>
            <w:r>
              <w:rPr>
                <w:rFonts w:hint="eastAsia"/>
                <w:b/>
                <w:sz w:val="24"/>
              </w:rPr>
              <w:t>3、地下水环境、土壤环境</w:t>
            </w:r>
          </w:p>
          <w:p>
            <w:pPr>
              <w:spacing w:line="360" w:lineRule="auto"/>
              <w:ind w:firstLine="480" w:firstLineChars="200"/>
              <w:rPr>
                <w:bCs/>
                <w:sz w:val="24"/>
              </w:rPr>
            </w:pPr>
            <w:r>
              <w:rPr>
                <w:bCs/>
                <w:sz w:val="24"/>
              </w:rPr>
              <w:t>依照《建设项目环境影响报告表编制技术指南（污染影响类）》（试行），地下水、土壤环境原则上不开展环境质量现状调查。建设项目存在土壤、地下水污染途径的，应结合污染源、保护目标分布情况开展现状调查以留作背景值。针对环境保护目标，指南中针对地下水给出的内容为：地下水环境需明确厂界外500米范围内的地下水集中式饮用水水源和热水、矿泉水、温泉等特殊地下水资源。指南中未给出土壤环境保护目标，本次依照《环境影响评价技术导则  土壤环境（试行）》（HJ964-2018）中表3给出的分级判别依据确定土壤环境保护目标。</w:t>
            </w:r>
          </w:p>
          <w:p>
            <w:pPr>
              <w:spacing w:line="360" w:lineRule="auto"/>
              <w:ind w:firstLine="480" w:firstLineChars="200"/>
              <w:rPr>
                <w:bCs/>
                <w:sz w:val="24"/>
              </w:rPr>
            </w:pPr>
            <w:r>
              <w:rPr>
                <w:bCs/>
                <w:sz w:val="24"/>
              </w:rPr>
              <w:t>经调查，</w:t>
            </w:r>
            <w:r>
              <w:rPr>
                <w:rFonts w:hint="eastAsia"/>
                <w:bCs/>
                <w:sz w:val="24"/>
              </w:rPr>
              <w:t>本项目不存在地下水、土壤污染途径，</w:t>
            </w:r>
            <w:r>
              <w:rPr>
                <w:bCs/>
                <w:sz w:val="24"/>
              </w:rPr>
              <w:t>项目周围500m范围内不存在上述要求中的地下水环境保护目标，周围不存在</w:t>
            </w:r>
            <w:r>
              <w:rPr>
                <w:rFonts w:hint="eastAsia"/>
                <w:bCs/>
                <w:sz w:val="24"/>
              </w:rPr>
              <w:t>耕地、园地等</w:t>
            </w:r>
            <w:r>
              <w:rPr>
                <w:bCs/>
                <w:sz w:val="24"/>
              </w:rPr>
              <w:t>敏感或较敏感的土壤环境保护目标，属于不敏感。综合考虑，本次评价不开展地下水、土壤环境质量现状监测，仅给出相关的污染防治措施。</w:t>
            </w:r>
          </w:p>
          <w:p>
            <w:pPr>
              <w:spacing w:line="360" w:lineRule="auto"/>
              <w:ind w:firstLine="482" w:firstLineChars="200"/>
              <w:rPr>
                <w:b/>
                <w:bCs/>
                <w:sz w:val="24"/>
              </w:rPr>
            </w:pPr>
            <w:r>
              <w:rPr>
                <w:b/>
                <w:bCs/>
                <w:sz w:val="24"/>
              </w:rPr>
              <w:t>4、地表水、生态环境</w:t>
            </w:r>
          </w:p>
          <w:p>
            <w:pPr>
              <w:spacing w:line="360" w:lineRule="auto"/>
              <w:ind w:firstLine="480" w:firstLineChars="200"/>
              <w:rPr>
                <w:bCs/>
                <w:sz w:val="24"/>
              </w:rPr>
            </w:pPr>
            <w:r>
              <w:rPr>
                <w:bCs/>
                <w:sz w:val="24"/>
              </w:rPr>
              <w:t>地表水：本项目周围不存在地表水体。</w:t>
            </w:r>
          </w:p>
          <w:p>
            <w:pPr>
              <w:spacing w:line="360" w:lineRule="auto"/>
              <w:ind w:firstLine="480" w:firstLineChars="200"/>
              <w:rPr>
                <w:bCs/>
                <w:sz w:val="24"/>
              </w:rPr>
            </w:pPr>
            <w:r>
              <w:rPr>
                <w:bCs/>
                <w:sz w:val="24"/>
              </w:rPr>
              <w:t>生态环境：依照《建设项目环境影响报告表编制技术指南（污染影响类）》（试行）要求，产业园区外建设项目新增用地且用地范围内还有生态环境保护目标时，应开展现状调查。本项目位于</w:t>
            </w:r>
            <w:r>
              <w:rPr>
                <w:rFonts w:hint="eastAsia"/>
                <w:bCs/>
                <w:sz w:val="24"/>
              </w:rPr>
              <w:t>伊金霍洛旗札萨克镇高勒庙村</w:t>
            </w:r>
            <w:r>
              <w:rPr>
                <w:bCs/>
                <w:sz w:val="24"/>
              </w:rPr>
              <w:t>，</w:t>
            </w:r>
            <w:r>
              <w:rPr>
                <w:rFonts w:hint="eastAsia"/>
                <w:bCs/>
                <w:sz w:val="24"/>
              </w:rPr>
              <w:t>原有地块植被覆盖率较低，动物稀少。项目不涉及生态保护红线、不涉及各类自然保护地。</w:t>
            </w:r>
            <w:r>
              <w:rPr>
                <w:bCs/>
                <w:sz w:val="24"/>
              </w:rPr>
              <w:t>项目周边无生态环境敏感目标，因此不开展生态环境现状调查。</w:t>
            </w:r>
          </w:p>
          <w:p>
            <w:pPr>
              <w:spacing w:line="360" w:lineRule="auto"/>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1" w:hRule="atLeast"/>
          <w:jc w:val="center"/>
        </w:trPr>
        <w:tc>
          <w:tcPr>
            <w:tcW w:w="699" w:type="dxa"/>
            <w:vAlign w:val="center"/>
          </w:tcPr>
          <w:p>
            <w:pPr>
              <w:adjustRightInd w:val="0"/>
              <w:snapToGrid w:val="0"/>
              <w:jc w:val="center"/>
              <w:rPr>
                <w:rFonts w:cs="宋体"/>
                <w:kern w:val="0"/>
                <w:szCs w:val="21"/>
              </w:rPr>
            </w:pPr>
            <w:r>
              <w:rPr>
                <w:rFonts w:hint="eastAsia" w:cs="宋体"/>
                <w:kern w:val="0"/>
                <w:szCs w:val="21"/>
              </w:rPr>
              <w:t>环境</w:t>
            </w:r>
          </w:p>
          <w:p>
            <w:pPr>
              <w:adjustRightInd w:val="0"/>
              <w:snapToGrid w:val="0"/>
              <w:jc w:val="center"/>
              <w:rPr>
                <w:rFonts w:cs="宋体"/>
                <w:kern w:val="0"/>
                <w:szCs w:val="21"/>
              </w:rPr>
            </w:pPr>
            <w:r>
              <w:rPr>
                <w:rFonts w:hint="eastAsia" w:cs="宋体"/>
                <w:kern w:val="0"/>
                <w:szCs w:val="21"/>
              </w:rPr>
              <w:t>保护</w:t>
            </w:r>
          </w:p>
          <w:p>
            <w:pPr>
              <w:adjustRightInd w:val="0"/>
              <w:snapToGrid w:val="0"/>
              <w:jc w:val="center"/>
              <w:rPr>
                <w:rFonts w:cs="宋体"/>
                <w:kern w:val="0"/>
                <w:szCs w:val="21"/>
              </w:rPr>
            </w:pPr>
            <w:r>
              <w:rPr>
                <w:rFonts w:hint="eastAsia" w:cs="宋体"/>
                <w:kern w:val="0"/>
                <w:szCs w:val="21"/>
              </w:rPr>
              <w:t>目标</w:t>
            </w:r>
          </w:p>
        </w:tc>
        <w:tc>
          <w:tcPr>
            <w:tcW w:w="8126" w:type="dxa"/>
            <w:vAlign w:val="center"/>
          </w:tcPr>
          <w:p>
            <w:pPr>
              <w:spacing w:line="360" w:lineRule="auto"/>
              <w:ind w:firstLine="480" w:firstLineChars="200"/>
              <w:rPr>
                <w:sz w:val="24"/>
              </w:rPr>
            </w:pPr>
            <w:r>
              <w:rPr>
                <w:sz w:val="24"/>
              </w:rPr>
              <w:t>项目拟选址在</w:t>
            </w:r>
            <w:r>
              <w:rPr>
                <w:rFonts w:hint="eastAsia"/>
                <w:bCs/>
                <w:sz w:val="24"/>
              </w:rPr>
              <w:t>伊金霍洛旗札萨克镇高勒庙村</w:t>
            </w:r>
            <w:r>
              <w:rPr>
                <w:sz w:val="24"/>
              </w:rPr>
              <w:t>，由现场调查可知，该区域内没有珍稀动植物资源、饮用水源保护区、自然保护区、重点文物等重点保护目标。</w:t>
            </w:r>
            <w:r>
              <w:rPr>
                <w:bCs/>
                <w:sz w:val="24"/>
              </w:rPr>
              <w:t>本项目环境保护目标见表3-5。</w:t>
            </w:r>
          </w:p>
          <w:p>
            <w:pPr>
              <w:pStyle w:val="22"/>
            </w:pPr>
            <w:r>
              <w:rPr>
                <w:rFonts w:hint="eastAsia"/>
              </w:rPr>
              <w:t>表</w:t>
            </w:r>
            <w:r>
              <w:t xml:space="preserve">3-5 </w:t>
            </w:r>
            <w:r>
              <w:rPr>
                <w:rFonts w:hint="eastAsia"/>
              </w:rPr>
              <w:t>环境保护目标一览表</w:t>
            </w:r>
          </w:p>
          <w:tbl>
            <w:tblPr>
              <w:tblStyle w:val="14"/>
              <w:tblW w:w="82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41"/>
              <w:gridCol w:w="1348"/>
              <w:gridCol w:w="768"/>
              <w:gridCol w:w="932"/>
              <w:gridCol w:w="870"/>
              <w:gridCol w:w="34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Merge w:val="restart"/>
                  <w:vAlign w:val="center"/>
                </w:tcPr>
                <w:p>
                  <w:pPr>
                    <w:jc w:val="center"/>
                    <w:rPr>
                      <w:b/>
                      <w:szCs w:val="20"/>
                    </w:rPr>
                  </w:pPr>
                  <w:r>
                    <w:rPr>
                      <w:b/>
                      <w:szCs w:val="20"/>
                    </w:rPr>
                    <w:t>环境要素</w:t>
                  </w:r>
                </w:p>
              </w:tc>
              <w:tc>
                <w:tcPr>
                  <w:tcW w:w="1348" w:type="dxa"/>
                  <w:vMerge w:val="restart"/>
                  <w:vAlign w:val="center"/>
                </w:tcPr>
                <w:p>
                  <w:pPr>
                    <w:jc w:val="center"/>
                    <w:rPr>
                      <w:b/>
                      <w:szCs w:val="20"/>
                    </w:rPr>
                  </w:pPr>
                  <w:r>
                    <w:rPr>
                      <w:b/>
                      <w:szCs w:val="20"/>
                    </w:rPr>
                    <w:t>保护目标</w:t>
                  </w:r>
                </w:p>
              </w:tc>
              <w:tc>
                <w:tcPr>
                  <w:tcW w:w="1700" w:type="dxa"/>
                  <w:gridSpan w:val="2"/>
                  <w:vAlign w:val="center"/>
                </w:tcPr>
                <w:p>
                  <w:pPr>
                    <w:jc w:val="center"/>
                    <w:rPr>
                      <w:b/>
                      <w:szCs w:val="20"/>
                    </w:rPr>
                  </w:pPr>
                  <w:r>
                    <w:rPr>
                      <w:b/>
                      <w:szCs w:val="20"/>
                    </w:rPr>
                    <w:t>相对厂址</w:t>
                  </w:r>
                </w:p>
              </w:tc>
              <w:tc>
                <w:tcPr>
                  <w:tcW w:w="870" w:type="dxa"/>
                  <w:vMerge w:val="restart"/>
                  <w:vAlign w:val="center"/>
                </w:tcPr>
                <w:p>
                  <w:pPr>
                    <w:jc w:val="center"/>
                    <w:rPr>
                      <w:b/>
                      <w:szCs w:val="20"/>
                    </w:rPr>
                  </w:pPr>
                  <w:r>
                    <w:rPr>
                      <w:b/>
                      <w:szCs w:val="20"/>
                    </w:rPr>
                    <w:t>人数</w:t>
                  </w:r>
                </w:p>
              </w:tc>
              <w:tc>
                <w:tcPr>
                  <w:tcW w:w="3463" w:type="dxa"/>
                  <w:vMerge w:val="restart"/>
                  <w:vAlign w:val="center"/>
                </w:tcPr>
                <w:p>
                  <w:pPr>
                    <w:jc w:val="center"/>
                    <w:rPr>
                      <w:b/>
                      <w:szCs w:val="20"/>
                    </w:rPr>
                  </w:pPr>
                  <w:r>
                    <w:rPr>
                      <w:b/>
                      <w:szCs w:val="20"/>
                    </w:rPr>
                    <w:t>保护级别</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Merge w:val="continue"/>
                  <w:vAlign w:val="center"/>
                </w:tcPr>
                <w:p>
                  <w:pPr>
                    <w:jc w:val="center"/>
                    <w:rPr>
                      <w:szCs w:val="20"/>
                    </w:rPr>
                  </w:pPr>
                </w:p>
              </w:tc>
              <w:tc>
                <w:tcPr>
                  <w:tcW w:w="1348" w:type="dxa"/>
                  <w:vMerge w:val="continue"/>
                  <w:vAlign w:val="center"/>
                </w:tcPr>
                <w:p>
                  <w:pPr>
                    <w:jc w:val="center"/>
                    <w:rPr>
                      <w:szCs w:val="20"/>
                    </w:rPr>
                  </w:pPr>
                </w:p>
              </w:tc>
              <w:tc>
                <w:tcPr>
                  <w:tcW w:w="768" w:type="dxa"/>
                  <w:vAlign w:val="center"/>
                </w:tcPr>
                <w:p>
                  <w:pPr>
                    <w:jc w:val="center"/>
                    <w:rPr>
                      <w:b/>
                      <w:szCs w:val="20"/>
                    </w:rPr>
                  </w:pPr>
                  <w:r>
                    <w:rPr>
                      <w:b/>
                      <w:szCs w:val="20"/>
                    </w:rPr>
                    <w:t>方位</w:t>
                  </w:r>
                </w:p>
              </w:tc>
              <w:tc>
                <w:tcPr>
                  <w:tcW w:w="932" w:type="dxa"/>
                  <w:vAlign w:val="center"/>
                </w:tcPr>
                <w:p>
                  <w:pPr>
                    <w:jc w:val="center"/>
                    <w:rPr>
                      <w:b/>
                      <w:szCs w:val="20"/>
                    </w:rPr>
                  </w:pPr>
                  <w:r>
                    <w:rPr>
                      <w:b/>
                      <w:szCs w:val="20"/>
                    </w:rPr>
                    <w:t>距离（m）</w:t>
                  </w:r>
                </w:p>
              </w:tc>
              <w:tc>
                <w:tcPr>
                  <w:tcW w:w="870" w:type="dxa"/>
                  <w:vMerge w:val="continue"/>
                  <w:vAlign w:val="center"/>
                </w:tcPr>
                <w:p>
                  <w:pPr>
                    <w:jc w:val="center"/>
                    <w:rPr>
                      <w:szCs w:val="20"/>
                    </w:rPr>
                  </w:pPr>
                </w:p>
              </w:tc>
              <w:tc>
                <w:tcPr>
                  <w:tcW w:w="3463" w:type="dxa"/>
                  <w:vMerge w:val="continue"/>
                  <w:vAlign w:val="center"/>
                </w:tcPr>
                <w:p>
                  <w:pPr>
                    <w:jc w:val="center"/>
                    <w:rPr>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Merge w:val="restart"/>
                  <w:vAlign w:val="center"/>
                </w:tcPr>
                <w:p>
                  <w:pPr>
                    <w:jc w:val="center"/>
                    <w:rPr>
                      <w:szCs w:val="20"/>
                    </w:rPr>
                  </w:pPr>
                  <w:r>
                    <w:rPr>
                      <w:szCs w:val="20"/>
                    </w:rPr>
                    <w:t>环境空气</w:t>
                  </w:r>
                </w:p>
              </w:tc>
              <w:tc>
                <w:tcPr>
                  <w:tcW w:w="1348" w:type="dxa"/>
                  <w:vAlign w:val="center"/>
                </w:tcPr>
                <w:p>
                  <w:pPr>
                    <w:jc w:val="center"/>
                    <w:rPr>
                      <w:szCs w:val="20"/>
                    </w:rPr>
                  </w:pPr>
                  <w:r>
                    <w:rPr>
                      <w:rFonts w:hint="eastAsia"/>
                      <w:bCs/>
                      <w:szCs w:val="20"/>
                    </w:rPr>
                    <w:t>高勒庙村</w:t>
                  </w:r>
                  <w:r>
                    <w:rPr>
                      <w:rFonts w:hint="eastAsia"/>
                      <w:szCs w:val="20"/>
                    </w:rPr>
                    <w:t>散户</w:t>
                  </w:r>
                </w:p>
              </w:tc>
              <w:tc>
                <w:tcPr>
                  <w:tcW w:w="768" w:type="dxa"/>
                  <w:vAlign w:val="center"/>
                </w:tcPr>
                <w:p>
                  <w:pPr>
                    <w:jc w:val="center"/>
                    <w:rPr>
                      <w:bCs/>
                      <w:szCs w:val="20"/>
                    </w:rPr>
                  </w:pPr>
                  <w:r>
                    <w:rPr>
                      <w:bCs/>
                      <w:szCs w:val="20"/>
                    </w:rPr>
                    <w:t>NE</w:t>
                  </w:r>
                </w:p>
              </w:tc>
              <w:tc>
                <w:tcPr>
                  <w:tcW w:w="932" w:type="dxa"/>
                  <w:vAlign w:val="center"/>
                </w:tcPr>
                <w:p>
                  <w:pPr>
                    <w:jc w:val="center"/>
                    <w:rPr>
                      <w:bCs/>
                      <w:szCs w:val="20"/>
                    </w:rPr>
                  </w:pPr>
                  <w:r>
                    <w:rPr>
                      <w:rFonts w:hint="eastAsia"/>
                      <w:bCs/>
                      <w:szCs w:val="20"/>
                    </w:rPr>
                    <w:t>4</w:t>
                  </w:r>
                  <w:r>
                    <w:rPr>
                      <w:bCs/>
                      <w:szCs w:val="20"/>
                    </w:rPr>
                    <w:t>35</w:t>
                  </w:r>
                </w:p>
              </w:tc>
              <w:tc>
                <w:tcPr>
                  <w:tcW w:w="870" w:type="dxa"/>
                  <w:vAlign w:val="center"/>
                </w:tcPr>
                <w:p>
                  <w:pPr>
                    <w:jc w:val="center"/>
                    <w:rPr>
                      <w:szCs w:val="20"/>
                    </w:rPr>
                  </w:pPr>
                  <w:r>
                    <w:rPr>
                      <w:szCs w:val="20"/>
                    </w:rPr>
                    <w:t>6</w:t>
                  </w:r>
                </w:p>
              </w:tc>
              <w:tc>
                <w:tcPr>
                  <w:tcW w:w="3463" w:type="dxa"/>
                  <w:vMerge w:val="restart"/>
                  <w:vAlign w:val="center"/>
                </w:tcPr>
                <w:p>
                  <w:pPr>
                    <w:jc w:val="center"/>
                    <w:rPr>
                      <w:szCs w:val="20"/>
                    </w:rPr>
                  </w:pPr>
                  <w:r>
                    <w:rPr>
                      <w:szCs w:val="20"/>
                    </w:rPr>
                    <w:t>《环境空气质量标准》（GB3095-2012）二级标准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Merge w:val="continue"/>
                  <w:vAlign w:val="center"/>
                </w:tcPr>
                <w:p>
                  <w:pPr>
                    <w:jc w:val="center"/>
                    <w:rPr>
                      <w:szCs w:val="20"/>
                    </w:rPr>
                  </w:pPr>
                </w:p>
              </w:tc>
              <w:tc>
                <w:tcPr>
                  <w:tcW w:w="1348" w:type="dxa"/>
                  <w:vAlign w:val="center"/>
                </w:tcPr>
                <w:p>
                  <w:pPr>
                    <w:jc w:val="center"/>
                    <w:rPr>
                      <w:szCs w:val="20"/>
                    </w:rPr>
                  </w:pPr>
                  <w:r>
                    <w:rPr>
                      <w:rFonts w:hint="eastAsia"/>
                    </w:rPr>
                    <w:t>高勒庙村散户</w:t>
                  </w:r>
                </w:p>
              </w:tc>
              <w:tc>
                <w:tcPr>
                  <w:tcW w:w="768" w:type="dxa"/>
                  <w:vAlign w:val="center"/>
                </w:tcPr>
                <w:p>
                  <w:pPr>
                    <w:jc w:val="center"/>
                    <w:rPr>
                      <w:bCs/>
                      <w:szCs w:val="20"/>
                    </w:rPr>
                  </w:pPr>
                  <w:r>
                    <w:rPr>
                      <w:rFonts w:hint="eastAsia"/>
                      <w:bCs/>
                      <w:szCs w:val="20"/>
                    </w:rPr>
                    <w:t>S</w:t>
                  </w:r>
                  <w:r>
                    <w:rPr>
                      <w:bCs/>
                      <w:szCs w:val="20"/>
                    </w:rPr>
                    <w:t>W</w:t>
                  </w:r>
                </w:p>
              </w:tc>
              <w:tc>
                <w:tcPr>
                  <w:tcW w:w="932" w:type="dxa"/>
                  <w:vAlign w:val="center"/>
                </w:tcPr>
                <w:p>
                  <w:pPr>
                    <w:jc w:val="center"/>
                    <w:rPr>
                      <w:bCs/>
                      <w:szCs w:val="20"/>
                    </w:rPr>
                  </w:pPr>
                  <w:r>
                    <w:rPr>
                      <w:rFonts w:hint="eastAsia"/>
                      <w:bCs/>
                      <w:szCs w:val="20"/>
                    </w:rPr>
                    <w:t>3</w:t>
                  </w:r>
                  <w:r>
                    <w:rPr>
                      <w:bCs/>
                      <w:szCs w:val="20"/>
                    </w:rPr>
                    <w:t>20</w:t>
                  </w:r>
                </w:p>
              </w:tc>
              <w:tc>
                <w:tcPr>
                  <w:tcW w:w="870" w:type="dxa"/>
                  <w:vAlign w:val="center"/>
                </w:tcPr>
                <w:p>
                  <w:pPr>
                    <w:jc w:val="center"/>
                    <w:rPr>
                      <w:szCs w:val="20"/>
                    </w:rPr>
                  </w:pPr>
                  <w:r>
                    <w:rPr>
                      <w:rFonts w:hint="eastAsia"/>
                      <w:szCs w:val="20"/>
                    </w:rPr>
                    <w:t>2</w:t>
                  </w:r>
                </w:p>
              </w:tc>
              <w:tc>
                <w:tcPr>
                  <w:tcW w:w="3463" w:type="dxa"/>
                  <w:vMerge w:val="continue"/>
                  <w:vAlign w:val="center"/>
                </w:tcPr>
                <w:p>
                  <w:pPr>
                    <w:jc w:val="center"/>
                    <w:rPr>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Merge w:val="continue"/>
                  <w:vAlign w:val="center"/>
                </w:tcPr>
                <w:p>
                  <w:pPr>
                    <w:jc w:val="center"/>
                    <w:rPr>
                      <w:szCs w:val="20"/>
                    </w:rPr>
                  </w:pPr>
                </w:p>
              </w:tc>
              <w:tc>
                <w:tcPr>
                  <w:tcW w:w="1348" w:type="dxa"/>
                  <w:vAlign w:val="center"/>
                </w:tcPr>
                <w:p>
                  <w:pPr>
                    <w:jc w:val="center"/>
                    <w:rPr>
                      <w:szCs w:val="20"/>
                    </w:rPr>
                  </w:pPr>
                  <w:r>
                    <w:rPr>
                      <w:rFonts w:hint="eastAsia"/>
                    </w:rPr>
                    <w:t>高勒庙村散户</w:t>
                  </w:r>
                </w:p>
              </w:tc>
              <w:tc>
                <w:tcPr>
                  <w:tcW w:w="768" w:type="dxa"/>
                  <w:vAlign w:val="center"/>
                </w:tcPr>
                <w:p>
                  <w:pPr>
                    <w:jc w:val="center"/>
                    <w:rPr>
                      <w:bCs/>
                      <w:szCs w:val="20"/>
                    </w:rPr>
                  </w:pPr>
                  <w:r>
                    <w:rPr>
                      <w:rFonts w:hint="eastAsia"/>
                      <w:bCs/>
                      <w:szCs w:val="20"/>
                    </w:rPr>
                    <w:t>W</w:t>
                  </w:r>
                </w:p>
              </w:tc>
              <w:tc>
                <w:tcPr>
                  <w:tcW w:w="932" w:type="dxa"/>
                  <w:vAlign w:val="center"/>
                </w:tcPr>
                <w:p>
                  <w:pPr>
                    <w:jc w:val="center"/>
                    <w:rPr>
                      <w:bCs/>
                      <w:szCs w:val="20"/>
                    </w:rPr>
                  </w:pPr>
                  <w:r>
                    <w:rPr>
                      <w:rFonts w:hint="eastAsia"/>
                      <w:bCs/>
                      <w:szCs w:val="20"/>
                    </w:rPr>
                    <w:t>5</w:t>
                  </w:r>
                  <w:r>
                    <w:rPr>
                      <w:bCs/>
                      <w:szCs w:val="20"/>
                    </w:rPr>
                    <w:t>00</w:t>
                  </w:r>
                </w:p>
              </w:tc>
              <w:tc>
                <w:tcPr>
                  <w:tcW w:w="870" w:type="dxa"/>
                  <w:vAlign w:val="center"/>
                </w:tcPr>
                <w:p>
                  <w:pPr>
                    <w:jc w:val="center"/>
                    <w:rPr>
                      <w:szCs w:val="20"/>
                    </w:rPr>
                  </w:pPr>
                  <w:r>
                    <w:rPr>
                      <w:rFonts w:hint="eastAsia"/>
                      <w:szCs w:val="20"/>
                    </w:rPr>
                    <w:t>3</w:t>
                  </w:r>
                </w:p>
              </w:tc>
              <w:tc>
                <w:tcPr>
                  <w:tcW w:w="3463" w:type="dxa"/>
                  <w:vMerge w:val="continue"/>
                  <w:vAlign w:val="center"/>
                </w:tcPr>
                <w:p>
                  <w:pPr>
                    <w:jc w:val="center"/>
                    <w:rPr>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Merge w:val="continue"/>
                  <w:vAlign w:val="center"/>
                </w:tcPr>
                <w:p>
                  <w:pPr>
                    <w:jc w:val="center"/>
                    <w:rPr>
                      <w:szCs w:val="20"/>
                    </w:rPr>
                  </w:pPr>
                </w:p>
              </w:tc>
              <w:tc>
                <w:tcPr>
                  <w:tcW w:w="1348" w:type="dxa"/>
                  <w:vAlign w:val="center"/>
                </w:tcPr>
                <w:p>
                  <w:pPr>
                    <w:jc w:val="center"/>
                    <w:rPr>
                      <w:szCs w:val="20"/>
                    </w:rPr>
                  </w:pPr>
                  <w:r>
                    <w:rPr>
                      <w:rFonts w:hint="eastAsia"/>
                    </w:rPr>
                    <w:t>高勒庙村散户</w:t>
                  </w:r>
                </w:p>
              </w:tc>
              <w:tc>
                <w:tcPr>
                  <w:tcW w:w="768" w:type="dxa"/>
                  <w:vAlign w:val="center"/>
                </w:tcPr>
                <w:p>
                  <w:pPr>
                    <w:jc w:val="center"/>
                    <w:rPr>
                      <w:bCs/>
                      <w:szCs w:val="20"/>
                    </w:rPr>
                  </w:pPr>
                  <w:r>
                    <w:rPr>
                      <w:rFonts w:hint="eastAsia"/>
                      <w:bCs/>
                      <w:szCs w:val="20"/>
                    </w:rPr>
                    <w:t>N</w:t>
                  </w:r>
                  <w:r>
                    <w:rPr>
                      <w:bCs/>
                      <w:szCs w:val="20"/>
                    </w:rPr>
                    <w:t>W</w:t>
                  </w:r>
                </w:p>
              </w:tc>
              <w:tc>
                <w:tcPr>
                  <w:tcW w:w="932" w:type="dxa"/>
                  <w:vAlign w:val="center"/>
                </w:tcPr>
                <w:p>
                  <w:pPr>
                    <w:jc w:val="center"/>
                    <w:rPr>
                      <w:bCs/>
                      <w:szCs w:val="20"/>
                    </w:rPr>
                  </w:pPr>
                  <w:r>
                    <w:rPr>
                      <w:rFonts w:hint="eastAsia"/>
                      <w:bCs/>
                      <w:szCs w:val="20"/>
                    </w:rPr>
                    <w:t>1</w:t>
                  </w:r>
                  <w:r>
                    <w:rPr>
                      <w:bCs/>
                      <w:szCs w:val="20"/>
                    </w:rPr>
                    <w:t>60</w:t>
                  </w:r>
                </w:p>
              </w:tc>
              <w:tc>
                <w:tcPr>
                  <w:tcW w:w="870" w:type="dxa"/>
                  <w:vAlign w:val="center"/>
                </w:tcPr>
                <w:p>
                  <w:pPr>
                    <w:jc w:val="center"/>
                    <w:rPr>
                      <w:szCs w:val="20"/>
                    </w:rPr>
                  </w:pPr>
                  <w:r>
                    <w:rPr>
                      <w:rFonts w:hint="eastAsia"/>
                      <w:szCs w:val="20"/>
                    </w:rPr>
                    <w:t>2</w:t>
                  </w:r>
                </w:p>
              </w:tc>
              <w:tc>
                <w:tcPr>
                  <w:tcW w:w="3463" w:type="dxa"/>
                  <w:vMerge w:val="continue"/>
                  <w:vAlign w:val="center"/>
                </w:tcPr>
                <w:p>
                  <w:pPr>
                    <w:jc w:val="center"/>
                    <w:rPr>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Merge w:val="continue"/>
                  <w:vAlign w:val="center"/>
                </w:tcPr>
                <w:p>
                  <w:pPr>
                    <w:jc w:val="center"/>
                    <w:rPr>
                      <w:szCs w:val="20"/>
                    </w:rPr>
                  </w:pPr>
                </w:p>
              </w:tc>
              <w:tc>
                <w:tcPr>
                  <w:tcW w:w="1348" w:type="dxa"/>
                  <w:vAlign w:val="center"/>
                </w:tcPr>
                <w:p>
                  <w:pPr>
                    <w:jc w:val="center"/>
                    <w:rPr>
                      <w:szCs w:val="20"/>
                    </w:rPr>
                  </w:pPr>
                  <w:r>
                    <w:rPr>
                      <w:rFonts w:hint="eastAsia"/>
                    </w:rPr>
                    <w:t>高勒庙村散户</w:t>
                  </w:r>
                </w:p>
              </w:tc>
              <w:tc>
                <w:tcPr>
                  <w:tcW w:w="768" w:type="dxa"/>
                  <w:vAlign w:val="center"/>
                </w:tcPr>
                <w:p>
                  <w:pPr>
                    <w:jc w:val="center"/>
                    <w:rPr>
                      <w:bCs/>
                      <w:szCs w:val="20"/>
                    </w:rPr>
                  </w:pPr>
                  <w:r>
                    <w:rPr>
                      <w:rFonts w:hint="eastAsia"/>
                      <w:bCs/>
                      <w:szCs w:val="20"/>
                    </w:rPr>
                    <w:t>N</w:t>
                  </w:r>
                  <w:r>
                    <w:rPr>
                      <w:bCs/>
                      <w:szCs w:val="20"/>
                    </w:rPr>
                    <w:t>W</w:t>
                  </w:r>
                </w:p>
              </w:tc>
              <w:tc>
                <w:tcPr>
                  <w:tcW w:w="932" w:type="dxa"/>
                  <w:vAlign w:val="center"/>
                </w:tcPr>
                <w:p>
                  <w:pPr>
                    <w:jc w:val="center"/>
                    <w:rPr>
                      <w:bCs/>
                      <w:szCs w:val="20"/>
                    </w:rPr>
                  </w:pPr>
                  <w:r>
                    <w:rPr>
                      <w:rFonts w:hint="eastAsia"/>
                      <w:bCs/>
                      <w:szCs w:val="20"/>
                    </w:rPr>
                    <w:t>4</w:t>
                  </w:r>
                  <w:r>
                    <w:rPr>
                      <w:bCs/>
                      <w:szCs w:val="20"/>
                    </w:rPr>
                    <w:t>20</w:t>
                  </w:r>
                </w:p>
              </w:tc>
              <w:tc>
                <w:tcPr>
                  <w:tcW w:w="870" w:type="dxa"/>
                  <w:vAlign w:val="center"/>
                </w:tcPr>
                <w:p>
                  <w:pPr>
                    <w:jc w:val="center"/>
                    <w:rPr>
                      <w:szCs w:val="20"/>
                    </w:rPr>
                  </w:pPr>
                  <w:r>
                    <w:rPr>
                      <w:rFonts w:hint="eastAsia"/>
                      <w:szCs w:val="20"/>
                    </w:rPr>
                    <w:t>2</w:t>
                  </w:r>
                </w:p>
              </w:tc>
              <w:tc>
                <w:tcPr>
                  <w:tcW w:w="3463" w:type="dxa"/>
                  <w:vMerge w:val="continue"/>
                  <w:vAlign w:val="center"/>
                </w:tcPr>
                <w:p>
                  <w:pPr>
                    <w:jc w:val="center"/>
                    <w:rPr>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0" w:hRule="atLeast"/>
                <w:jc w:val="center"/>
              </w:trPr>
              <w:tc>
                <w:tcPr>
                  <w:tcW w:w="841" w:type="dxa"/>
                  <w:vMerge w:val="continue"/>
                  <w:vAlign w:val="center"/>
                </w:tcPr>
                <w:p>
                  <w:pPr>
                    <w:jc w:val="center"/>
                    <w:rPr>
                      <w:szCs w:val="20"/>
                    </w:rPr>
                  </w:pPr>
                </w:p>
              </w:tc>
              <w:tc>
                <w:tcPr>
                  <w:tcW w:w="1348" w:type="dxa"/>
                  <w:vAlign w:val="center"/>
                </w:tcPr>
                <w:p>
                  <w:pPr>
                    <w:jc w:val="center"/>
                    <w:rPr>
                      <w:szCs w:val="20"/>
                    </w:rPr>
                  </w:pPr>
                  <w:r>
                    <w:rPr>
                      <w:rFonts w:hint="eastAsia"/>
                    </w:rPr>
                    <w:t>高勒庙村散户</w:t>
                  </w:r>
                </w:p>
              </w:tc>
              <w:tc>
                <w:tcPr>
                  <w:tcW w:w="768" w:type="dxa"/>
                  <w:vAlign w:val="center"/>
                </w:tcPr>
                <w:p>
                  <w:pPr>
                    <w:jc w:val="center"/>
                    <w:rPr>
                      <w:bCs/>
                      <w:szCs w:val="20"/>
                    </w:rPr>
                  </w:pPr>
                  <w:r>
                    <w:rPr>
                      <w:rFonts w:hint="eastAsia"/>
                      <w:bCs/>
                      <w:szCs w:val="20"/>
                    </w:rPr>
                    <w:t>N</w:t>
                  </w:r>
                </w:p>
              </w:tc>
              <w:tc>
                <w:tcPr>
                  <w:tcW w:w="932" w:type="dxa"/>
                  <w:vAlign w:val="center"/>
                </w:tcPr>
                <w:p>
                  <w:pPr>
                    <w:jc w:val="center"/>
                    <w:rPr>
                      <w:bCs/>
                      <w:szCs w:val="20"/>
                    </w:rPr>
                  </w:pPr>
                  <w:r>
                    <w:rPr>
                      <w:rFonts w:hint="eastAsia"/>
                      <w:bCs/>
                      <w:szCs w:val="20"/>
                    </w:rPr>
                    <w:t>3</w:t>
                  </w:r>
                  <w:r>
                    <w:rPr>
                      <w:bCs/>
                      <w:szCs w:val="20"/>
                    </w:rPr>
                    <w:t>90</w:t>
                  </w:r>
                </w:p>
              </w:tc>
              <w:tc>
                <w:tcPr>
                  <w:tcW w:w="870" w:type="dxa"/>
                  <w:vAlign w:val="center"/>
                </w:tcPr>
                <w:p>
                  <w:pPr>
                    <w:jc w:val="center"/>
                    <w:rPr>
                      <w:szCs w:val="20"/>
                    </w:rPr>
                  </w:pPr>
                  <w:r>
                    <w:rPr>
                      <w:rFonts w:hint="eastAsia"/>
                      <w:szCs w:val="20"/>
                    </w:rPr>
                    <w:t>2</w:t>
                  </w:r>
                </w:p>
              </w:tc>
              <w:tc>
                <w:tcPr>
                  <w:tcW w:w="3463" w:type="dxa"/>
                  <w:vMerge w:val="continue"/>
                  <w:vAlign w:val="center"/>
                </w:tcPr>
                <w:p>
                  <w:pPr>
                    <w:jc w:val="center"/>
                    <w:rPr>
                      <w:szCs w:val="20"/>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Align w:val="center"/>
                </w:tcPr>
                <w:p>
                  <w:pPr>
                    <w:jc w:val="center"/>
                    <w:rPr>
                      <w:szCs w:val="20"/>
                    </w:rPr>
                  </w:pPr>
                  <w:r>
                    <w:rPr>
                      <w:szCs w:val="20"/>
                    </w:rPr>
                    <w:t>声环境</w:t>
                  </w:r>
                </w:p>
              </w:tc>
              <w:tc>
                <w:tcPr>
                  <w:tcW w:w="3918" w:type="dxa"/>
                  <w:gridSpan w:val="4"/>
                  <w:vAlign w:val="center"/>
                </w:tcPr>
                <w:p>
                  <w:pPr>
                    <w:jc w:val="center"/>
                    <w:rPr>
                      <w:szCs w:val="20"/>
                    </w:rPr>
                  </w:pPr>
                  <w:r>
                    <w:rPr>
                      <w:szCs w:val="20"/>
                    </w:rPr>
                    <w:t>项目厂界外50m范围内无声环境敏感目标</w:t>
                  </w:r>
                </w:p>
              </w:tc>
              <w:tc>
                <w:tcPr>
                  <w:tcW w:w="3463" w:type="dxa"/>
                  <w:vAlign w:val="center"/>
                </w:tcPr>
                <w:p>
                  <w:pPr>
                    <w:jc w:val="center"/>
                    <w:rPr>
                      <w:szCs w:val="20"/>
                    </w:rPr>
                  </w:pPr>
                  <w:r>
                    <w:rPr>
                      <w:szCs w:val="20"/>
                    </w:rPr>
                    <w:t>《声环境质量标准》（GB3096-2008）2类标准</w:t>
                  </w:r>
                  <w:bookmarkStart w:id="9" w:name="_GoBack"/>
                  <w:bookmarkEnd w:id="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Align w:val="center"/>
                </w:tcPr>
                <w:p>
                  <w:pPr>
                    <w:jc w:val="center"/>
                    <w:rPr>
                      <w:szCs w:val="20"/>
                    </w:rPr>
                  </w:pPr>
                  <w:r>
                    <w:rPr>
                      <w:szCs w:val="21"/>
                    </w:rPr>
                    <w:t>地下水</w:t>
                  </w:r>
                </w:p>
              </w:tc>
              <w:tc>
                <w:tcPr>
                  <w:tcW w:w="7381" w:type="dxa"/>
                  <w:gridSpan w:val="5"/>
                  <w:vAlign w:val="center"/>
                </w:tcPr>
                <w:p>
                  <w:pPr>
                    <w:jc w:val="center"/>
                    <w:rPr>
                      <w:szCs w:val="20"/>
                    </w:rPr>
                  </w:pPr>
                  <w:r>
                    <w:rPr>
                      <w:szCs w:val="21"/>
                    </w:rPr>
                    <w:t>厂界外500米范围内不涉及地下水集中式饮用水水源和热水、矿泉水、温泉等特殊地下水资源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41" w:type="dxa"/>
                  <w:vAlign w:val="center"/>
                </w:tcPr>
                <w:p>
                  <w:pPr>
                    <w:jc w:val="center"/>
                    <w:rPr>
                      <w:szCs w:val="20"/>
                    </w:rPr>
                  </w:pPr>
                  <w:r>
                    <w:rPr>
                      <w:szCs w:val="21"/>
                    </w:rPr>
                    <w:t>生态环境</w:t>
                  </w:r>
                </w:p>
              </w:tc>
              <w:tc>
                <w:tcPr>
                  <w:tcW w:w="7381" w:type="dxa"/>
                  <w:gridSpan w:val="5"/>
                  <w:vAlign w:val="center"/>
                </w:tcPr>
                <w:p>
                  <w:pPr>
                    <w:jc w:val="center"/>
                    <w:rPr>
                      <w:szCs w:val="20"/>
                    </w:rPr>
                  </w:pPr>
                  <w:r>
                    <w:rPr>
                      <w:bCs/>
                      <w:szCs w:val="21"/>
                    </w:rPr>
                    <w:t>项目位于</w:t>
                  </w:r>
                  <w:r>
                    <w:rPr>
                      <w:rFonts w:hint="eastAsia"/>
                      <w:bCs/>
                      <w:szCs w:val="21"/>
                    </w:rPr>
                    <w:t>伊金霍洛旗札萨克镇高勒庙村</w:t>
                  </w:r>
                  <w:r>
                    <w:rPr>
                      <w:bCs/>
                      <w:szCs w:val="21"/>
                    </w:rPr>
                    <w:t>，</w:t>
                  </w:r>
                  <w:r>
                    <w:rPr>
                      <w:rFonts w:hint="eastAsia"/>
                      <w:bCs/>
                      <w:szCs w:val="21"/>
                    </w:rPr>
                    <w:t>原有地块植被覆盖率较低，动物稀少。项目不涉及生态保护红线、不涉及各类自然保护地，</w:t>
                  </w:r>
                  <w:r>
                    <w:rPr>
                      <w:bCs/>
                      <w:szCs w:val="21"/>
                    </w:rPr>
                    <w:t>周边无生态环境敏感目标</w:t>
                  </w:r>
                  <w:r>
                    <w:rPr>
                      <w:szCs w:val="21"/>
                    </w:rPr>
                    <w:t>。</w:t>
                  </w:r>
                </w:p>
              </w:tc>
            </w:tr>
          </w:tbl>
          <w:p>
            <w:pPr>
              <w:spacing w:line="360" w:lineRule="auto"/>
              <w:rPr>
                <w:rFonts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9" w:hRule="atLeast"/>
          <w:jc w:val="center"/>
        </w:trPr>
        <w:tc>
          <w:tcPr>
            <w:tcW w:w="699" w:type="dxa"/>
            <w:tcMar>
              <w:left w:w="28" w:type="dxa"/>
              <w:right w:w="28" w:type="dxa"/>
            </w:tcMar>
            <w:vAlign w:val="center"/>
          </w:tcPr>
          <w:p>
            <w:pPr>
              <w:adjustRightInd w:val="0"/>
              <w:snapToGrid w:val="0"/>
              <w:jc w:val="center"/>
              <w:rPr>
                <w:rFonts w:cs="宋体"/>
                <w:kern w:val="0"/>
                <w:szCs w:val="21"/>
              </w:rPr>
            </w:pPr>
            <w:r>
              <w:rPr>
                <w:rFonts w:hint="eastAsia" w:cs="宋体"/>
                <w:kern w:val="0"/>
                <w:szCs w:val="21"/>
              </w:rPr>
              <w:t>污染</w:t>
            </w:r>
          </w:p>
          <w:p>
            <w:pPr>
              <w:adjustRightInd w:val="0"/>
              <w:snapToGrid w:val="0"/>
              <w:jc w:val="center"/>
              <w:rPr>
                <w:rFonts w:cs="宋体"/>
                <w:kern w:val="0"/>
                <w:szCs w:val="21"/>
              </w:rPr>
            </w:pPr>
            <w:r>
              <w:rPr>
                <w:rFonts w:hint="eastAsia" w:cs="宋体"/>
                <w:kern w:val="0"/>
                <w:szCs w:val="21"/>
              </w:rPr>
              <w:t>物排</w:t>
            </w:r>
          </w:p>
          <w:p>
            <w:pPr>
              <w:adjustRightInd w:val="0"/>
              <w:snapToGrid w:val="0"/>
              <w:jc w:val="center"/>
              <w:rPr>
                <w:rFonts w:cs="宋体"/>
                <w:kern w:val="0"/>
                <w:szCs w:val="21"/>
              </w:rPr>
            </w:pPr>
            <w:r>
              <w:rPr>
                <w:rFonts w:hint="eastAsia" w:cs="宋体"/>
                <w:kern w:val="0"/>
                <w:szCs w:val="21"/>
              </w:rPr>
              <w:t>放控</w:t>
            </w:r>
          </w:p>
          <w:p>
            <w:pPr>
              <w:adjustRightInd w:val="0"/>
              <w:snapToGrid w:val="0"/>
              <w:jc w:val="center"/>
              <w:rPr>
                <w:rFonts w:cs="宋体"/>
                <w:kern w:val="0"/>
                <w:szCs w:val="21"/>
              </w:rPr>
            </w:pPr>
            <w:r>
              <w:rPr>
                <w:rFonts w:hint="eastAsia" w:cs="宋体"/>
                <w:kern w:val="0"/>
                <w:szCs w:val="21"/>
              </w:rPr>
              <w:t>制标</w:t>
            </w:r>
          </w:p>
          <w:p>
            <w:pPr>
              <w:adjustRightInd w:val="0"/>
              <w:snapToGrid w:val="0"/>
              <w:jc w:val="center"/>
              <w:rPr>
                <w:rFonts w:cs="宋体"/>
                <w:kern w:val="0"/>
                <w:szCs w:val="21"/>
              </w:rPr>
            </w:pPr>
            <w:r>
              <w:rPr>
                <w:rFonts w:hint="eastAsia" w:cs="宋体"/>
                <w:kern w:val="0"/>
                <w:szCs w:val="21"/>
              </w:rPr>
              <w:t>准</w:t>
            </w:r>
          </w:p>
        </w:tc>
        <w:tc>
          <w:tcPr>
            <w:tcW w:w="8126" w:type="dxa"/>
            <w:vAlign w:val="center"/>
          </w:tcPr>
          <w:p>
            <w:pPr>
              <w:spacing w:line="360" w:lineRule="auto"/>
              <w:rPr>
                <w:b/>
                <w:kern w:val="0"/>
                <w:sz w:val="24"/>
              </w:rPr>
            </w:pPr>
            <w:r>
              <w:rPr>
                <w:b/>
                <w:kern w:val="0"/>
                <w:sz w:val="24"/>
              </w:rPr>
              <w:t>1、大气污染物排放标准</w:t>
            </w:r>
          </w:p>
          <w:p>
            <w:pPr>
              <w:spacing w:line="360" w:lineRule="auto"/>
              <w:ind w:firstLine="480" w:firstLineChars="200"/>
              <w:rPr>
                <w:sz w:val="24"/>
                <w:szCs w:val="22"/>
              </w:rPr>
            </w:pPr>
            <w:r>
              <w:rPr>
                <w:sz w:val="24"/>
                <w:szCs w:val="22"/>
              </w:rPr>
              <w:t>本项目施工期产生粉尘执行《大气污染物综合排放标准》（GB16297-1996）中的表2新污染源大气排放限值中无组织排放监控浓度限值。</w:t>
            </w:r>
          </w:p>
          <w:p>
            <w:pPr>
              <w:spacing w:line="312" w:lineRule="auto"/>
              <w:ind w:firstLine="422"/>
              <w:jc w:val="center"/>
              <w:rPr>
                <w:b/>
                <w:bCs/>
                <w:sz w:val="24"/>
              </w:rPr>
            </w:pPr>
            <w:r>
              <w:rPr>
                <w:b/>
                <w:bCs/>
                <w:sz w:val="24"/>
              </w:rPr>
              <w:t>表3-6 施工期大气污染物排放标准一览表</w:t>
            </w:r>
          </w:p>
          <w:tbl>
            <w:tblPr>
              <w:tblStyle w:val="14"/>
              <w:tblW w:w="82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807"/>
              <w:gridCol w:w="518"/>
              <w:gridCol w:w="1154"/>
              <w:gridCol w:w="1212"/>
              <w:gridCol w:w="681"/>
              <w:gridCol w:w="1248"/>
              <w:gridCol w:w="260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81" w:hRule="atLeast"/>
                <w:jc w:val="center"/>
              </w:trPr>
              <w:tc>
                <w:tcPr>
                  <w:tcW w:w="845" w:type="dxa"/>
                  <w:vMerge w:val="restart"/>
                  <w:tcMar>
                    <w:left w:w="0" w:type="dxa"/>
                    <w:right w:w="0" w:type="dxa"/>
                  </w:tcMar>
                  <w:vAlign w:val="center"/>
                </w:tcPr>
                <w:p>
                  <w:pPr>
                    <w:adjustRightInd w:val="0"/>
                    <w:snapToGrid w:val="0"/>
                    <w:jc w:val="center"/>
                    <w:rPr>
                      <w:b/>
                      <w:szCs w:val="21"/>
                    </w:rPr>
                  </w:pPr>
                  <w:r>
                    <w:rPr>
                      <w:b/>
                      <w:szCs w:val="21"/>
                    </w:rPr>
                    <w:t>时期</w:t>
                  </w:r>
                </w:p>
              </w:tc>
              <w:tc>
                <w:tcPr>
                  <w:tcW w:w="534" w:type="dxa"/>
                  <w:vMerge w:val="restart"/>
                  <w:vAlign w:val="center"/>
                </w:tcPr>
                <w:p>
                  <w:pPr>
                    <w:adjustRightInd w:val="0"/>
                    <w:snapToGrid w:val="0"/>
                    <w:jc w:val="center"/>
                    <w:rPr>
                      <w:b/>
                      <w:szCs w:val="21"/>
                    </w:rPr>
                  </w:pPr>
                  <w:r>
                    <w:rPr>
                      <w:b/>
                      <w:szCs w:val="21"/>
                    </w:rPr>
                    <w:t>污染物</w:t>
                  </w:r>
                </w:p>
              </w:tc>
              <w:tc>
                <w:tcPr>
                  <w:tcW w:w="1169" w:type="dxa"/>
                  <w:vMerge w:val="restart"/>
                  <w:vAlign w:val="center"/>
                </w:tcPr>
                <w:p>
                  <w:pPr>
                    <w:adjustRightInd w:val="0"/>
                    <w:snapToGrid w:val="0"/>
                    <w:jc w:val="center"/>
                    <w:rPr>
                      <w:b/>
                      <w:kern w:val="0"/>
                      <w:szCs w:val="21"/>
                    </w:rPr>
                  </w:pPr>
                  <w:r>
                    <w:rPr>
                      <w:b/>
                      <w:kern w:val="0"/>
                      <w:szCs w:val="21"/>
                    </w:rPr>
                    <w:t>最高允许排放浓度</w:t>
                  </w:r>
                </w:p>
              </w:tc>
              <w:tc>
                <w:tcPr>
                  <w:tcW w:w="1981" w:type="dxa"/>
                  <w:gridSpan w:val="2"/>
                  <w:vAlign w:val="center"/>
                </w:tcPr>
                <w:p>
                  <w:pPr>
                    <w:adjustRightInd w:val="0"/>
                    <w:snapToGrid w:val="0"/>
                    <w:jc w:val="center"/>
                    <w:rPr>
                      <w:b/>
                      <w:bCs/>
                      <w:kern w:val="0"/>
                      <w:szCs w:val="21"/>
                    </w:rPr>
                  </w:pPr>
                  <w:r>
                    <w:rPr>
                      <w:b/>
                      <w:bCs/>
                      <w:kern w:val="0"/>
                      <w:szCs w:val="21"/>
                    </w:rPr>
                    <w:t>最高允许排放速率</w:t>
                  </w:r>
                </w:p>
              </w:tc>
              <w:tc>
                <w:tcPr>
                  <w:tcW w:w="1275" w:type="dxa"/>
                  <w:vMerge w:val="restart"/>
                  <w:tcMar>
                    <w:left w:w="0" w:type="dxa"/>
                    <w:right w:w="0" w:type="dxa"/>
                  </w:tcMar>
                  <w:vAlign w:val="center"/>
                </w:tcPr>
                <w:p>
                  <w:pPr>
                    <w:adjustRightInd w:val="0"/>
                    <w:snapToGrid w:val="0"/>
                    <w:jc w:val="center"/>
                    <w:rPr>
                      <w:b/>
                      <w:szCs w:val="21"/>
                    </w:rPr>
                  </w:pPr>
                  <w:r>
                    <w:rPr>
                      <w:b/>
                      <w:bCs/>
                      <w:kern w:val="0"/>
                      <w:szCs w:val="21"/>
                    </w:rPr>
                    <w:t>无组织排放监控浓度限值</w:t>
                  </w:r>
                </w:p>
              </w:tc>
              <w:tc>
                <w:tcPr>
                  <w:tcW w:w="2729" w:type="dxa"/>
                  <w:vMerge w:val="restart"/>
                  <w:tcMar>
                    <w:left w:w="0" w:type="dxa"/>
                    <w:right w:w="0" w:type="dxa"/>
                  </w:tcMar>
                  <w:vAlign w:val="center"/>
                </w:tcPr>
                <w:p>
                  <w:pPr>
                    <w:adjustRightInd w:val="0"/>
                    <w:snapToGrid w:val="0"/>
                    <w:jc w:val="center"/>
                    <w:rPr>
                      <w:b/>
                      <w:szCs w:val="21"/>
                    </w:rPr>
                  </w:pPr>
                  <w:r>
                    <w:rPr>
                      <w:b/>
                      <w:szCs w:val="21"/>
                    </w:rPr>
                    <w:t>标准来源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81" w:hRule="atLeast"/>
                <w:jc w:val="center"/>
              </w:trPr>
              <w:tc>
                <w:tcPr>
                  <w:tcW w:w="845" w:type="dxa"/>
                  <w:vMerge w:val="continue"/>
                  <w:tcMar>
                    <w:left w:w="0" w:type="dxa"/>
                    <w:right w:w="0" w:type="dxa"/>
                  </w:tcMar>
                  <w:vAlign w:val="center"/>
                </w:tcPr>
                <w:p>
                  <w:pPr>
                    <w:adjustRightInd w:val="0"/>
                    <w:snapToGrid w:val="0"/>
                    <w:jc w:val="center"/>
                    <w:rPr>
                      <w:b/>
                      <w:szCs w:val="21"/>
                    </w:rPr>
                  </w:pPr>
                </w:p>
              </w:tc>
              <w:tc>
                <w:tcPr>
                  <w:tcW w:w="534" w:type="dxa"/>
                  <w:vMerge w:val="continue"/>
                  <w:vAlign w:val="center"/>
                </w:tcPr>
                <w:p>
                  <w:pPr>
                    <w:adjustRightInd w:val="0"/>
                    <w:snapToGrid w:val="0"/>
                    <w:jc w:val="center"/>
                    <w:rPr>
                      <w:b/>
                      <w:szCs w:val="21"/>
                    </w:rPr>
                  </w:pPr>
                </w:p>
              </w:tc>
              <w:tc>
                <w:tcPr>
                  <w:tcW w:w="1169" w:type="dxa"/>
                  <w:vMerge w:val="continue"/>
                  <w:vAlign w:val="center"/>
                </w:tcPr>
                <w:p>
                  <w:pPr>
                    <w:adjustRightInd w:val="0"/>
                    <w:snapToGrid w:val="0"/>
                    <w:jc w:val="center"/>
                    <w:rPr>
                      <w:b/>
                      <w:kern w:val="0"/>
                      <w:szCs w:val="21"/>
                    </w:rPr>
                  </w:pPr>
                </w:p>
              </w:tc>
              <w:tc>
                <w:tcPr>
                  <w:tcW w:w="1273" w:type="dxa"/>
                  <w:vAlign w:val="center"/>
                </w:tcPr>
                <w:p>
                  <w:pPr>
                    <w:adjustRightInd w:val="0"/>
                    <w:snapToGrid w:val="0"/>
                    <w:jc w:val="center"/>
                    <w:rPr>
                      <w:b/>
                      <w:bCs/>
                      <w:kern w:val="0"/>
                      <w:szCs w:val="21"/>
                    </w:rPr>
                  </w:pPr>
                  <w:r>
                    <w:rPr>
                      <w:b/>
                      <w:bCs/>
                      <w:kern w:val="0"/>
                      <w:szCs w:val="21"/>
                    </w:rPr>
                    <w:t>排气筒高度</w:t>
                  </w:r>
                </w:p>
              </w:tc>
              <w:tc>
                <w:tcPr>
                  <w:tcW w:w="708" w:type="dxa"/>
                  <w:vAlign w:val="center"/>
                </w:tcPr>
                <w:p>
                  <w:pPr>
                    <w:adjustRightInd w:val="0"/>
                    <w:snapToGrid w:val="0"/>
                    <w:jc w:val="center"/>
                    <w:rPr>
                      <w:b/>
                      <w:bCs/>
                      <w:kern w:val="0"/>
                      <w:szCs w:val="21"/>
                    </w:rPr>
                  </w:pPr>
                  <w:r>
                    <w:rPr>
                      <w:b/>
                      <w:bCs/>
                      <w:kern w:val="0"/>
                      <w:szCs w:val="21"/>
                    </w:rPr>
                    <w:t>二级</w:t>
                  </w:r>
                </w:p>
              </w:tc>
              <w:tc>
                <w:tcPr>
                  <w:tcW w:w="1275" w:type="dxa"/>
                  <w:vMerge w:val="continue"/>
                  <w:tcMar>
                    <w:left w:w="0" w:type="dxa"/>
                    <w:right w:w="0" w:type="dxa"/>
                  </w:tcMar>
                  <w:vAlign w:val="center"/>
                </w:tcPr>
                <w:p>
                  <w:pPr>
                    <w:adjustRightInd w:val="0"/>
                    <w:snapToGrid w:val="0"/>
                    <w:jc w:val="center"/>
                    <w:rPr>
                      <w:b/>
                      <w:bCs/>
                      <w:kern w:val="0"/>
                      <w:szCs w:val="21"/>
                    </w:rPr>
                  </w:pPr>
                </w:p>
              </w:tc>
              <w:tc>
                <w:tcPr>
                  <w:tcW w:w="2729" w:type="dxa"/>
                  <w:vMerge w:val="continue"/>
                  <w:tcMar>
                    <w:left w:w="0" w:type="dxa"/>
                    <w:right w:w="0" w:type="dxa"/>
                  </w:tcMar>
                  <w:vAlign w:val="center"/>
                </w:tcPr>
                <w:p>
                  <w:pPr>
                    <w:adjustRightInd w:val="0"/>
                    <w:snapToGrid w:val="0"/>
                    <w:jc w:val="center"/>
                    <w:rPr>
                      <w:b/>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45" w:type="dxa"/>
                  <w:tcMar>
                    <w:left w:w="0" w:type="dxa"/>
                    <w:right w:w="0" w:type="dxa"/>
                  </w:tcMar>
                  <w:vAlign w:val="center"/>
                </w:tcPr>
                <w:p>
                  <w:pPr>
                    <w:adjustRightInd w:val="0"/>
                    <w:snapToGrid w:val="0"/>
                    <w:jc w:val="center"/>
                    <w:rPr>
                      <w:b/>
                      <w:szCs w:val="21"/>
                    </w:rPr>
                  </w:pPr>
                  <w:r>
                    <w:rPr>
                      <w:bCs/>
                      <w:szCs w:val="21"/>
                    </w:rPr>
                    <w:t>施工期</w:t>
                  </w:r>
                </w:p>
              </w:tc>
              <w:tc>
                <w:tcPr>
                  <w:tcW w:w="534" w:type="dxa"/>
                  <w:vAlign w:val="center"/>
                </w:tcPr>
                <w:p>
                  <w:pPr>
                    <w:adjustRightInd w:val="0"/>
                    <w:snapToGrid w:val="0"/>
                    <w:jc w:val="center"/>
                    <w:rPr>
                      <w:b/>
                      <w:szCs w:val="21"/>
                    </w:rPr>
                  </w:pPr>
                  <w:r>
                    <w:rPr>
                      <w:bCs/>
                      <w:szCs w:val="21"/>
                    </w:rPr>
                    <w:t>颗粒物</w:t>
                  </w:r>
                </w:p>
              </w:tc>
              <w:tc>
                <w:tcPr>
                  <w:tcW w:w="1169" w:type="dxa"/>
                  <w:vAlign w:val="center"/>
                </w:tcPr>
                <w:p>
                  <w:pPr>
                    <w:adjustRightInd w:val="0"/>
                    <w:snapToGrid w:val="0"/>
                    <w:jc w:val="center"/>
                    <w:rPr>
                      <w:szCs w:val="21"/>
                    </w:rPr>
                  </w:pPr>
                  <w:r>
                    <w:rPr>
                      <w:szCs w:val="21"/>
                    </w:rPr>
                    <w:t>120m</w:t>
                  </w:r>
                  <w:r>
                    <w:rPr>
                      <w:bCs/>
                      <w:szCs w:val="21"/>
                    </w:rPr>
                    <w:t>g/m</w:t>
                  </w:r>
                  <w:r>
                    <w:rPr>
                      <w:bCs/>
                      <w:szCs w:val="21"/>
                      <w:vertAlign w:val="superscript"/>
                    </w:rPr>
                    <w:t>3</w:t>
                  </w:r>
                </w:p>
              </w:tc>
              <w:tc>
                <w:tcPr>
                  <w:tcW w:w="1273" w:type="dxa"/>
                  <w:vAlign w:val="center"/>
                </w:tcPr>
                <w:p>
                  <w:pPr>
                    <w:adjustRightInd w:val="0"/>
                    <w:snapToGrid w:val="0"/>
                    <w:jc w:val="center"/>
                    <w:rPr>
                      <w:szCs w:val="21"/>
                    </w:rPr>
                  </w:pPr>
                  <w:r>
                    <w:rPr>
                      <w:szCs w:val="21"/>
                    </w:rPr>
                    <w:t>/</w:t>
                  </w:r>
                </w:p>
              </w:tc>
              <w:tc>
                <w:tcPr>
                  <w:tcW w:w="708" w:type="dxa"/>
                  <w:vAlign w:val="center"/>
                </w:tcPr>
                <w:p>
                  <w:pPr>
                    <w:adjustRightInd w:val="0"/>
                    <w:snapToGrid w:val="0"/>
                    <w:jc w:val="center"/>
                    <w:rPr>
                      <w:szCs w:val="21"/>
                    </w:rPr>
                  </w:pPr>
                  <w:r>
                    <w:rPr>
                      <w:szCs w:val="21"/>
                    </w:rPr>
                    <w:t>/</w:t>
                  </w:r>
                </w:p>
              </w:tc>
              <w:tc>
                <w:tcPr>
                  <w:tcW w:w="1275" w:type="dxa"/>
                  <w:tcMar>
                    <w:left w:w="0" w:type="dxa"/>
                    <w:right w:w="0" w:type="dxa"/>
                  </w:tcMar>
                  <w:vAlign w:val="center"/>
                </w:tcPr>
                <w:p>
                  <w:pPr>
                    <w:adjustRightInd w:val="0"/>
                    <w:snapToGrid w:val="0"/>
                    <w:jc w:val="center"/>
                    <w:rPr>
                      <w:b/>
                      <w:kern w:val="0"/>
                      <w:szCs w:val="21"/>
                    </w:rPr>
                  </w:pPr>
                  <w:r>
                    <w:rPr>
                      <w:szCs w:val="21"/>
                    </w:rPr>
                    <w:t>1.0</w:t>
                  </w:r>
                  <w:r>
                    <w:rPr>
                      <w:bCs/>
                      <w:szCs w:val="21"/>
                    </w:rPr>
                    <w:t>mg/m</w:t>
                  </w:r>
                  <w:r>
                    <w:rPr>
                      <w:bCs/>
                      <w:szCs w:val="21"/>
                      <w:vertAlign w:val="superscript"/>
                    </w:rPr>
                    <w:t>3</w:t>
                  </w:r>
                </w:p>
              </w:tc>
              <w:tc>
                <w:tcPr>
                  <w:tcW w:w="2729" w:type="dxa"/>
                  <w:tcMar>
                    <w:left w:w="0" w:type="dxa"/>
                    <w:right w:w="0" w:type="dxa"/>
                  </w:tcMar>
                  <w:vAlign w:val="center"/>
                </w:tcPr>
                <w:p>
                  <w:pPr>
                    <w:adjustRightInd w:val="0"/>
                    <w:snapToGrid w:val="0"/>
                    <w:jc w:val="center"/>
                    <w:rPr>
                      <w:b/>
                      <w:szCs w:val="21"/>
                    </w:rPr>
                  </w:pPr>
                  <w:r>
                    <w:rPr>
                      <w:bCs/>
                      <w:szCs w:val="21"/>
                    </w:rPr>
                    <w:t>《大气污染物综合排放标准》（GB 16297-1996）中无组织排放标准限值</w:t>
                  </w:r>
                </w:p>
              </w:tc>
            </w:tr>
          </w:tbl>
          <w:p>
            <w:pPr>
              <w:adjustRightInd w:val="0"/>
              <w:snapToGrid w:val="0"/>
              <w:spacing w:before="120" w:beforeLines="50" w:line="360" w:lineRule="auto"/>
              <w:ind w:firstLine="480" w:firstLineChars="200"/>
              <w:textAlignment w:val="baseline"/>
              <w:rPr>
                <w:kern w:val="0"/>
                <w:sz w:val="24"/>
              </w:rPr>
            </w:pPr>
            <w:r>
              <w:rPr>
                <w:kern w:val="0"/>
                <w:sz w:val="24"/>
              </w:rPr>
              <w:t>运营期废气排放执行《水泥工业大气污染物排放标准》（GB4915-2013）排放限值。</w:t>
            </w:r>
          </w:p>
          <w:p>
            <w:pPr>
              <w:snapToGrid w:val="0"/>
              <w:spacing w:line="288" w:lineRule="auto"/>
              <w:jc w:val="center"/>
              <w:rPr>
                <w:b/>
                <w:bCs/>
                <w:sz w:val="24"/>
                <w:szCs w:val="20"/>
              </w:rPr>
            </w:pPr>
            <w:r>
              <w:rPr>
                <w:b/>
                <w:sz w:val="24"/>
                <w:szCs w:val="20"/>
              </w:rPr>
              <w:t xml:space="preserve">表3-7 </w:t>
            </w:r>
            <w:r>
              <w:rPr>
                <w:rFonts w:hint="eastAsia"/>
                <w:b/>
                <w:sz w:val="24"/>
                <w:szCs w:val="20"/>
              </w:rPr>
              <w:t>运营期</w:t>
            </w:r>
            <w:r>
              <w:rPr>
                <w:b/>
                <w:bCs/>
                <w:sz w:val="24"/>
                <w:szCs w:val="20"/>
              </w:rPr>
              <w:t>大气污染物排放标准一览表</w:t>
            </w:r>
          </w:p>
          <w:tbl>
            <w:tblPr>
              <w:tblStyle w:val="14"/>
              <w:tblW w:w="822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2866"/>
              <w:gridCol w:w="181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152" w:type="pct"/>
                  <w:vAlign w:val="center"/>
                </w:tcPr>
                <w:p>
                  <w:pPr>
                    <w:jc w:val="center"/>
                    <w:rPr>
                      <w:b/>
                      <w:szCs w:val="21"/>
                    </w:rPr>
                  </w:pPr>
                  <w:r>
                    <w:rPr>
                      <w:rFonts w:hint="eastAsia"/>
                      <w:b/>
                      <w:szCs w:val="21"/>
                    </w:rPr>
                    <w:t>标准名称</w:t>
                  </w:r>
                </w:p>
              </w:tc>
              <w:tc>
                <w:tcPr>
                  <w:tcW w:w="2848" w:type="pct"/>
                  <w:gridSpan w:val="2"/>
                  <w:vAlign w:val="center"/>
                </w:tcPr>
                <w:p>
                  <w:pPr>
                    <w:jc w:val="center"/>
                    <w:rPr>
                      <w:b/>
                      <w:szCs w:val="21"/>
                    </w:rPr>
                  </w:pPr>
                  <w:r>
                    <w:rPr>
                      <w:rFonts w:hint="eastAsia"/>
                      <w:b/>
                      <w:szCs w:val="21"/>
                    </w:rPr>
                    <w:t>相关限值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52" w:type="pct"/>
                  <w:vMerge w:val="restart"/>
                  <w:vAlign w:val="center"/>
                </w:tcPr>
                <w:p>
                  <w:pPr>
                    <w:jc w:val="center"/>
                    <w:rPr>
                      <w:szCs w:val="21"/>
                    </w:rPr>
                  </w:pPr>
                  <w:r>
                    <w:rPr>
                      <w:szCs w:val="21"/>
                    </w:rPr>
                    <w:t>《水泥工业大气污染物排放标准》（GB4915-2013）</w:t>
                  </w:r>
                  <w:r>
                    <w:rPr>
                      <w:rFonts w:hint="eastAsia"/>
                      <w:szCs w:val="21"/>
                    </w:rPr>
                    <w:t>表</w:t>
                  </w:r>
                  <w:r>
                    <w:rPr>
                      <w:szCs w:val="21"/>
                    </w:rPr>
                    <w:t>2</w:t>
                  </w:r>
                  <w:r>
                    <w:rPr>
                      <w:rFonts w:hint="eastAsia"/>
                      <w:szCs w:val="21"/>
                    </w:rPr>
                    <w:t>标准</w:t>
                  </w:r>
                </w:p>
              </w:tc>
              <w:tc>
                <w:tcPr>
                  <w:tcW w:w="1743" w:type="pct"/>
                  <w:vAlign w:val="center"/>
                </w:tcPr>
                <w:p>
                  <w:pPr>
                    <w:jc w:val="center"/>
                    <w:rPr>
                      <w:szCs w:val="21"/>
                    </w:rPr>
                  </w:pPr>
                  <w:r>
                    <w:rPr>
                      <w:rFonts w:hint="eastAsia"/>
                      <w:szCs w:val="21"/>
                    </w:rPr>
                    <w:t>生产设备</w:t>
                  </w:r>
                </w:p>
              </w:tc>
              <w:tc>
                <w:tcPr>
                  <w:tcW w:w="1105" w:type="pct"/>
                  <w:vAlign w:val="center"/>
                </w:tcPr>
                <w:p>
                  <w:pPr>
                    <w:jc w:val="center"/>
                    <w:rPr>
                      <w:szCs w:val="21"/>
                    </w:rPr>
                  </w:pPr>
                  <w:r>
                    <w:rPr>
                      <w:bCs/>
                      <w:szCs w:val="21"/>
                    </w:rPr>
                    <w:t>颗粒物</w:t>
                  </w:r>
                  <w:r>
                    <w:rPr>
                      <w:rFonts w:hint="eastAsia"/>
                      <w:bCs/>
                      <w:szCs w:val="21"/>
                    </w:rPr>
                    <w:t>（</w:t>
                  </w:r>
                  <w:r>
                    <w:rPr>
                      <w:bCs/>
                      <w:szCs w:val="21"/>
                    </w:rPr>
                    <w:t>mg/m</w:t>
                  </w:r>
                  <w:r>
                    <w:rPr>
                      <w:bCs/>
                      <w:szCs w:val="21"/>
                      <w:vertAlign w:val="superscript"/>
                    </w:rPr>
                    <w:t>3</w:t>
                  </w:r>
                  <w:r>
                    <w:rPr>
                      <w:rFonts w:hint="eastAsia"/>
                      <w:bCs/>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52" w:type="pct"/>
                  <w:vMerge w:val="continue"/>
                  <w:vAlign w:val="center"/>
                </w:tcPr>
                <w:p>
                  <w:pPr>
                    <w:jc w:val="center"/>
                    <w:rPr>
                      <w:szCs w:val="21"/>
                    </w:rPr>
                  </w:pPr>
                </w:p>
              </w:tc>
              <w:tc>
                <w:tcPr>
                  <w:tcW w:w="1743" w:type="pct"/>
                  <w:vAlign w:val="center"/>
                </w:tcPr>
                <w:p>
                  <w:pPr>
                    <w:jc w:val="center"/>
                    <w:rPr>
                      <w:szCs w:val="21"/>
                    </w:rPr>
                  </w:pPr>
                  <w:r>
                    <w:rPr>
                      <w:rFonts w:hint="eastAsia"/>
                      <w:szCs w:val="21"/>
                    </w:rPr>
                    <w:t>水泥仓及其他通风生产设备</w:t>
                  </w:r>
                </w:p>
              </w:tc>
              <w:tc>
                <w:tcPr>
                  <w:tcW w:w="1105" w:type="pct"/>
                  <w:vAlign w:val="center"/>
                </w:tcPr>
                <w:p>
                  <w:pPr>
                    <w:jc w:val="center"/>
                    <w:rPr>
                      <w:szCs w:val="21"/>
                    </w:rPr>
                  </w:pPr>
                  <w:r>
                    <w:rPr>
                      <w:szCs w:val="21"/>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152" w:type="pct"/>
                  <w:vAlign w:val="center"/>
                </w:tcPr>
                <w:p>
                  <w:pPr>
                    <w:jc w:val="center"/>
                    <w:rPr>
                      <w:szCs w:val="21"/>
                    </w:rPr>
                  </w:pPr>
                  <w:r>
                    <w:rPr>
                      <w:szCs w:val="21"/>
                    </w:rPr>
                    <w:t>《水泥工业大气污染物排放标准》（GB4915-2013）</w:t>
                  </w:r>
                  <w:r>
                    <w:rPr>
                      <w:rFonts w:hint="eastAsia"/>
                      <w:szCs w:val="21"/>
                    </w:rPr>
                    <w:t>表</w:t>
                  </w:r>
                  <w:r>
                    <w:rPr>
                      <w:szCs w:val="21"/>
                    </w:rPr>
                    <w:t>3</w:t>
                  </w:r>
                  <w:r>
                    <w:rPr>
                      <w:rFonts w:hint="eastAsia"/>
                      <w:szCs w:val="21"/>
                    </w:rPr>
                    <w:t>标准</w:t>
                  </w:r>
                </w:p>
              </w:tc>
              <w:tc>
                <w:tcPr>
                  <w:tcW w:w="1743" w:type="pct"/>
                  <w:vAlign w:val="center"/>
                </w:tcPr>
                <w:p>
                  <w:pPr>
                    <w:jc w:val="center"/>
                    <w:rPr>
                      <w:szCs w:val="21"/>
                    </w:rPr>
                  </w:pPr>
                  <w:r>
                    <w:rPr>
                      <w:rFonts w:hint="eastAsia"/>
                      <w:szCs w:val="21"/>
                    </w:rPr>
                    <w:t>厂界下风向</w:t>
                  </w:r>
                </w:p>
              </w:tc>
              <w:tc>
                <w:tcPr>
                  <w:tcW w:w="1105" w:type="pct"/>
                  <w:vAlign w:val="center"/>
                </w:tcPr>
                <w:p>
                  <w:pPr>
                    <w:jc w:val="center"/>
                    <w:rPr>
                      <w:szCs w:val="21"/>
                    </w:rPr>
                  </w:pPr>
                  <w:r>
                    <w:rPr>
                      <w:rFonts w:hint="eastAsia"/>
                      <w:szCs w:val="21"/>
                    </w:rPr>
                    <w:t>0</w:t>
                  </w:r>
                  <w:r>
                    <w:rPr>
                      <w:szCs w:val="21"/>
                    </w:rPr>
                    <w:t>.5</w:t>
                  </w:r>
                </w:p>
              </w:tc>
            </w:tr>
          </w:tbl>
          <w:p>
            <w:pPr>
              <w:spacing w:before="240" w:line="360" w:lineRule="auto"/>
              <w:rPr>
                <w:b/>
                <w:sz w:val="24"/>
              </w:rPr>
            </w:pPr>
            <w:r>
              <w:rPr>
                <w:b/>
                <w:sz w:val="24"/>
              </w:rPr>
              <w:t>2、噪声排放标准</w:t>
            </w:r>
          </w:p>
          <w:p>
            <w:pPr>
              <w:spacing w:line="312" w:lineRule="auto"/>
              <w:ind w:firstLine="480" w:firstLineChars="200"/>
              <w:rPr>
                <w:kern w:val="0"/>
                <w:sz w:val="24"/>
              </w:rPr>
            </w:pPr>
            <w:r>
              <w:rPr>
                <w:kern w:val="0"/>
                <w:sz w:val="24"/>
              </w:rPr>
              <w:t>施工噪声执行《建筑施工场界环境噪声排放标准》（GB12523-2011）的标准限值；运营期</w:t>
            </w:r>
            <w:r>
              <w:rPr>
                <w:rFonts w:hint="eastAsia"/>
                <w:kern w:val="0"/>
                <w:sz w:val="24"/>
              </w:rPr>
              <w:t>厂</w:t>
            </w:r>
            <w:r>
              <w:rPr>
                <w:kern w:val="0"/>
                <w:sz w:val="24"/>
              </w:rPr>
              <w:t>界噪声执行《工业企业厂界环境噪声排放标准》（GB12348-2008）中2类标准限值，具体指标见表3-8。</w:t>
            </w:r>
          </w:p>
          <w:p>
            <w:pPr>
              <w:pStyle w:val="22"/>
            </w:pPr>
            <w:r>
              <w:t>表3-8 噪声排放标准一览表</w:t>
            </w:r>
          </w:p>
          <w:tbl>
            <w:tblPr>
              <w:tblStyle w:val="14"/>
              <w:tblW w:w="8222"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89"/>
              <w:gridCol w:w="1526"/>
              <w:gridCol w:w="1506"/>
              <w:gridCol w:w="40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3" w:type="pct"/>
                  <w:vMerge w:val="restart"/>
                  <w:vAlign w:val="center"/>
                </w:tcPr>
                <w:p>
                  <w:pPr>
                    <w:widowControl/>
                    <w:adjustRightInd w:val="0"/>
                    <w:snapToGrid w:val="0"/>
                    <w:jc w:val="center"/>
                    <w:rPr>
                      <w:b/>
                      <w:bCs/>
                      <w:kern w:val="0"/>
                      <w:szCs w:val="21"/>
                    </w:rPr>
                  </w:pPr>
                  <w:r>
                    <w:rPr>
                      <w:b/>
                      <w:bCs/>
                      <w:kern w:val="0"/>
                      <w:szCs w:val="21"/>
                    </w:rPr>
                    <w:t>时期</w:t>
                  </w:r>
                </w:p>
              </w:tc>
              <w:tc>
                <w:tcPr>
                  <w:tcW w:w="1844" w:type="pct"/>
                  <w:gridSpan w:val="2"/>
                  <w:tcBorders>
                    <w:right w:val="single" w:color="000000" w:sz="8" w:space="0"/>
                  </w:tcBorders>
                  <w:vAlign w:val="center"/>
                </w:tcPr>
                <w:p>
                  <w:pPr>
                    <w:adjustRightInd w:val="0"/>
                    <w:snapToGrid w:val="0"/>
                    <w:jc w:val="center"/>
                    <w:rPr>
                      <w:b/>
                      <w:bCs/>
                      <w:kern w:val="0"/>
                      <w:szCs w:val="21"/>
                    </w:rPr>
                  </w:pPr>
                  <w:r>
                    <w:rPr>
                      <w:b/>
                      <w:bCs/>
                      <w:kern w:val="0"/>
                      <w:szCs w:val="21"/>
                    </w:rPr>
                    <w:t>噪声限值Leq 〔dB（A）〕</w:t>
                  </w:r>
                </w:p>
              </w:tc>
              <w:tc>
                <w:tcPr>
                  <w:tcW w:w="2433" w:type="pct"/>
                  <w:vMerge w:val="restart"/>
                  <w:tcBorders>
                    <w:left w:val="single" w:color="000000" w:sz="8" w:space="0"/>
                  </w:tcBorders>
                  <w:vAlign w:val="center"/>
                </w:tcPr>
                <w:p>
                  <w:pPr>
                    <w:adjustRightInd w:val="0"/>
                    <w:snapToGrid w:val="0"/>
                    <w:jc w:val="center"/>
                    <w:rPr>
                      <w:b/>
                      <w:bCs/>
                      <w:kern w:val="0"/>
                      <w:szCs w:val="21"/>
                    </w:rPr>
                  </w:pPr>
                  <w:r>
                    <w:rPr>
                      <w:b/>
                      <w:bCs/>
                      <w:kern w:val="0"/>
                      <w:szCs w:val="21"/>
                    </w:rPr>
                    <w:t>排放标准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3" w:type="pct"/>
                  <w:vMerge w:val="continue"/>
                  <w:vAlign w:val="center"/>
                </w:tcPr>
                <w:p>
                  <w:pPr>
                    <w:widowControl/>
                    <w:adjustRightInd w:val="0"/>
                    <w:snapToGrid w:val="0"/>
                    <w:jc w:val="center"/>
                    <w:rPr>
                      <w:b/>
                      <w:bCs/>
                      <w:kern w:val="0"/>
                      <w:szCs w:val="21"/>
                    </w:rPr>
                  </w:pPr>
                </w:p>
              </w:tc>
              <w:tc>
                <w:tcPr>
                  <w:tcW w:w="928" w:type="pct"/>
                  <w:vAlign w:val="center"/>
                </w:tcPr>
                <w:p>
                  <w:pPr>
                    <w:adjustRightInd w:val="0"/>
                    <w:snapToGrid w:val="0"/>
                    <w:jc w:val="center"/>
                    <w:rPr>
                      <w:b/>
                      <w:bCs/>
                      <w:kern w:val="0"/>
                      <w:szCs w:val="21"/>
                    </w:rPr>
                  </w:pPr>
                  <w:r>
                    <w:rPr>
                      <w:b/>
                      <w:bCs/>
                      <w:kern w:val="0"/>
                      <w:szCs w:val="21"/>
                    </w:rPr>
                    <w:t>昼间</w:t>
                  </w:r>
                </w:p>
              </w:tc>
              <w:tc>
                <w:tcPr>
                  <w:tcW w:w="916" w:type="pct"/>
                  <w:tcBorders>
                    <w:right w:val="single" w:color="000000" w:sz="8" w:space="0"/>
                  </w:tcBorders>
                  <w:vAlign w:val="center"/>
                </w:tcPr>
                <w:p>
                  <w:pPr>
                    <w:widowControl/>
                    <w:adjustRightInd w:val="0"/>
                    <w:snapToGrid w:val="0"/>
                    <w:jc w:val="center"/>
                    <w:rPr>
                      <w:b/>
                      <w:bCs/>
                      <w:kern w:val="0"/>
                      <w:szCs w:val="21"/>
                    </w:rPr>
                  </w:pPr>
                  <w:r>
                    <w:rPr>
                      <w:b/>
                      <w:bCs/>
                      <w:kern w:val="0"/>
                      <w:szCs w:val="21"/>
                    </w:rPr>
                    <w:t>夜间</w:t>
                  </w:r>
                </w:p>
              </w:tc>
              <w:tc>
                <w:tcPr>
                  <w:tcW w:w="2433" w:type="pct"/>
                  <w:vMerge w:val="continue"/>
                  <w:tcBorders>
                    <w:left w:val="single" w:color="000000" w:sz="8" w:space="0"/>
                  </w:tcBorders>
                  <w:vAlign w:val="center"/>
                </w:tcPr>
                <w:p>
                  <w:pPr>
                    <w:adjustRightInd w:val="0"/>
                    <w:snapToGrid w:val="0"/>
                    <w:jc w:val="center"/>
                    <w:rPr>
                      <w:b/>
                      <w:bCs/>
                      <w:kern w:val="0"/>
                      <w:szCs w:val="21"/>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3" w:type="pct"/>
                  <w:vAlign w:val="center"/>
                </w:tcPr>
                <w:p>
                  <w:pPr>
                    <w:widowControl/>
                    <w:adjustRightInd w:val="0"/>
                    <w:snapToGrid w:val="0"/>
                    <w:jc w:val="center"/>
                    <w:rPr>
                      <w:kern w:val="0"/>
                      <w:szCs w:val="21"/>
                    </w:rPr>
                  </w:pPr>
                  <w:r>
                    <w:rPr>
                      <w:kern w:val="0"/>
                      <w:szCs w:val="21"/>
                    </w:rPr>
                    <w:t>施工期</w:t>
                  </w:r>
                </w:p>
              </w:tc>
              <w:tc>
                <w:tcPr>
                  <w:tcW w:w="928" w:type="pct"/>
                  <w:vAlign w:val="center"/>
                </w:tcPr>
                <w:p>
                  <w:pPr>
                    <w:adjustRightInd w:val="0"/>
                    <w:snapToGrid w:val="0"/>
                    <w:jc w:val="center"/>
                    <w:rPr>
                      <w:kern w:val="0"/>
                      <w:szCs w:val="21"/>
                    </w:rPr>
                  </w:pPr>
                  <w:r>
                    <w:rPr>
                      <w:kern w:val="0"/>
                      <w:szCs w:val="21"/>
                    </w:rPr>
                    <w:t>70</w:t>
                  </w:r>
                </w:p>
              </w:tc>
              <w:tc>
                <w:tcPr>
                  <w:tcW w:w="916" w:type="pct"/>
                  <w:tcBorders>
                    <w:right w:val="single" w:color="000000" w:sz="8" w:space="0"/>
                  </w:tcBorders>
                  <w:vAlign w:val="center"/>
                </w:tcPr>
                <w:p>
                  <w:pPr>
                    <w:widowControl/>
                    <w:adjustRightInd w:val="0"/>
                    <w:snapToGrid w:val="0"/>
                    <w:jc w:val="center"/>
                    <w:rPr>
                      <w:kern w:val="0"/>
                      <w:szCs w:val="21"/>
                    </w:rPr>
                  </w:pPr>
                  <w:r>
                    <w:rPr>
                      <w:kern w:val="0"/>
                      <w:szCs w:val="21"/>
                    </w:rPr>
                    <w:t>55</w:t>
                  </w:r>
                </w:p>
              </w:tc>
              <w:tc>
                <w:tcPr>
                  <w:tcW w:w="2433" w:type="pct"/>
                  <w:tcBorders>
                    <w:left w:val="single" w:color="000000" w:sz="8" w:space="0"/>
                  </w:tcBorders>
                  <w:vAlign w:val="center"/>
                </w:tcPr>
                <w:p>
                  <w:pPr>
                    <w:adjustRightInd w:val="0"/>
                    <w:snapToGrid w:val="0"/>
                    <w:jc w:val="center"/>
                    <w:rPr>
                      <w:kern w:val="0"/>
                      <w:szCs w:val="21"/>
                    </w:rPr>
                  </w:pPr>
                  <w:r>
                    <w:rPr>
                      <w:kern w:val="0"/>
                      <w:szCs w:val="21"/>
                    </w:rPr>
                    <w:t>《建筑施工场界环境噪声排放标准》（GB12523-2011）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3" w:type="pct"/>
                  <w:vAlign w:val="center"/>
                </w:tcPr>
                <w:p>
                  <w:pPr>
                    <w:adjustRightInd w:val="0"/>
                    <w:snapToGrid w:val="0"/>
                    <w:jc w:val="center"/>
                    <w:rPr>
                      <w:kern w:val="0"/>
                      <w:szCs w:val="21"/>
                    </w:rPr>
                  </w:pPr>
                  <w:r>
                    <w:rPr>
                      <w:kern w:val="0"/>
                      <w:szCs w:val="21"/>
                    </w:rPr>
                    <w:t>运营期</w:t>
                  </w:r>
                </w:p>
              </w:tc>
              <w:tc>
                <w:tcPr>
                  <w:tcW w:w="928" w:type="pct"/>
                  <w:vAlign w:val="center"/>
                </w:tcPr>
                <w:p>
                  <w:pPr>
                    <w:adjustRightInd w:val="0"/>
                    <w:snapToGrid w:val="0"/>
                    <w:jc w:val="center"/>
                    <w:rPr>
                      <w:kern w:val="0"/>
                      <w:szCs w:val="21"/>
                    </w:rPr>
                  </w:pPr>
                  <w:r>
                    <w:rPr>
                      <w:rFonts w:hint="eastAsia"/>
                      <w:kern w:val="0"/>
                      <w:szCs w:val="21"/>
                    </w:rPr>
                    <w:t>6</w:t>
                  </w:r>
                  <w:r>
                    <w:rPr>
                      <w:kern w:val="0"/>
                      <w:szCs w:val="21"/>
                    </w:rPr>
                    <w:t>0</w:t>
                  </w:r>
                </w:p>
              </w:tc>
              <w:tc>
                <w:tcPr>
                  <w:tcW w:w="916" w:type="pct"/>
                  <w:tcBorders>
                    <w:right w:val="single" w:color="000000" w:sz="8" w:space="0"/>
                  </w:tcBorders>
                  <w:vAlign w:val="center"/>
                </w:tcPr>
                <w:p>
                  <w:pPr>
                    <w:adjustRightInd w:val="0"/>
                    <w:snapToGrid w:val="0"/>
                    <w:jc w:val="center"/>
                    <w:rPr>
                      <w:kern w:val="0"/>
                      <w:szCs w:val="21"/>
                    </w:rPr>
                  </w:pPr>
                  <w:r>
                    <w:rPr>
                      <w:kern w:val="0"/>
                      <w:szCs w:val="21"/>
                    </w:rPr>
                    <w:t>50</w:t>
                  </w:r>
                </w:p>
              </w:tc>
              <w:tc>
                <w:tcPr>
                  <w:tcW w:w="2433" w:type="pct"/>
                  <w:tcBorders>
                    <w:left w:val="single" w:color="000000" w:sz="8" w:space="0"/>
                  </w:tcBorders>
                  <w:vAlign w:val="center"/>
                </w:tcPr>
                <w:p>
                  <w:pPr>
                    <w:adjustRightInd w:val="0"/>
                    <w:snapToGrid w:val="0"/>
                    <w:jc w:val="center"/>
                    <w:rPr>
                      <w:kern w:val="0"/>
                      <w:szCs w:val="21"/>
                    </w:rPr>
                  </w:pPr>
                  <w:r>
                    <w:rPr>
                      <w:kern w:val="0"/>
                      <w:szCs w:val="21"/>
                    </w:rPr>
                    <w:t>《工业企业厂界环境噪声排放标准》（GB12348-2008）中2类标准限值</w:t>
                  </w:r>
                </w:p>
              </w:tc>
            </w:tr>
          </w:tbl>
          <w:p>
            <w:pPr>
              <w:spacing w:before="240" w:line="360" w:lineRule="auto"/>
              <w:rPr>
                <w:b/>
                <w:sz w:val="24"/>
              </w:rPr>
            </w:pPr>
            <w:r>
              <w:rPr>
                <w:b/>
                <w:sz w:val="24"/>
              </w:rPr>
              <w:t>3、固体废物标准</w:t>
            </w:r>
          </w:p>
          <w:p>
            <w:pPr>
              <w:spacing w:line="360" w:lineRule="auto"/>
              <w:ind w:firstLine="480" w:firstLineChars="200"/>
              <w:rPr>
                <w:sz w:val="24"/>
              </w:rPr>
            </w:pPr>
            <w:r>
              <w:rPr>
                <w:sz w:val="24"/>
              </w:rPr>
              <w:t>一般固废执行《一般工业固体废物贮存和填埋污染控制标准》（GB18599-2020）标准</w:t>
            </w:r>
            <w:r>
              <w:rPr>
                <w:rFonts w:hint="eastAsia"/>
                <w:sz w:val="24"/>
              </w:rPr>
              <w:t>；</w:t>
            </w:r>
            <w:r>
              <w:rPr>
                <w:sz w:val="24"/>
              </w:rPr>
              <w:t>危险废物执行《危险废物贮存污染控制标准》（GB18597-2023）</w:t>
            </w:r>
            <w:r>
              <w:rPr>
                <w:rFonts w:hint="eastAsia"/>
                <w:bCs/>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98" w:hRule="atLeast"/>
          <w:jc w:val="center"/>
        </w:trPr>
        <w:tc>
          <w:tcPr>
            <w:tcW w:w="699" w:type="dxa"/>
            <w:vAlign w:val="center"/>
          </w:tcPr>
          <w:p>
            <w:pPr>
              <w:adjustRightInd w:val="0"/>
              <w:snapToGrid w:val="0"/>
              <w:jc w:val="center"/>
              <w:rPr>
                <w:rFonts w:cs="宋体"/>
                <w:kern w:val="0"/>
                <w:szCs w:val="21"/>
              </w:rPr>
            </w:pPr>
            <w:r>
              <w:rPr>
                <w:rFonts w:hint="eastAsia" w:cs="宋体"/>
                <w:kern w:val="0"/>
                <w:szCs w:val="21"/>
              </w:rPr>
              <w:t>总量</w:t>
            </w:r>
          </w:p>
          <w:p>
            <w:pPr>
              <w:adjustRightInd w:val="0"/>
              <w:snapToGrid w:val="0"/>
              <w:jc w:val="center"/>
              <w:rPr>
                <w:rFonts w:cs="宋体"/>
                <w:kern w:val="0"/>
                <w:szCs w:val="21"/>
              </w:rPr>
            </w:pPr>
            <w:r>
              <w:rPr>
                <w:rFonts w:hint="eastAsia" w:cs="宋体"/>
                <w:kern w:val="0"/>
                <w:szCs w:val="21"/>
              </w:rPr>
              <w:t>控制</w:t>
            </w:r>
          </w:p>
          <w:p>
            <w:pPr>
              <w:adjustRightInd w:val="0"/>
              <w:snapToGrid w:val="0"/>
              <w:jc w:val="center"/>
              <w:rPr>
                <w:rFonts w:cs="宋体"/>
                <w:kern w:val="0"/>
                <w:szCs w:val="21"/>
              </w:rPr>
            </w:pPr>
            <w:r>
              <w:rPr>
                <w:rFonts w:hint="eastAsia" w:cs="宋体"/>
                <w:kern w:val="0"/>
                <w:szCs w:val="21"/>
              </w:rPr>
              <w:t>指标</w:t>
            </w:r>
          </w:p>
        </w:tc>
        <w:tc>
          <w:tcPr>
            <w:tcW w:w="8126" w:type="dxa"/>
            <w:vAlign w:val="center"/>
          </w:tcPr>
          <w:p>
            <w:pPr>
              <w:adjustRightInd w:val="0"/>
              <w:snapToGrid w:val="0"/>
              <w:spacing w:line="360" w:lineRule="auto"/>
              <w:ind w:firstLine="480" w:firstLineChars="200"/>
              <w:rPr>
                <w:rFonts w:cs="宋体"/>
                <w:kern w:val="0"/>
                <w:sz w:val="24"/>
              </w:rPr>
            </w:pPr>
            <w:r>
              <w:rPr>
                <w:rFonts w:hint="eastAsia" w:cs="宋体"/>
                <w:kern w:val="0"/>
                <w:sz w:val="24"/>
              </w:rPr>
              <w:t>无。</w:t>
            </w:r>
          </w:p>
        </w:tc>
      </w:tr>
    </w:tbl>
    <w:p>
      <w:pPr>
        <w:pStyle w:val="13"/>
        <w:jc w:val="center"/>
        <w:outlineLvl w:val="0"/>
        <w:rPr>
          <w:rFonts w:ascii="Times New Roman" w:hAnsi="Times New Roman" w:eastAsia="黑体"/>
          <w:snapToGrid w:val="0"/>
          <w:sz w:val="30"/>
          <w:szCs w:val="30"/>
        </w:rPr>
      </w:pPr>
      <w:r>
        <w:rPr>
          <w:rFonts w:ascii="Times New Roman" w:hAnsi="Times New Roman" w:eastAsia="黑体"/>
          <w:snapToGrid w:val="0"/>
          <w:sz w:val="36"/>
          <w:szCs w:val="36"/>
        </w:rPr>
        <w:br w:type="page"/>
      </w:r>
      <w:r>
        <w:rPr>
          <w:rFonts w:hint="eastAsia" w:ascii="Times New Roman" w:hAnsi="Times New Roman" w:eastAsia="黑体"/>
          <w:snapToGrid w:val="0"/>
          <w:sz w:val="30"/>
          <w:szCs w:val="30"/>
        </w:rPr>
        <w:t>四、主要环境影响和保护措施</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1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39" w:hRule="atLeast"/>
          <w:jc w:val="center"/>
        </w:trPr>
        <w:tc>
          <w:tcPr>
            <w:tcW w:w="746" w:type="dxa"/>
            <w:tcMar>
              <w:left w:w="28" w:type="dxa"/>
              <w:right w:w="28" w:type="dxa"/>
            </w:tcMar>
            <w:vAlign w:val="center"/>
          </w:tcPr>
          <w:p>
            <w:pPr>
              <w:pStyle w:val="13"/>
              <w:adjustRightInd w:val="0"/>
              <w:snapToGrid w:val="0"/>
              <w:spacing w:before="0" w:beforeAutospacing="0" w:after="0" w:afterAutospacing="0"/>
              <w:jc w:val="center"/>
              <w:rPr>
                <w:rFonts w:ascii="Times New Roman" w:hAnsi="Times New Roman" w:cs="宋体"/>
                <w:kern w:val="2"/>
                <w:sz w:val="21"/>
                <w:szCs w:val="21"/>
              </w:rPr>
            </w:pPr>
            <w:r>
              <w:rPr>
                <w:rFonts w:hint="eastAsia" w:ascii="Times New Roman" w:hAnsi="Times New Roman" w:cs="宋体"/>
                <w:kern w:val="2"/>
                <w:sz w:val="21"/>
                <w:szCs w:val="21"/>
              </w:rPr>
              <w:t>施工</w:t>
            </w:r>
          </w:p>
          <w:p>
            <w:pPr>
              <w:pStyle w:val="13"/>
              <w:adjustRightInd w:val="0"/>
              <w:snapToGrid w:val="0"/>
              <w:spacing w:before="0" w:beforeAutospacing="0" w:after="0" w:afterAutospacing="0"/>
              <w:jc w:val="center"/>
              <w:rPr>
                <w:rFonts w:ascii="Times New Roman" w:hAnsi="Times New Roman" w:cs="宋体"/>
                <w:kern w:val="2"/>
                <w:sz w:val="21"/>
                <w:szCs w:val="21"/>
              </w:rPr>
            </w:pPr>
            <w:r>
              <w:rPr>
                <w:rFonts w:hint="eastAsia" w:ascii="Times New Roman" w:hAnsi="Times New Roman" w:cs="宋体"/>
                <w:kern w:val="2"/>
                <w:sz w:val="21"/>
                <w:szCs w:val="21"/>
              </w:rPr>
              <w:t>期环</w:t>
            </w:r>
          </w:p>
          <w:p>
            <w:pPr>
              <w:pStyle w:val="13"/>
              <w:adjustRightInd w:val="0"/>
              <w:snapToGrid w:val="0"/>
              <w:spacing w:before="0" w:beforeAutospacing="0" w:after="0" w:afterAutospacing="0"/>
              <w:jc w:val="center"/>
              <w:rPr>
                <w:rFonts w:ascii="Times New Roman" w:hAnsi="Times New Roman" w:cs="宋体"/>
                <w:kern w:val="2"/>
                <w:sz w:val="21"/>
                <w:szCs w:val="21"/>
              </w:rPr>
            </w:pPr>
            <w:r>
              <w:rPr>
                <w:rFonts w:hint="eastAsia" w:ascii="Times New Roman" w:hAnsi="Times New Roman" w:cs="宋体"/>
                <w:kern w:val="2"/>
                <w:sz w:val="21"/>
                <w:szCs w:val="21"/>
              </w:rPr>
              <w:t>境保</w:t>
            </w:r>
          </w:p>
          <w:p>
            <w:pPr>
              <w:pStyle w:val="13"/>
              <w:adjustRightInd w:val="0"/>
              <w:snapToGrid w:val="0"/>
              <w:spacing w:before="0" w:beforeAutospacing="0" w:after="0" w:afterAutospacing="0"/>
              <w:jc w:val="center"/>
              <w:rPr>
                <w:rFonts w:ascii="Times New Roman" w:hAnsi="Times New Roman" w:cs="宋体"/>
                <w:kern w:val="2"/>
                <w:sz w:val="21"/>
                <w:szCs w:val="21"/>
              </w:rPr>
            </w:pPr>
            <w:r>
              <w:rPr>
                <w:rFonts w:hint="eastAsia" w:ascii="Times New Roman" w:hAnsi="Times New Roman" w:cs="宋体"/>
                <w:kern w:val="2"/>
                <w:sz w:val="21"/>
                <w:szCs w:val="21"/>
              </w:rPr>
              <w:t>护措</w:t>
            </w:r>
          </w:p>
          <w:p>
            <w:pPr>
              <w:pStyle w:val="13"/>
              <w:adjustRightInd w:val="0"/>
              <w:snapToGrid w:val="0"/>
              <w:spacing w:before="0" w:beforeAutospacing="0" w:after="0" w:afterAutospacing="0"/>
              <w:jc w:val="center"/>
              <w:rPr>
                <w:rFonts w:ascii="Times New Roman" w:hAnsi="Times New Roman" w:cs="宋体"/>
                <w:bCs/>
                <w:kern w:val="2"/>
                <w:sz w:val="21"/>
                <w:szCs w:val="21"/>
              </w:rPr>
            </w:pPr>
            <w:r>
              <w:rPr>
                <w:rFonts w:hint="eastAsia" w:ascii="Times New Roman" w:hAnsi="Times New Roman" w:cs="宋体"/>
                <w:kern w:val="2"/>
                <w:sz w:val="21"/>
                <w:szCs w:val="21"/>
              </w:rPr>
              <w:t>施</w:t>
            </w:r>
          </w:p>
        </w:tc>
        <w:tc>
          <w:tcPr>
            <w:tcW w:w="8162" w:type="dxa"/>
            <w:vAlign w:val="center"/>
          </w:tcPr>
          <w:p>
            <w:pPr>
              <w:adjustRightInd w:val="0"/>
              <w:snapToGrid w:val="0"/>
              <w:spacing w:line="360" w:lineRule="auto"/>
              <w:ind w:firstLine="482"/>
              <w:rPr>
                <w:sz w:val="24"/>
              </w:rPr>
            </w:pPr>
            <w:r>
              <w:rPr>
                <w:sz w:val="24"/>
              </w:rPr>
              <w:t>项目建设对环境的影响主要表现为：施工扬尘、施工废水、施工噪声、土建固废等。项目施工期较短，且产生的影响随着施工的结束而消失</w:t>
            </w:r>
            <w:r>
              <w:rPr>
                <w:rFonts w:hint="eastAsia"/>
                <w:sz w:val="24"/>
              </w:rPr>
              <w:t>。项目建设期未发生环保纠纷等问题，对建设期主要环境影响和保护措施回顾性分析如下：</w:t>
            </w:r>
          </w:p>
          <w:p>
            <w:pPr>
              <w:adjustRightInd w:val="0"/>
              <w:snapToGrid w:val="0"/>
              <w:spacing w:line="360" w:lineRule="auto"/>
              <w:ind w:firstLine="482"/>
              <w:rPr>
                <w:b/>
                <w:bCs/>
                <w:sz w:val="24"/>
              </w:rPr>
            </w:pPr>
            <w:r>
              <w:rPr>
                <w:b/>
                <w:bCs/>
                <w:sz w:val="24"/>
              </w:rPr>
              <w:t>1、废气</w:t>
            </w:r>
          </w:p>
          <w:p>
            <w:pPr>
              <w:widowControl/>
              <w:adjustRightInd w:val="0"/>
              <w:snapToGrid w:val="0"/>
              <w:spacing w:line="360" w:lineRule="auto"/>
              <w:ind w:firstLine="480" w:firstLineChars="200"/>
              <w:textAlignment w:val="baseline"/>
              <w:rPr>
                <w:bCs/>
                <w:kern w:val="0"/>
                <w:sz w:val="24"/>
              </w:rPr>
            </w:pPr>
            <w:r>
              <w:rPr>
                <w:bCs/>
                <w:kern w:val="0"/>
                <w:sz w:val="24"/>
              </w:rPr>
              <w:t>施工过程中产生的主要大气污染源是扬尘以及施工机械、运输车辆废气。</w:t>
            </w:r>
          </w:p>
          <w:p>
            <w:pPr>
              <w:widowControl/>
              <w:adjustRightInd w:val="0"/>
              <w:snapToGrid w:val="0"/>
              <w:spacing w:line="360" w:lineRule="auto"/>
              <w:ind w:firstLine="480" w:firstLineChars="200"/>
              <w:textAlignment w:val="baseline"/>
              <w:rPr>
                <w:bCs/>
                <w:kern w:val="0"/>
                <w:sz w:val="24"/>
              </w:rPr>
            </w:pPr>
            <w:r>
              <w:rPr>
                <w:bCs/>
                <w:kern w:val="0"/>
                <w:sz w:val="24"/>
              </w:rPr>
              <w:t>1）施工扬尘</w:t>
            </w:r>
          </w:p>
          <w:p>
            <w:pPr>
              <w:widowControl/>
              <w:adjustRightInd w:val="0"/>
              <w:snapToGrid w:val="0"/>
              <w:spacing w:line="360" w:lineRule="auto"/>
              <w:ind w:firstLine="480" w:firstLineChars="200"/>
              <w:textAlignment w:val="baseline"/>
              <w:rPr>
                <w:bCs/>
                <w:kern w:val="0"/>
                <w:sz w:val="24"/>
              </w:rPr>
            </w:pPr>
            <w:r>
              <w:rPr>
                <w:bCs/>
                <w:kern w:val="0"/>
                <w:sz w:val="24"/>
              </w:rPr>
              <w:t>施工扬尘主要产生在以下环节：</w:t>
            </w:r>
            <w:r>
              <w:rPr>
                <w:rFonts w:hint="eastAsia"/>
                <w:bCs/>
                <w:kern w:val="0"/>
                <w:sz w:val="24"/>
              </w:rPr>
              <w:t>①</w:t>
            </w:r>
            <w:r>
              <w:rPr>
                <w:bCs/>
                <w:kern w:val="0"/>
                <w:sz w:val="24"/>
              </w:rPr>
              <w:t>土石方开挖、回填以及现场堆放扬尘；</w:t>
            </w:r>
            <w:r>
              <w:rPr>
                <w:rFonts w:hint="eastAsia"/>
                <w:bCs/>
                <w:kern w:val="0"/>
                <w:sz w:val="24"/>
              </w:rPr>
              <w:t>②</w:t>
            </w:r>
            <w:r>
              <w:rPr>
                <w:bCs/>
                <w:kern w:val="0"/>
                <w:sz w:val="24"/>
              </w:rPr>
              <w:t>建筑材料（水泥、沙子、石子等）的搬运以及堆放扬尘；</w:t>
            </w:r>
            <w:r>
              <w:rPr>
                <w:rFonts w:hint="eastAsia"/>
                <w:bCs/>
                <w:kern w:val="0"/>
                <w:sz w:val="24"/>
              </w:rPr>
              <w:t>③</w:t>
            </w:r>
            <w:r>
              <w:rPr>
                <w:bCs/>
                <w:kern w:val="0"/>
                <w:sz w:val="24"/>
              </w:rPr>
              <w:t>物料运输车辆造成的道路扬尘（包括运输车辆在施工区内道路行驶产生的扬尘和含泥土的运输车辆带到施工区外道路产生的扬尘）。</w:t>
            </w:r>
          </w:p>
          <w:p>
            <w:pPr>
              <w:widowControl/>
              <w:adjustRightInd w:val="0"/>
              <w:snapToGrid w:val="0"/>
              <w:spacing w:line="360" w:lineRule="auto"/>
              <w:ind w:firstLine="480" w:firstLineChars="200"/>
              <w:textAlignment w:val="baseline"/>
              <w:rPr>
                <w:bCs/>
                <w:kern w:val="0"/>
                <w:sz w:val="24"/>
              </w:rPr>
            </w:pPr>
            <w:r>
              <w:rPr>
                <w:bCs/>
                <w:kern w:val="0"/>
                <w:sz w:val="24"/>
              </w:rPr>
              <w:t>扬尘的主要成分是TSP，由于本项目工程量较小，施工期较短，施工期扬尘对区域大气环境的影响有限，施工期间避开了大风天气，采取了施工场地定时洒水，露天堆放物料苫盖，施工现场四周围挡等措施，因此，施工阶段产生扬尘</w:t>
            </w:r>
            <w:r>
              <w:rPr>
                <w:rFonts w:hint="eastAsia"/>
                <w:bCs/>
                <w:kern w:val="0"/>
                <w:sz w:val="24"/>
                <w:lang w:val="en-US" w:eastAsia="zh-CN"/>
              </w:rPr>
              <w:t>对</w:t>
            </w:r>
            <w:r>
              <w:rPr>
                <w:bCs/>
                <w:kern w:val="0"/>
                <w:sz w:val="24"/>
              </w:rPr>
              <w:t>周围大气环境的影响较小。</w:t>
            </w:r>
          </w:p>
          <w:p>
            <w:pPr>
              <w:widowControl/>
              <w:adjustRightInd w:val="0"/>
              <w:snapToGrid w:val="0"/>
              <w:spacing w:line="360" w:lineRule="auto"/>
              <w:ind w:firstLine="480" w:firstLineChars="200"/>
              <w:textAlignment w:val="baseline"/>
              <w:rPr>
                <w:bCs/>
                <w:kern w:val="0"/>
                <w:sz w:val="24"/>
              </w:rPr>
            </w:pPr>
            <w:r>
              <w:rPr>
                <w:bCs/>
                <w:kern w:val="0"/>
                <w:sz w:val="24"/>
              </w:rPr>
              <w:t>2）施工机械废气</w:t>
            </w:r>
          </w:p>
          <w:p>
            <w:pPr>
              <w:widowControl/>
              <w:adjustRightInd w:val="0"/>
              <w:snapToGrid w:val="0"/>
              <w:spacing w:line="360" w:lineRule="auto"/>
              <w:ind w:firstLine="480" w:firstLineChars="200"/>
              <w:textAlignment w:val="baseline"/>
              <w:rPr>
                <w:kern w:val="0"/>
                <w:sz w:val="24"/>
              </w:rPr>
            </w:pPr>
            <w:r>
              <w:rPr>
                <w:bCs/>
                <w:kern w:val="0"/>
                <w:sz w:val="24"/>
              </w:rPr>
              <w:t>本项目施工过程中主要有运输车辆、挖掘机等机械，以柴油为燃料，产生了一定量的废气，主要成分是HC、CO、NOx等，由于本项目工程量较小，施工期较短，施工机械、运输车辆废气产生量较小，对周围大气环境的影响较小</w:t>
            </w:r>
            <w:r>
              <w:rPr>
                <w:kern w:val="0"/>
                <w:sz w:val="24"/>
              </w:rPr>
              <w:t>。</w:t>
            </w:r>
          </w:p>
          <w:p>
            <w:pPr>
              <w:widowControl/>
              <w:adjustRightInd w:val="0"/>
              <w:snapToGrid w:val="0"/>
              <w:spacing w:line="360" w:lineRule="auto"/>
              <w:ind w:firstLine="482" w:firstLineChars="200"/>
              <w:textAlignment w:val="baseline"/>
              <w:rPr>
                <w:b/>
                <w:bCs/>
                <w:kern w:val="0"/>
                <w:sz w:val="24"/>
              </w:rPr>
            </w:pPr>
            <w:r>
              <w:rPr>
                <w:b/>
                <w:bCs/>
                <w:kern w:val="0"/>
                <w:sz w:val="24"/>
              </w:rPr>
              <w:t>2、废水</w:t>
            </w:r>
          </w:p>
          <w:p>
            <w:pPr>
              <w:widowControl/>
              <w:adjustRightInd w:val="0"/>
              <w:snapToGrid w:val="0"/>
              <w:spacing w:line="360" w:lineRule="auto"/>
              <w:ind w:firstLine="480" w:firstLineChars="200"/>
              <w:textAlignment w:val="baseline"/>
              <w:rPr>
                <w:kern w:val="0"/>
                <w:sz w:val="24"/>
              </w:rPr>
            </w:pPr>
            <w:r>
              <w:rPr>
                <w:kern w:val="0"/>
                <w:sz w:val="24"/>
              </w:rPr>
              <w:t>建筑施工期间的废水包括施工废水和施工人员的生活污水。</w:t>
            </w:r>
          </w:p>
          <w:p>
            <w:pPr>
              <w:widowControl/>
              <w:adjustRightInd w:val="0"/>
              <w:snapToGrid w:val="0"/>
              <w:spacing w:line="360" w:lineRule="auto"/>
              <w:ind w:firstLine="480" w:firstLineChars="200"/>
              <w:textAlignment w:val="baseline"/>
              <w:rPr>
                <w:kern w:val="0"/>
                <w:sz w:val="24"/>
              </w:rPr>
            </w:pPr>
            <w:r>
              <w:rPr>
                <w:kern w:val="0"/>
                <w:sz w:val="24"/>
              </w:rPr>
              <w:t>施工生产废水包括砂石冲洗水、养护水、场地冲洗水以及机械设备运转的冷却水和洗涤水、输送系统冲洗废水。施工时设置</w:t>
            </w:r>
            <w:r>
              <w:rPr>
                <w:rFonts w:hint="eastAsia"/>
                <w:kern w:val="0"/>
                <w:sz w:val="24"/>
              </w:rPr>
              <w:t>了</w:t>
            </w:r>
            <w:r>
              <w:rPr>
                <w:kern w:val="0"/>
                <w:sz w:val="24"/>
              </w:rPr>
              <w:t>临时沉淀池，将含泥沙雨水、泥浆水等经沉淀池沉淀处理后回收利用，不外排。</w:t>
            </w:r>
            <w:r>
              <w:rPr>
                <w:bCs/>
                <w:kern w:val="0"/>
                <w:sz w:val="24"/>
              </w:rPr>
              <w:t>施工人员生活污水产生量很少，</w:t>
            </w:r>
            <w:r>
              <w:rPr>
                <w:rFonts w:hint="eastAsia"/>
                <w:bCs/>
                <w:kern w:val="0"/>
                <w:sz w:val="24"/>
              </w:rPr>
              <w:t>依托附近居民旱厕</w:t>
            </w:r>
            <w:r>
              <w:rPr>
                <w:kern w:val="0"/>
                <w:sz w:val="24"/>
              </w:rPr>
              <w:t>。施工废水和生活污水得到了妥善处理</w:t>
            </w:r>
            <w:r>
              <w:rPr>
                <w:bCs/>
                <w:kern w:val="0"/>
                <w:sz w:val="24"/>
              </w:rPr>
              <w:t>。</w:t>
            </w:r>
          </w:p>
          <w:p>
            <w:pPr>
              <w:widowControl/>
              <w:adjustRightInd w:val="0"/>
              <w:snapToGrid w:val="0"/>
              <w:spacing w:line="360" w:lineRule="auto"/>
              <w:ind w:firstLine="482" w:firstLineChars="200"/>
              <w:textAlignment w:val="baseline"/>
              <w:rPr>
                <w:kern w:val="0"/>
                <w:sz w:val="24"/>
              </w:rPr>
            </w:pPr>
            <w:r>
              <w:rPr>
                <w:b/>
                <w:bCs/>
                <w:kern w:val="0"/>
                <w:sz w:val="24"/>
              </w:rPr>
              <w:t>3、噪声</w:t>
            </w:r>
          </w:p>
          <w:p>
            <w:pPr>
              <w:widowControl/>
              <w:adjustRightInd w:val="0"/>
              <w:snapToGrid w:val="0"/>
              <w:spacing w:line="360" w:lineRule="auto"/>
              <w:ind w:firstLine="480" w:firstLineChars="200"/>
              <w:textAlignment w:val="baseline"/>
              <w:rPr>
                <w:kern w:val="0"/>
                <w:sz w:val="24"/>
              </w:rPr>
            </w:pPr>
            <w:r>
              <w:rPr>
                <w:kern w:val="0"/>
                <w:sz w:val="24"/>
              </w:rPr>
              <w:t>施工过程中使用的施工机械较少，施工期的噪声来自小型施工机械和运输车辆，噪声源强在75-95dB，特点为暂时的短期间歇性行为，无规律性，在施工场地界线处，一般情况下噪声强度将超过《建筑施工场界环境噪声排放标准》（GB12532-2011）。为减少施工噪声对周围企业的影响，施工单位及建设单位采取</w:t>
            </w:r>
            <w:r>
              <w:rPr>
                <w:rFonts w:hint="eastAsia"/>
                <w:kern w:val="0"/>
                <w:sz w:val="24"/>
              </w:rPr>
              <w:t>了</w:t>
            </w:r>
            <w:r>
              <w:rPr>
                <w:kern w:val="0"/>
                <w:sz w:val="24"/>
              </w:rPr>
              <w:t>以下减缓措施：</w:t>
            </w:r>
          </w:p>
          <w:p>
            <w:pPr>
              <w:widowControl/>
              <w:adjustRightInd w:val="0"/>
              <w:snapToGrid w:val="0"/>
              <w:spacing w:line="360" w:lineRule="auto"/>
              <w:ind w:firstLine="480" w:firstLineChars="200"/>
              <w:textAlignment w:val="baseline"/>
              <w:rPr>
                <w:kern w:val="0"/>
                <w:sz w:val="24"/>
              </w:rPr>
            </w:pPr>
            <w:r>
              <w:rPr>
                <w:rFonts w:hint="eastAsia" w:ascii="宋体" w:hAnsi="宋体" w:cs="宋体"/>
                <w:kern w:val="0"/>
                <w:sz w:val="24"/>
              </w:rPr>
              <w:t>①</w:t>
            </w:r>
            <w:r>
              <w:rPr>
                <w:kern w:val="0"/>
                <w:sz w:val="24"/>
              </w:rPr>
              <w:t>选用低噪声设备，同时在施工过程中施工单位设专人对设备进行定期保养和维护。严格按操作规范使用各类机械。</w:t>
            </w:r>
          </w:p>
          <w:p>
            <w:pPr>
              <w:widowControl/>
              <w:adjustRightInd w:val="0"/>
              <w:snapToGrid w:val="0"/>
              <w:spacing w:line="360" w:lineRule="auto"/>
              <w:ind w:firstLine="480" w:firstLineChars="200"/>
              <w:textAlignment w:val="baseline"/>
              <w:rPr>
                <w:kern w:val="0"/>
                <w:sz w:val="24"/>
              </w:rPr>
            </w:pPr>
            <w:r>
              <w:rPr>
                <w:rFonts w:hint="eastAsia" w:ascii="宋体" w:hAnsi="宋体" w:cs="宋体"/>
                <w:kern w:val="0"/>
                <w:sz w:val="24"/>
              </w:rPr>
              <w:t>②</w:t>
            </w:r>
            <w:r>
              <w:rPr>
                <w:kern w:val="0"/>
                <w:sz w:val="24"/>
              </w:rPr>
              <w:t>合理安排施工时间，不得在22:00-06:00期间施工。</w:t>
            </w:r>
          </w:p>
          <w:p>
            <w:pPr>
              <w:widowControl/>
              <w:adjustRightInd w:val="0"/>
              <w:snapToGrid w:val="0"/>
              <w:spacing w:line="360" w:lineRule="auto"/>
              <w:ind w:firstLine="480" w:firstLineChars="200"/>
              <w:textAlignment w:val="baseline"/>
              <w:rPr>
                <w:kern w:val="0"/>
                <w:sz w:val="24"/>
              </w:rPr>
            </w:pPr>
            <w:r>
              <w:rPr>
                <w:rFonts w:hint="eastAsia" w:ascii="宋体" w:hAnsi="宋体" w:cs="宋体"/>
                <w:kern w:val="0"/>
                <w:sz w:val="24"/>
              </w:rPr>
              <w:t>③</w:t>
            </w:r>
            <w:r>
              <w:rPr>
                <w:kern w:val="0"/>
                <w:sz w:val="24"/>
              </w:rPr>
              <w:t>合理进行施工场地布置。</w:t>
            </w:r>
          </w:p>
          <w:p>
            <w:pPr>
              <w:widowControl/>
              <w:adjustRightInd w:val="0"/>
              <w:snapToGrid w:val="0"/>
              <w:spacing w:line="360" w:lineRule="auto"/>
              <w:ind w:firstLine="480" w:firstLineChars="200"/>
              <w:textAlignment w:val="baseline"/>
              <w:rPr>
                <w:kern w:val="0"/>
                <w:sz w:val="24"/>
              </w:rPr>
            </w:pPr>
            <w:r>
              <w:rPr>
                <w:kern w:val="0"/>
                <w:sz w:val="24"/>
              </w:rPr>
              <w:t>综上所述，施工期间通过选用</w:t>
            </w:r>
            <w:r>
              <w:rPr>
                <w:rFonts w:hint="eastAsia"/>
                <w:kern w:val="0"/>
                <w:sz w:val="24"/>
              </w:rPr>
              <w:t>了</w:t>
            </w:r>
            <w:r>
              <w:rPr>
                <w:kern w:val="0"/>
                <w:sz w:val="24"/>
              </w:rPr>
              <w:t>低噪声设备、合理布局施工场地、合理安排施工时间及其他相应降噪措施后</w:t>
            </w:r>
            <w:r>
              <w:rPr>
                <w:rFonts w:hint="eastAsia"/>
                <w:kern w:val="0"/>
                <w:sz w:val="24"/>
              </w:rPr>
              <w:t>，</w:t>
            </w:r>
            <w:r>
              <w:rPr>
                <w:kern w:val="0"/>
                <w:sz w:val="24"/>
              </w:rPr>
              <w:t>施工厂界噪声满足《建筑施工场界环境噪声排放标准》（GB 12523-2011）所规定的噪声标准的要求。</w:t>
            </w:r>
          </w:p>
          <w:p>
            <w:pPr>
              <w:widowControl/>
              <w:adjustRightInd w:val="0"/>
              <w:snapToGrid w:val="0"/>
              <w:spacing w:line="360" w:lineRule="auto"/>
              <w:ind w:firstLine="482" w:firstLineChars="200"/>
              <w:textAlignment w:val="baseline"/>
              <w:rPr>
                <w:b/>
                <w:bCs/>
                <w:kern w:val="0"/>
                <w:sz w:val="24"/>
              </w:rPr>
            </w:pPr>
            <w:r>
              <w:rPr>
                <w:b/>
                <w:bCs/>
                <w:kern w:val="0"/>
                <w:sz w:val="24"/>
              </w:rPr>
              <w:t>4、固体废物</w:t>
            </w:r>
          </w:p>
          <w:p>
            <w:pPr>
              <w:spacing w:line="360" w:lineRule="auto"/>
              <w:ind w:firstLine="480" w:firstLineChars="200"/>
              <w:rPr>
                <w:bCs/>
                <w:szCs w:val="21"/>
              </w:rPr>
            </w:pPr>
            <w:r>
              <w:rPr>
                <w:bCs/>
                <w:kern w:val="0"/>
                <w:sz w:val="24"/>
              </w:rPr>
              <w:t>施工期产生的固废主要为建筑垃圾和生活垃圾。建筑垃圾为施工过程中产生的弃土、弃料等，</w:t>
            </w:r>
            <w:r>
              <w:rPr>
                <w:rFonts w:hint="eastAsia"/>
                <w:bCs/>
                <w:kern w:val="0"/>
                <w:sz w:val="24"/>
              </w:rPr>
              <w:t>已</w:t>
            </w:r>
            <w:r>
              <w:rPr>
                <w:bCs/>
                <w:kern w:val="0"/>
                <w:sz w:val="24"/>
              </w:rPr>
              <w:t>部分回用于项目建设，不能回用的</w:t>
            </w:r>
            <w:r>
              <w:rPr>
                <w:rFonts w:hint="eastAsia"/>
                <w:bCs/>
                <w:kern w:val="0"/>
                <w:sz w:val="24"/>
              </w:rPr>
              <w:t>已</w:t>
            </w:r>
            <w:r>
              <w:rPr>
                <w:bCs/>
                <w:kern w:val="0"/>
                <w:sz w:val="24"/>
              </w:rPr>
              <w:t>拉运至当地政府指定地点处置。施工人员产生的生活垃圾集中收集，在指定地点设置垃圾桶并加强管理，定期</w:t>
            </w:r>
            <w:r>
              <w:rPr>
                <w:rFonts w:hint="eastAsia"/>
                <w:bCs/>
                <w:kern w:val="0"/>
                <w:sz w:val="24"/>
                <w:lang w:val="en-US" w:eastAsia="zh-CN"/>
              </w:rPr>
              <w:t>移交</w:t>
            </w:r>
            <w:r>
              <w:rPr>
                <w:bCs/>
                <w:kern w:val="0"/>
                <w:sz w:val="24"/>
              </w:rPr>
              <w:t>当地环卫部门集中处理。施工期固体废物合理处置，对周围环境影响较小</w:t>
            </w:r>
            <w:r>
              <w:rPr>
                <w:bCs/>
                <w:sz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31" w:hRule="atLeast"/>
          <w:jc w:val="center"/>
        </w:trPr>
        <w:tc>
          <w:tcPr>
            <w:tcW w:w="746" w:type="dxa"/>
            <w:tcMar>
              <w:left w:w="28" w:type="dxa"/>
              <w:right w:w="28" w:type="dxa"/>
            </w:tcMar>
            <w:vAlign w:val="center"/>
          </w:tcPr>
          <w:p>
            <w:pPr>
              <w:adjustRightInd w:val="0"/>
              <w:snapToGrid w:val="0"/>
              <w:jc w:val="center"/>
              <w:rPr>
                <w:rFonts w:cs="宋体"/>
                <w:bCs/>
                <w:szCs w:val="21"/>
              </w:rPr>
            </w:pPr>
            <w:r>
              <w:rPr>
                <w:rFonts w:hint="eastAsia" w:cs="宋体"/>
                <w:bCs/>
                <w:szCs w:val="21"/>
              </w:rPr>
              <w:t>运营</w:t>
            </w:r>
          </w:p>
          <w:p>
            <w:pPr>
              <w:adjustRightInd w:val="0"/>
              <w:snapToGrid w:val="0"/>
              <w:jc w:val="center"/>
              <w:rPr>
                <w:rFonts w:cs="宋体"/>
                <w:bCs/>
                <w:szCs w:val="21"/>
              </w:rPr>
            </w:pPr>
            <w:r>
              <w:rPr>
                <w:rFonts w:hint="eastAsia" w:cs="宋体"/>
                <w:bCs/>
                <w:szCs w:val="21"/>
              </w:rPr>
              <w:t>期环</w:t>
            </w:r>
          </w:p>
          <w:p>
            <w:pPr>
              <w:adjustRightInd w:val="0"/>
              <w:snapToGrid w:val="0"/>
              <w:jc w:val="center"/>
              <w:rPr>
                <w:rFonts w:cs="宋体"/>
                <w:bCs/>
                <w:szCs w:val="21"/>
              </w:rPr>
            </w:pPr>
            <w:r>
              <w:rPr>
                <w:rFonts w:hint="eastAsia" w:cs="宋体"/>
                <w:bCs/>
                <w:szCs w:val="21"/>
              </w:rPr>
              <w:t>境影</w:t>
            </w:r>
          </w:p>
          <w:p>
            <w:pPr>
              <w:adjustRightInd w:val="0"/>
              <w:snapToGrid w:val="0"/>
              <w:jc w:val="center"/>
              <w:rPr>
                <w:rFonts w:cs="宋体"/>
                <w:bCs/>
                <w:szCs w:val="21"/>
              </w:rPr>
            </w:pPr>
            <w:r>
              <w:rPr>
                <w:rFonts w:hint="eastAsia" w:cs="宋体"/>
                <w:bCs/>
                <w:szCs w:val="21"/>
              </w:rPr>
              <w:t>响和</w:t>
            </w:r>
          </w:p>
          <w:p>
            <w:pPr>
              <w:adjustRightInd w:val="0"/>
              <w:snapToGrid w:val="0"/>
              <w:jc w:val="center"/>
              <w:rPr>
                <w:rFonts w:cs="宋体"/>
                <w:bCs/>
                <w:szCs w:val="21"/>
              </w:rPr>
            </w:pPr>
            <w:r>
              <w:rPr>
                <w:rFonts w:hint="eastAsia" w:cs="宋体"/>
                <w:bCs/>
                <w:szCs w:val="21"/>
              </w:rPr>
              <w:t>保护</w:t>
            </w:r>
          </w:p>
          <w:p>
            <w:pPr>
              <w:adjustRightInd w:val="0"/>
              <w:snapToGrid w:val="0"/>
              <w:jc w:val="center"/>
              <w:rPr>
                <w:rFonts w:cs="宋体"/>
                <w:bCs/>
                <w:szCs w:val="21"/>
              </w:rPr>
            </w:pPr>
            <w:r>
              <w:rPr>
                <w:rFonts w:hint="eastAsia" w:cs="宋体"/>
                <w:bCs/>
                <w:szCs w:val="21"/>
              </w:rPr>
              <w:t>措施</w:t>
            </w:r>
          </w:p>
        </w:tc>
        <w:tc>
          <w:tcPr>
            <w:tcW w:w="8162" w:type="dxa"/>
            <w:vAlign w:val="center"/>
          </w:tcPr>
          <w:p>
            <w:pPr>
              <w:spacing w:line="360" w:lineRule="auto"/>
              <w:jc w:val="left"/>
              <w:rPr>
                <w:rFonts w:cs="宋体"/>
                <w:b/>
                <w:bCs/>
                <w:sz w:val="24"/>
              </w:rPr>
            </w:pPr>
            <w:r>
              <w:rPr>
                <w:rFonts w:hint="eastAsia" w:cs="宋体"/>
                <w:b/>
                <w:bCs/>
                <w:sz w:val="24"/>
              </w:rPr>
              <w:t>1、废气</w:t>
            </w:r>
          </w:p>
          <w:p>
            <w:pPr>
              <w:adjustRightInd w:val="0"/>
              <w:snapToGrid w:val="0"/>
              <w:spacing w:line="360" w:lineRule="auto"/>
              <w:rPr>
                <w:b/>
                <w:bCs/>
                <w:sz w:val="24"/>
              </w:rPr>
            </w:pPr>
            <w:r>
              <w:rPr>
                <w:b/>
                <w:bCs/>
                <w:sz w:val="24"/>
              </w:rPr>
              <w:t>1.1大气污染源源强核算及污染物产排情况</w:t>
            </w:r>
          </w:p>
          <w:p>
            <w:pPr>
              <w:spacing w:line="360" w:lineRule="auto"/>
              <w:ind w:firstLine="480" w:firstLineChars="200"/>
              <w:rPr>
                <w:rFonts w:cs="宋体"/>
                <w:bCs/>
                <w:sz w:val="24"/>
              </w:rPr>
            </w:pPr>
            <w:r>
              <w:rPr>
                <w:rFonts w:hint="eastAsia" w:cs="宋体"/>
                <w:bCs/>
                <w:sz w:val="24"/>
              </w:rPr>
              <w:t>本项目废气主要是粉尘，来源于</w:t>
            </w:r>
            <w:r>
              <w:rPr>
                <w:rFonts w:cs="宋体"/>
                <w:bCs/>
                <w:sz w:val="24"/>
              </w:rPr>
              <w:t>原料储存装卸粉尘</w:t>
            </w:r>
            <w:r>
              <w:rPr>
                <w:rFonts w:hint="eastAsia" w:cs="宋体"/>
                <w:bCs/>
                <w:sz w:val="24"/>
              </w:rPr>
              <w:t>、</w:t>
            </w:r>
            <w:r>
              <w:rPr>
                <w:rFonts w:cs="宋体"/>
                <w:bCs/>
                <w:sz w:val="24"/>
              </w:rPr>
              <w:t>砂石</w:t>
            </w:r>
            <w:r>
              <w:rPr>
                <w:rFonts w:hint="eastAsia" w:cs="宋体"/>
                <w:bCs/>
                <w:sz w:val="24"/>
              </w:rPr>
              <w:t>配料输送扬尘、物料混合搅拌粉尘、粉料筒仓呼吸孔粉尘、运输车辆动力起尘</w:t>
            </w:r>
            <w:r>
              <w:rPr>
                <w:rFonts w:cs="宋体"/>
                <w:bCs/>
                <w:sz w:val="24"/>
              </w:rPr>
              <w:t>。</w:t>
            </w:r>
          </w:p>
          <w:p>
            <w:pPr>
              <w:spacing w:line="360" w:lineRule="auto"/>
              <w:ind w:firstLine="482" w:firstLineChars="200"/>
              <w:rPr>
                <w:rFonts w:cs="宋体"/>
                <w:bCs/>
                <w:sz w:val="24"/>
              </w:rPr>
            </w:pPr>
            <w:r>
              <w:rPr>
                <w:rFonts w:hint="eastAsia" w:cs="宋体"/>
                <w:b/>
                <w:sz w:val="24"/>
              </w:rPr>
              <w:t>（1）</w:t>
            </w:r>
            <w:r>
              <w:rPr>
                <w:rFonts w:hint="eastAsia" w:cs="宋体"/>
                <w:b/>
                <w:bCs/>
                <w:sz w:val="24"/>
              </w:rPr>
              <w:t>砂石储料棚</w:t>
            </w:r>
            <w:r>
              <w:rPr>
                <w:rFonts w:cs="宋体"/>
                <w:b/>
                <w:bCs/>
                <w:sz w:val="24"/>
              </w:rPr>
              <w:t>装卸</w:t>
            </w:r>
            <w:r>
              <w:rPr>
                <w:rFonts w:hint="eastAsia" w:cs="宋体"/>
                <w:b/>
                <w:bCs/>
                <w:sz w:val="24"/>
              </w:rPr>
              <w:t>堆存</w:t>
            </w:r>
            <w:r>
              <w:rPr>
                <w:rFonts w:cs="宋体"/>
                <w:b/>
                <w:bCs/>
                <w:sz w:val="24"/>
              </w:rPr>
              <w:t>粉尘</w:t>
            </w:r>
            <w:r>
              <w:rPr>
                <w:rFonts w:hint="eastAsia" w:cs="宋体"/>
                <w:b/>
                <w:bCs/>
                <w:sz w:val="24"/>
              </w:rPr>
              <w:t>（G</w:t>
            </w:r>
            <w:r>
              <w:rPr>
                <w:rFonts w:cs="宋体"/>
                <w:b/>
                <w:bCs/>
                <w:sz w:val="24"/>
                <w:vertAlign w:val="subscript"/>
              </w:rPr>
              <w:t>1</w:t>
            </w:r>
            <w:r>
              <w:rPr>
                <w:rFonts w:hint="eastAsia" w:cs="宋体"/>
                <w:b/>
                <w:bCs/>
                <w:sz w:val="24"/>
              </w:rPr>
              <w:t>）</w:t>
            </w:r>
          </w:p>
          <w:p>
            <w:pPr>
              <w:spacing w:line="360" w:lineRule="auto"/>
              <w:ind w:firstLine="480" w:firstLineChars="200"/>
              <w:rPr>
                <w:rFonts w:cs="宋体"/>
                <w:bCs/>
                <w:sz w:val="24"/>
              </w:rPr>
            </w:pPr>
            <w:r>
              <w:rPr>
                <w:rFonts w:hint="eastAsia" w:cs="宋体"/>
                <w:bCs/>
                <w:color w:val="0000FF"/>
                <w:sz w:val="24"/>
              </w:rPr>
              <w:t>本项目碎石、砂料堆放在砂石储料棚内，</w:t>
            </w:r>
            <w:r>
              <w:rPr>
                <w:rFonts w:hint="eastAsia" w:cs="宋体"/>
                <w:bCs/>
                <w:sz w:val="24"/>
              </w:rPr>
              <w:t>因此砂石装卸过程会产生一定的扬尘。卸料起尘及原料堆存量根据《</w:t>
            </w:r>
            <w:r>
              <w:rPr>
                <w:rFonts w:cs="宋体"/>
                <w:bCs/>
                <w:sz w:val="24"/>
              </w:rPr>
              <w:t>工业源固体物料堆场颗粒物核算系数手册</w:t>
            </w:r>
            <w:r>
              <w:rPr>
                <w:rFonts w:hint="eastAsia" w:cs="宋体"/>
                <w:bCs/>
                <w:sz w:val="24"/>
              </w:rPr>
              <w:t>》附表</w:t>
            </w:r>
            <w:r>
              <w:rPr>
                <w:rFonts w:cs="宋体"/>
                <w:bCs/>
                <w:sz w:val="24"/>
              </w:rPr>
              <w:t>2</w:t>
            </w:r>
            <w:r>
              <w:rPr>
                <w:rFonts w:hint="eastAsia" w:cs="宋体"/>
                <w:bCs/>
                <w:sz w:val="24"/>
              </w:rPr>
              <w:t>中颗粒物产生量核算公式估算：</w:t>
            </w:r>
          </w:p>
          <w:p>
            <w:pPr>
              <w:spacing w:line="360" w:lineRule="auto"/>
              <w:jc w:val="center"/>
              <w:rPr>
                <w:rFonts w:cs="宋体"/>
                <w:bCs/>
                <w:sz w:val="24"/>
              </w:rPr>
            </w:pPr>
            <w:r>
              <w:rPr>
                <w:rFonts w:cs="宋体"/>
                <w:bCs/>
                <w:sz w:val="24"/>
              </w:rPr>
              <w:t>P=ZC</w:t>
            </w:r>
            <w:r>
              <w:rPr>
                <w:rFonts w:cs="宋体"/>
                <w:bCs/>
                <w:sz w:val="24"/>
                <w:vertAlign w:val="subscript"/>
              </w:rPr>
              <w:t>y</w:t>
            </w:r>
            <w:r>
              <w:rPr>
                <w:rFonts w:cs="宋体"/>
                <w:bCs/>
                <w:sz w:val="24"/>
              </w:rPr>
              <w:t>+FC</w:t>
            </w:r>
            <w:r>
              <w:rPr>
                <w:rFonts w:cs="宋体"/>
                <w:bCs/>
                <w:sz w:val="24"/>
                <w:vertAlign w:val="subscript"/>
              </w:rPr>
              <w:t>y</w:t>
            </w:r>
            <w:r>
              <w:rPr>
                <w:rFonts w:cs="宋体"/>
                <w:bCs/>
                <w:sz w:val="24"/>
              </w:rPr>
              <w:t>= {Nc×D×(a/b)</w:t>
            </w:r>
            <w:r>
              <w:rPr>
                <w:rFonts w:hint="eastAsia" w:cs="宋体"/>
                <w:bCs/>
                <w:sz w:val="24"/>
              </w:rPr>
              <w:t>＋</w:t>
            </w:r>
            <w:r>
              <w:rPr>
                <w:rFonts w:cs="宋体"/>
                <w:bCs/>
                <w:sz w:val="24"/>
              </w:rPr>
              <w:t>2×E</w:t>
            </w:r>
            <w:r>
              <w:rPr>
                <w:rFonts w:cs="宋体"/>
                <w:bCs/>
                <w:sz w:val="24"/>
                <w:vertAlign w:val="subscript"/>
              </w:rPr>
              <w:t>f</w:t>
            </w:r>
            <w:r>
              <w:rPr>
                <w:rFonts w:cs="宋体"/>
                <w:bCs/>
                <w:sz w:val="24"/>
              </w:rPr>
              <w:t xml:space="preserve"> ×S}×10</w:t>
            </w:r>
            <w:r>
              <w:rPr>
                <w:rFonts w:cs="宋体"/>
                <w:bCs/>
                <w:sz w:val="24"/>
                <w:vertAlign w:val="superscript"/>
              </w:rPr>
              <w:t>-3</w:t>
            </w:r>
          </w:p>
          <w:p>
            <w:pPr>
              <w:spacing w:line="360" w:lineRule="auto"/>
              <w:ind w:firstLine="480" w:firstLineChars="200"/>
              <w:rPr>
                <w:rFonts w:cs="宋体"/>
                <w:bCs/>
                <w:sz w:val="24"/>
              </w:rPr>
            </w:pPr>
            <w:r>
              <w:rPr>
                <w:rFonts w:hint="eastAsia" w:cs="宋体"/>
                <w:bCs/>
                <w:sz w:val="24"/>
              </w:rPr>
              <w:t>式中：</w:t>
            </w:r>
            <w:r>
              <w:rPr>
                <w:rFonts w:cs="宋体"/>
                <w:bCs/>
                <w:sz w:val="24"/>
              </w:rPr>
              <w:t>ZC</w:t>
            </w:r>
            <w:r>
              <w:rPr>
                <w:rFonts w:cs="宋体"/>
                <w:bCs/>
                <w:sz w:val="24"/>
                <w:vertAlign w:val="subscript"/>
              </w:rPr>
              <w:t>y</w:t>
            </w:r>
            <w:r>
              <w:rPr>
                <w:rFonts w:cs="宋体"/>
                <w:bCs/>
                <w:sz w:val="24"/>
              </w:rPr>
              <w:t>—</w:t>
            </w:r>
            <w:r>
              <w:rPr>
                <w:rFonts w:hint="eastAsia" w:cs="宋体"/>
                <w:bCs/>
                <w:sz w:val="24"/>
              </w:rPr>
              <w:t>装卸扬尘产生量，</w:t>
            </w:r>
            <w:r>
              <w:rPr>
                <w:rFonts w:cs="宋体"/>
                <w:bCs/>
                <w:sz w:val="24"/>
              </w:rPr>
              <w:t>t</w:t>
            </w:r>
            <w:r>
              <w:rPr>
                <w:rFonts w:hint="eastAsia" w:cs="宋体"/>
                <w:bCs/>
                <w:sz w:val="24"/>
              </w:rPr>
              <w:t>；</w:t>
            </w:r>
          </w:p>
          <w:p>
            <w:pPr>
              <w:spacing w:line="360" w:lineRule="auto"/>
              <w:ind w:firstLine="1200" w:firstLineChars="500"/>
              <w:rPr>
                <w:rFonts w:cs="宋体"/>
                <w:bCs/>
                <w:sz w:val="24"/>
              </w:rPr>
            </w:pPr>
            <w:r>
              <w:rPr>
                <w:rFonts w:cs="宋体"/>
                <w:bCs/>
                <w:sz w:val="24"/>
              </w:rPr>
              <w:t>FCy—</w:t>
            </w:r>
            <w:r>
              <w:rPr>
                <w:rFonts w:hint="eastAsia" w:cs="宋体"/>
                <w:bCs/>
                <w:sz w:val="24"/>
              </w:rPr>
              <w:t>风蚀扬尘产生量，</w:t>
            </w:r>
            <w:r>
              <w:rPr>
                <w:rFonts w:cs="宋体"/>
                <w:bCs/>
                <w:sz w:val="24"/>
              </w:rPr>
              <w:t>t</w:t>
            </w:r>
            <w:r>
              <w:rPr>
                <w:rFonts w:hint="eastAsia" w:cs="宋体"/>
                <w:bCs/>
                <w:sz w:val="24"/>
              </w:rPr>
              <w:t>；</w:t>
            </w:r>
          </w:p>
          <w:p>
            <w:pPr>
              <w:spacing w:line="360" w:lineRule="auto"/>
              <w:ind w:firstLine="1200" w:firstLineChars="500"/>
              <w:rPr>
                <w:rFonts w:cs="宋体"/>
                <w:bCs/>
                <w:sz w:val="24"/>
              </w:rPr>
            </w:pPr>
            <w:r>
              <w:rPr>
                <w:rFonts w:cs="宋体"/>
                <w:bCs/>
                <w:sz w:val="24"/>
              </w:rPr>
              <w:t>Nc—</w:t>
            </w:r>
            <w:r>
              <w:rPr>
                <w:rFonts w:hint="eastAsia" w:cs="宋体"/>
                <w:bCs/>
                <w:sz w:val="24"/>
              </w:rPr>
              <w:t>年物料运载车次，取</w:t>
            </w:r>
            <w:r>
              <w:rPr>
                <w:rFonts w:cs="宋体"/>
                <w:bCs/>
                <w:sz w:val="24"/>
              </w:rPr>
              <w:t>17500</w:t>
            </w:r>
            <w:r>
              <w:rPr>
                <w:rFonts w:hint="eastAsia" w:cs="宋体"/>
                <w:bCs/>
                <w:sz w:val="24"/>
              </w:rPr>
              <w:t>车；</w:t>
            </w:r>
          </w:p>
          <w:p>
            <w:pPr>
              <w:spacing w:line="360" w:lineRule="auto"/>
              <w:ind w:firstLine="1200" w:firstLineChars="500"/>
              <w:rPr>
                <w:rFonts w:cs="宋体"/>
                <w:bCs/>
                <w:sz w:val="24"/>
              </w:rPr>
            </w:pPr>
            <w:r>
              <w:rPr>
                <w:rFonts w:cs="宋体"/>
                <w:bCs/>
                <w:sz w:val="24"/>
              </w:rPr>
              <w:t>D—</w:t>
            </w:r>
            <w:r>
              <w:rPr>
                <w:rFonts w:hint="eastAsia" w:cs="宋体"/>
                <w:bCs/>
                <w:sz w:val="24"/>
              </w:rPr>
              <w:t>单车平均运载量，取</w:t>
            </w:r>
            <w:r>
              <w:rPr>
                <w:rFonts w:cs="宋体"/>
                <w:bCs/>
                <w:sz w:val="24"/>
              </w:rPr>
              <w:t>30t/</w:t>
            </w:r>
            <w:r>
              <w:rPr>
                <w:rFonts w:hint="eastAsia" w:cs="宋体"/>
                <w:bCs/>
                <w:sz w:val="24"/>
              </w:rPr>
              <w:t>车；</w:t>
            </w:r>
          </w:p>
          <w:p>
            <w:pPr>
              <w:spacing w:line="360" w:lineRule="auto"/>
              <w:ind w:firstLine="1200" w:firstLineChars="500"/>
              <w:rPr>
                <w:rFonts w:cs="宋体"/>
                <w:bCs/>
                <w:sz w:val="24"/>
              </w:rPr>
            </w:pPr>
            <w:r>
              <w:rPr>
                <w:rFonts w:cs="宋体"/>
                <w:bCs/>
                <w:sz w:val="24"/>
              </w:rPr>
              <w:t>a—</w:t>
            </w:r>
            <w:r>
              <w:rPr>
                <w:rFonts w:hint="eastAsia" w:cs="宋体"/>
                <w:bCs/>
                <w:sz w:val="24"/>
              </w:rPr>
              <w:t>内蒙古风速概化系数，取</w:t>
            </w:r>
            <w:r>
              <w:rPr>
                <w:rFonts w:cs="宋体"/>
                <w:bCs/>
                <w:sz w:val="24"/>
              </w:rPr>
              <w:t>0.0017</w:t>
            </w:r>
            <w:r>
              <w:rPr>
                <w:rFonts w:hint="eastAsia" w:cs="宋体"/>
                <w:bCs/>
                <w:sz w:val="24"/>
              </w:rPr>
              <w:t>；</w:t>
            </w:r>
          </w:p>
          <w:p>
            <w:pPr>
              <w:spacing w:line="360" w:lineRule="auto"/>
              <w:ind w:firstLine="1200" w:firstLineChars="500"/>
              <w:rPr>
                <w:rFonts w:cs="宋体"/>
                <w:bCs/>
                <w:sz w:val="24"/>
              </w:rPr>
            </w:pPr>
            <w:r>
              <w:rPr>
                <w:rFonts w:cs="宋体"/>
                <w:bCs/>
                <w:sz w:val="24"/>
              </w:rPr>
              <w:t>b—</w:t>
            </w:r>
            <w:r>
              <w:rPr>
                <w:rFonts w:hint="eastAsia" w:cs="宋体"/>
                <w:bCs/>
                <w:sz w:val="24"/>
              </w:rPr>
              <w:t>物料含水率概化系数，取混合矿石</w:t>
            </w:r>
            <w:r>
              <w:rPr>
                <w:rFonts w:cs="宋体"/>
                <w:bCs/>
                <w:sz w:val="24"/>
              </w:rPr>
              <w:t>0.0084</w:t>
            </w:r>
            <w:r>
              <w:rPr>
                <w:rFonts w:hint="eastAsia" w:cs="宋体"/>
                <w:bCs/>
                <w:sz w:val="24"/>
              </w:rPr>
              <w:t>；</w:t>
            </w:r>
          </w:p>
          <w:p>
            <w:pPr>
              <w:spacing w:line="360" w:lineRule="auto"/>
              <w:ind w:firstLine="1200" w:firstLineChars="500"/>
              <w:rPr>
                <w:rFonts w:cs="宋体"/>
                <w:bCs/>
                <w:sz w:val="24"/>
              </w:rPr>
            </w:pPr>
            <w:r>
              <w:rPr>
                <w:rFonts w:cs="宋体"/>
                <w:bCs/>
                <w:sz w:val="24"/>
              </w:rPr>
              <w:t>Ef—</w:t>
            </w:r>
            <w:r>
              <w:rPr>
                <w:rFonts w:hint="eastAsia" w:cs="宋体"/>
                <w:bCs/>
                <w:sz w:val="24"/>
              </w:rPr>
              <w:t>堆场风蚀扬尘概化系数，取混合矿石0；</w:t>
            </w:r>
          </w:p>
          <w:p>
            <w:pPr>
              <w:spacing w:line="360" w:lineRule="auto"/>
              <w:ind w:firstLine="1200" w:firstLineChars="500"/>
              <w:rPr>
                <w:rFonts w:cs="宋体"/>
                <w:bCs/>
                <w:sz w:val="24"/>
              </w:rPr>
            </w:pPr>
            <w:r>
              <w:rPr>
                <w:rFonts w:cs="宋体"/>
                <w:bCs/>
                <w:sz w:val="24"/>
              </w:rPr>
              <w:t>S—</w:t>
            </w:r>
            <w:r>
              <w:rPr>
                <w:rFonts w:hint="eastAsia" w:cs="宋体"/>
                <w:bCs/>
                <w:sz w:val="24"/>
              </w:rPr>
              <w:t>堆场占地面积，取</w:t>
            </w:r>
            <w:r>
              <w:rPr>
                <w:rFonts w:cs="宋体"/>
                <w:bCs/>
                <w:sz w:val="24"/>
              </w:rPr>
              <w:t>1750m</w:t>
            </w:r>
            <w:r>
              <w:rPr>
                <w:rFonts w:cs="宋体"/>
                <w:bCs/>
                <w:sz w:val="24"/>
                <w:vertAlign w:val="superscript"/>
              </w:rPr>
              <w:t>2</w:t>
            </w:r>
            <w:r>
              <w:rPr>
                <w:rFonts w:hint="eastAsia" w:cs="宋体"/>
                <w:bCs/>
                <w:sz w:val="24"/>
              </w:rPr>
              <w:t>。</w:t>
            </w:r>
          </w:p>
          <w:p>
            <w:pPr>
              <w:spacing w:line="360" w:lineRule="auto"/>
              <w:ind w:firstLine="480" w:firstLineChars="200"/>
              <w:rPr>
                <w:rFonts w:cs="宋体"/>
                <w:bCs/>
                <w:sz w:val="24"/>
              </w:rPr>
            </w:pPr>
            <w:r>
              <w:rPr>
                <w:rFonts w:hint="eastAsia" w:cs="宋体"/>
                <w:bCs/>
                <w:sz w:val="24"/>
              </w:rPr>
              <w:t>根据以上公式计算可知原料储存及卸料扬尘颗粒物产生量</w:t>
            </w:r>
            <w:r>
              <w:rPr>
                <w:rFonts w:cs="宋体"/>
                <w:bCs/>
                <w:sz w:val="24"/>
              </w:rPr>
              <w:t>P</w:t>
            </w:r>
            <w:r>
              <w:rPr>
                <w:rFonts w:hint="eastAsia" w:cs="宋体"/>
                <w:bCs/>
                <w:sz w:val="24"/>
              </w:rPr>
              <w:t>为</w:t>
            </w:r>
            <w:r>
              <w:rPr>
                <w:rFonts w:cs="宋体"/>
                <w:bCs/>
                <w:sz w:val="24"/>
              </w:rPr>
              <w:t>106.25t</w:t>
            </w:r>
            <w:r>
              <w:rPr>
                <w:rFonts w:hint="eastAsia" w:cs="宋体"/>
                <w:bCs/>
                <w:sz w:val="24"/>
              </w:rPr>
              <w:t>。</w:t>
            </w:r>
            <w:r>
              <w:rPr>
                <w:rFonts w:cs="宋体"/>
                <w:bCs/>
                <w:sz w:val="24"/>
              </w:rPr>
              <w:t xml:space="preserve"> </w:t>
            </w:r>
            <w:r>
              <w:rPr>
                <w:rFonts w:hint="eastAsia" w:cs="宋体"/>
                <w:bCs/>
                <w:sz w:val="24"/>
              </w:rPr>
              <w:t>颗粒物排放量按下列公式进行核算：</w:t>
            </w:r>
          </w:p>
          <w:p>
            <w:pPr>
              <w:spacing w:line="360" w:lineRule="auto"/>
              <w:jc w:val="center"/>
              <w:rPr>
                <w:rFonts w:cs="宋体"/>
                <w:bCs/>
                <w:sz w:val="24"/>
              </w:rPr>
            </w:pPr>
            <w:r>
              <w:rPr>
                <w:rFonts w:cs="宋体"/>
                <w:bCs/>
                <w:sz w:val="24"/>
              </w:rPr>
              <w:t>U</w:t>
            </w:r>
            <w:r>
              <w:rPr>
                <w:rFonts w:hint="eastAsia" w:cs="宋体"/>
                <w:bCs/>
                <w:sz w:val="24"/>
              </w:rPr>
              <w:t>c＝</w:t>
            </w:r>
            <w:r>
              <w:rPr>
                <w:rFonts w:cs="宋体"/>
                <w:bCs/>
                <w:sz w:val="24"/>
              </w:rPr>
              <w:t>P× (1-Cm) × (1-Tm)</w:t>
            </w:r>
          </w:p>
          <w:p>
            <w:pPr>
              <w:spacing w:line="360" w:lineRule="auto"/>
              <w:ind w:firstLine="480" w:firstLineChars="200"/>
              <w:rPr>
                <w:rFonts w:cs="宋体"/>
                <w:bCs/>
                <w:sz w:val="24"/>
              </w:rPr>
            </w:pPr>
            <w:r>
              <w:rPr>
                <w:rFonts w:hint="eastAsia" w:cs="宋体"/>
                <w:bCs/>
                <w:sz w:val="24"/>
              </w:rPr>
              <w:t>式</w:t>
            </w:r>
            <w:r>
              <w:rPr>
                <w:rFonts w:cs="宋体"/>
                <w:bCs/>
                <w:sz w:val="24"/>
              </w:rPr>
              <w:t xml:space="preserve"> </w:t>
            </w:r>
            <w:r>
              <w:rPr>
                <w:rFonts w:hint="eastAsia" w:cs="宋体"/>
                <w:bCs/>
                <w:sz w:val="24"/>
              </w:rPr>
              <w:t>中：</w:t>
            </w:r>
            <w:r>
              <w:rPr>
                <w:rFonts w:cs="宋体"/>
                <w:bCs/>
                <w:sz w:val="24"/>
              </w:rPr>
              <w:t>P—</w:t>
            </w:r>
            <w:r>
              <w:rPr>
                <w:rFonts w:hint="eastAsia" w:cs="宋体"/>
                <w:bCs/>
                <w:sz w:val="24"/>
              </w:rPr>
              <w:t>颗粒物产生量，</w:t>
            </w:r>
            <w:r>
              <w:rPr>
                <w:rFonts w:cs="宋体"/>
                <w:bCs/>
                <w:sz w:val="24"/>
              </w:rPr>
              <w:t>t</w:t>
            </w:r>
            <w:r>
              <w:rPr>
                <w:rFonts w:hint="eastAsia" w:cs="宋体"/>
                <w:bCs/>
                <w:sz w:val="24"/>
              </w:rPr>
              <w:t>；</w:t>
            </w:r>
          </w:p>
          <w:p>
            <w:pPr>
              <w:spacing w:line="360" w:lineRule="auto"/>
              <w:ind w:firstLine="1200" w:firstLineChars="500"/>
              <w:rPr>
                <w:rFonts w:cs="宋体"/>
                <w:bCs/>
                <w:sz w:val="24"/>
              </w:rPr>
            </w:pPr>
            <w:r>
              <w:rPr>
                <w:rFonts w:cs="宋体"/>
                <w:bCs/>
                <w:sz w:val="24"/>
              </w:rPr>
              <w:t>Cm—</w:t>
            </w:r>
            <w:r>
              <w:rPr>
                <w:rFonts w:hint="eastAsia" w:cs="宋体"/>
                <w:bCs/>
                <w:sz w:val="24"/>
              </w:rPr>
              <w:t>颗粒物控制措施控制效率，项目砂石堆放区上方设置喷淋设施，故取</w:t>
            </w:r>
            <w:r>
              <w:rPr>
                <w:rFonts w:cs="宋体"/>
                <w:bCs/>
                <w:sz w:val="24"/>
              </w:rPr>
              <w:t>74%</w:t>
            </w:r>
            <w:r>
              <w:rPr>
                <w:rFonts w:hint="eastAsia" w:cs="宋体"/>
                <w:bCs/>
                <w:sz w:val="24"/>
              </w:rPr>
              <w:t>；</w:t>
            </w:r>
          </w:p>
          <w:p>
            <w:pPr>
              <w:spacing w:line="360" w:lineRule="auto"/>
              <w:ind w:firstLine="1200" w:firstLineChars="500"/>
              <w:rPr>
                <w:rFonts w:cs="宋体"/>
                <w:bCs/>
                <w:sz w:val="24"/>
              </w:rPr>
            </w:pPr>
            <w:r>
              <w:rPr>
                <w:rFonts w:cs="宋体"/>
                <w:bCs/>
                <w:sz w:val="24"/>
              </w:rPr>
              <w:t>Tm—</w:t>
            </w:r>
            <w:r>
              <w:rPr>
                <w:rFonts w:hint="eastAsia" w:cs="宋体"/>
                <w:bCs/>
                <w:sz w:val="24"/>
              </w:rPr>
              <w:t>堆场类型控制效率，项目砂石储料棚采取全封闭措施，故取</w:t>
            </w:r>
            <w:r>
              <w:rPr>
                <w:rFonts w:cs="宋体"/>
                <w:bCs/>
                <w:sz w:val="24"/>
              </w:rPr>
              <w:t>99%</w:t>
            </w:r>
            <w:r>
              <w:rPr>
                <w:rFonts w:hint="eastAsia" w:cs="宋体"/>
                <w:bCs/>
                <w:sz w:val="24"/>
              </w:rPr>
              <w:t>。</w:t>
            </w:r>
          </w:p>
          <w:p>
            <w:pPr>
              <w:spacing w:line="360" w:lineRule="auto"/>
              <w:ind w:firstLine="480" w:firstLineChars="200"/>
              <w:rPr>
                <w:rFonts w:cs="宋体"/>
                <w:bCs/>
                <w:sz w:val="24"/>
              </w:rPr>
            </w:pPr>
            <w:r>
              <w:rPr>
                <w:rFonts w:hint="eastAsia" w:cs="宋体"/>
                <w:bCs/>
                <w:sz w:val="24"/>
              </w:rPr>
              <w:t>根据以上公式计算可知原料储存及卸料扬尘颗粒物排放量</w:t>
            </w:r>
            <w:r>
              <w:rPr>
                <w:rFonts w:cs="宋体"/>
                <w:bCs/>
                <w:sz w:val="24"/>
              </w:rPr>
              <w:t>U</w:t>
            </w:r>
            <w:r>
              <w:rPr>
                <w:rFonts w:hint="eastAsia" w:cs="宋体"/>
                <w:bCs/>
                <w:sz w:val="24"/>
              </w:rPr>
              <w:t>c为0</w:t>
            </w:r>
            <w:r>
              <w:rPr>
                <w:rFonts w:cs="宋体"/>
                <w:bCs/>
                <w:sz w:val="24"/>
              </w:rPr>
              <w:t>.28t/a</w:t>
            </w:r>
            <w:r>
              <w:rPr>
                <w:rFonts w:hint="eastAsia" w:cs="宋体"/>
                <w:bCs/>
                <w:sz w:val="24"/>
              </w:rPr>
              <w:t>，</w:t>
            </w:r>
            <w:r>
              <w:rPr>
                <w:rFonts w:cs="宋体"/>
                <w:bCs/>
                <w:sz w:val="24"/>
              </w:rPr>
              <w:t>以无组织形式排放。</w:t>
            </w:r>
          </w:p>
          <w:p>
            <w:pPr>
              <w:spacing w:line="360" w:lineRule="auto"/>
              <w:ind w:firstLine="482" w:firstLineChars="200"/>
              <w:rPr>
                <w:rFonts w:cs="宋体"/>
                <w:b/>
                <w:sz w:val="24"/>
              </w:rPr>
            </w:pPr>
            <w:r>
              <w:rPr>
                <w:rFonts w:hint="eastAsia" w:cs="宋体"/>
                <w:b/>
                <w:sz w:val="24"/>
              </w:rPr>
              <w:t>（2）物料输送粉尘（G</w:t>
            </w:r>
            <w:r>
              <w:rPr>
                <w:rFonts w:hint="eastAsia" w:cs="宋体"/>
                <w:b/>
                <w:sz w:val="24"/>
                <w:vertAlign w:val="subscript"/>
              </w:rPr>
              <w:t>2</w:t>
            </w:r>
            <w:r>
              <w:rPr>
                <w:rFonts w:hint="eastAsia" w:cs="宋体"/>
                <w:b/>
                <w:sz w:val="24"/>
              </w:rPr>
              <w:t>）</w:t>
            </w:r>
          </w:p>
          <w:p>
            <w:pPr>
              <w:spacing w:line="360" w:lineRule="auto"/>
              <w:ind w:firstLine="480" w:firstLineChars="200"/>
              <w:rPr>
                <w:bCs/>
                <w:sz w:val="24"/>
              </w:rPr>
            </w:pPr>
            <w:r>
              <w:rPr>
                <w:rFonts w:hint="eastAsia"/>
                <w:bCs/>
                <w:sz w:val="24"/>
              </w:rPr>
              <w:t>物料输送粉尘主要包括砂石配料输送过程扬尘及粉料筒仓呼吸孔粉尘。</w:t>
            </w:r>
            <w:r>
              <w:rPr>
                <w:bCs/>
                <w:sz w:val="24"/>
              </w:rPr>
              <w:t>本项目砂石原料利用装载机由砂石原料库运至上料仓，项目砂、石提升以</w:t>
            </w:r>
            <w:r>
              <w:rPr>
                <w:rFonts w:hint="eastAsia"/>
                <w:bCs/>
                <w:sz w:val="24"/>
              </w:rPr>
              <w:t>输送带</w:t>
            </w:r>
            <w:r>
              <w:rPr>
                <w:bCs/>
                <w:sz w:val="24"/>
              </w:rPr>
              <w:t>输送方式完成，出料口密闭接入搅拌站。项目所使用的水泥、粉煤灰等粉状原料由密封罐车运至站内，正压</w:t>
            </w:r>
            <w:r>
              <w:rPr>
                <w:rFonts w:hint="eastAsia"/>
                <w:bCs/>
                <w:sz w:val="24"/>
              </w:rPr>
              <w:t>送</w:t>
            </w:r>
            <w:r>
              <w:rPr>
                <w:bCs/>
                <w:sz w:val="24"/>
              </w:rPr>
              <w:t>入相应原料</w:t>
            </w:r>
            <w:r>
              <w:rPr>
                <w:rFonts w:hint="eastAsia"/>
                <w:bCs/>
                <w:sz w:val="24"/>
              </w:rPr>
              <w:t>筒</w:t>
            </w:r>
            <w:r>
              <w:rPr>
                <w:bCs/>
                <w:sz w:val="24"/>
              </w:rPr>
              <w:t>仓内储存</w:t>
            </w:r>
            <w:r>
              <w:rPr>
                <w:rFonts w:hint="eastAsia"/>
                <w:bCs/>
                <w:sz w:val="24"/>
              </w:rPr>
              <w:t>。在输送过程中，伴随着仓内压力的增加</w:t>
            </w:r>
            <w:r>
              <w:rPr>
                <w:bCs/>
                <w:sz w:val="24"/>
              </w:rPr>
              <w:t>，</w:t>
            </w:r>
            <w:r>
              <w:rPr>
                <w:rFonts w:hint="eastAsia"/>
                <w:bCs/>
                <w:sz w:val="24"/>
              </w:rPr>
              <w:t>压缩空气会通过仓顶呼吸口释放压力，此时</w:t>
            </w:r>
            <w:r>
              <w:rPr>
                <w:bCs/>
                <w:sz w:val="24"/>
              </w:rPr>
              <w:t>会</w:t>
            </w:r>
            <w:r>
              <w:rPr>
                <w:rFonts w:hint="eastAsia"/>
                <w:bCs/>
                <w:sz w:val="24"/>
              </w:rPr>
              <w:t>排放</w:t>
            </w:r>
            <w:r>
              <w:rPr>
                <w:bCs/>
                <w:sz w:val="24"/>
              </w:rPr>
              <w:t>一定量的粉尘</w:t>
            </w:r>
            <w:r>
              <w:rPr>
                <w:rFonts w:hint="eastAsia"/>
                <w:bCs/>
                <w:sz w:val="24"/>
              </w:rPr>
              <w:t>。</w:t>
            </w:r>
            <w:r>
              <w:rPr>
                <w:bCs/>
                <w:sz w:val="24"/>
              </w:rPr>
              <w:t>本项目混凝土产量为3</w:t>
            </w:r>
            <w:r>
              <w:rPr>
                <w:rFonts w:hint="eastAsia"/>
                <w:bCs/>
                <w:sz w:val="24"/>
              </w:rPr>
              <w:t>0万m</w:t>
            </w:r>
            <w:r>
              <w:rPr>
                <w:rFonts w:hint="eastAsia"/>
                <w:bCs/>
                <w:sz w:val="24"/>
                <w:vertAlign w:val="superscript"/>
              </w:rPr>
              <w:t>3</w:t>
            </w:r>
            <w:r>
              <w:rPr>
                <w:bCs/>
                <w:sz w:val="24"/>
              </w:rPr>
              <w:t>，</w:t>
            </w:r>
            <w:r>
              <w:rPr>
                <w:rFonts w:hint="eastAsia"/>
                <w:bCs/>
                <w:sz w:val="24"/>
              </w:rPr>
              <w:t>原料中水泥、粉煤灰采用筒料仓储存，原料水泥用量为</w:t>
            </w:r>
            <w:r>
              <w:rPr>
                <w:bCs/>
                <w:sz w:val="24"/>
              </w:rPr>
              <w:t>75</w:t>
            </w:r>
            <w:r>
              <w:rPr>
                <w:rFonts w:hint="eastAsia"/>
                <w:bCs/>
                <w:sz w:val="24"/>
              </w:rPr>
              <w:t>000吨，粉煤灰用量为</w:t>
            </w:r>
            <w:r>
              <w:rPr>
                <w:bCs/>
                <w:sz w:val="24"/>
              </w:rPr>
              <w:t>3</w:t>
            </w:r>
            <w:r>
              <w:rPr>
                <w:rFonts w:hint="eastAsia"/>
                <w:bCs/>
                <w:sz w:val="24"/>
              </w:rPr>
              <w:t>0000吨，水泥与粉煤灰均进入混凝土产品中。</w:t>
            </w:r>
          </w:p>
          <w:p>
            <w:pPr>
              <w:spacing w:line="360" w:lineRule="auto"/>
              <w:ind w:firstLine="480" w:firstLineChars="200"/>
              <w:rPr>
                <w:bCs/>
                <w:sz w:val="24"/>
              </w:rPr>
            </w:pPr>
            <w:r>
              <w:rPr>
                <w:bCs/>
                <w:sz w:val="24"/>
              </w:rPr>
              <w:t>根据《</w:t>
            </w:r>
            <w:r>
              <w:rPr>
                <w:kern w:val="0"/>
                <w:sz w:val="24"/>
                <w:lang w:bidi="ar"/>
              </w:rPr>
              <w:t>排放源统计调查产排污核算方法和系数手册3021</w:t>
            </w:r>
            <w:r>
              <w:rPr>
                <w:bCs/>
                <w:sz w:val="24"/>
              </w:rPr>
              <w:t>水泥制品制造（含2033砼结构构件制造、3029其他水泥类似制品制造）行业系数手册》中物料输送储存粉尘产污系数为0.12kg/t-产品，本项目混凝土产量为30</w:t>
            </w:r>
            <w:r>
              <w:rPr>
                <w:rFonts w:hint="eastAsia"/>
                <w:bCs/>
                <w:sz w:val="24"/>
              </w:rPr>
              <w:t>万m</w:t>
            </w:r>
            <w:r>
              <w:rPr>
                <w:rFonts w:hint="eastAsia"/>
                <w:bCs/>
                <w:sz w:val="24"/>
                <w:vertAlign w:val="superscript"/>
              </w:rPr>
              <w:t>3</w:t>
            </w:r>
            <w:r>
              <w:rPr>
                <w:bCs/>
                <w:sz w:val="24"/>
              </w:rPr>
              <w:t>（混凝土容重为2.4t/</w:t>
            </w:r>
            <w:r>
              <w:rPr>
                <w:rFonts w:hint="eastAsia"/>
                <w:bCs/>
                <w:sz w:val="24"/>
              </w:rPr>
              <w:t>m</w:t>
            </w:r>
            <w:r>
              <w:rPr>
                <w:bCs/>
                <w:sz w:val="24"/>
                <w:vertAlign w:val="superscript"/>
              </w:rPr>
              <w:t>3</w:t>
            </w:r>
            <w:r>
              <w:rPr>
                <w:bCs/>
                <w:sz w:val="24"/>
              </w:rPr>
              <w:t>），则混凝土重量为72万吨</w:t>
            </w:r>
            <w:r>
              <w:rPr>
                <w:rFonts w:hint="eastAsia"/>
                <w:bCs/>
                <w:sz w:val="24"/>
              </w:rPr>
              <w:t>，则粉尘产生量为</w:t>
            </w:r>
            <w:r>
              <w:rPr>
                <w:bCs/>
                <w:sz w:val="24"/>
              </w:rPr>
              <w:t>86.4t</w:t>
            </w:r>
            <w:r>
              <w:rPr>
                <w:rFonts w:hint="eastAsia"/>
                <w:bCs/>
                <w:sz w:val="24"/>
              </w:rPr>
              <w:t>/a，主要粉料仓的粉尘为主。</w:t>
            </w:r>
          </w:p>
          <w:p>
            <w:pPr>
              <w:spacing w:line="360" w:lineRule="auto"/>
              <w:ind w:firstLine="480" w:firstLineChars="200"/>
              <w:rPr>
                <w:rFonts w:cs="宋体"/>
                <w:bCs/>
                <w:sz w:val="24"/>
              </w:rPr>
            </w:pPr>
            <w:r>
              <w:rPr>
                <w:rFonts w:hint="eastAsia" w:cs="宋体"/>
                <w:bCs/>
                <w:sz w:val="24"/>
              </w:rPr>
              <w:t>本项目输送带两侧和上部为封闭结构，上料仓顶部设置洒水抑尘装置，通过以上处理措施砂石投料粉尘排放量可削减约9</w:t>
            </w:r>
            <w:r>
              <w:rPr>
                <w:rFonts w:cs="宋体"/>
                <w:bCs/>
                <w:sz w:val="24"/>
              </w:rPr>
              <w:t>5</w:t>
            </w:r>
            <w:r>
              <w:rPr>
                <w:rFonts w:hint="eastAsia" w:cs="宋体"/>
                <w:bCs/>
                <w:sz w:val="24"/>
              </w:rPr>
              <w:t>%以上，可有效减少砂石配料过程粉尘的排放。</w:t>
            </w:r>
          </w:p>
          <w:p>
            <w:pPr>
              <w:spacing w:line="360" w:lineRule="auto"/>
              <w:ind w:firstLine="480" w:firstLineChars="200"/>
              <w:rPr>
                <w:rFonts w:cs="宋体"/>
                <w:bCs/>
                <w:sz w:val="24"/>
              </w:rPr>
            </w:pPr>
            <w:r>
              <w:rPr>
                <w:rFonts w:hint="eastAsia" w:cs="宋体"/>
                <w:bCs/>
                <w:sz w:val="24"/>
              </w:rPr>
              <w:t>每个水泥筒仓、粉煤灰筒仓均设置1台仓顶滤芯</w:t>
            </w:r>
            <w:r>
              <w:rPr>
                <w:rFonts w:cs="宋体"/>
                <w:bCs/>
                <w:sz w:val="24"/>
              </w:rPr>
              <w:t>除尘</w:t>
            </w:r>
            <w:r>
              <w:rPr>
                <w:rFonts w:hint="eastAsia" w:cs="宋体"/>
                <w:bCs/>
                <w:sz w:val="24"/>
              </w:rPr>
              <w:t>器过滤粉尘，处理后呼吸孔粉尘经仓顶D</w:t>
            </w:r>
            <w:r>
              <w:rPr>
                <w:rFonts w:cs="宋体"/>
                <w:bCs/>
                <w:sz w:val="24"/>
              </w:rPr>
              <w:t>A00</w:t>
            </w:r>
            <w:r>
              <w:rPr>
                <w:rFonts w:hint="eastAsia" w:cs="宋体"/>
                <w:bCs/>
                <w:sz w:val="24"/>
              </w:rPr>
              <w:t>1、D</w:t>
            </w:r>
            <w:r>
              <w:rPr>
                <w:rFonts w:cs="宋体"/>
                <w:bCs/>
                <w:sz w:val="24"/>
              </w:rPr>
              <w:t>A00</w:t>
            </w:r>
            <w:r>
              <w:rPr>
                <w:rFonts w:hint="eastAsia" w:cs="宋体"/>
                <w:bCs/>
                <w:sz w:val="24"/>
              </w:rPr>
              <w:t>2、D</w:t>
            </w:r>
            <w:r>
              <w:rPr>
                <w:rFonts w:cs="宋体"/>
                <w:bCs/>
                <w:sz w:val="24"/>
              </w:rPr>
              <w:t>A00</w:t>
            </w:r>
            <w:r>
              <w:rPr>
                <w:rFonts w:hint="eastAsia" w:cs="宋体"/>
                <w:bCs/>
                <w:sz w:val="24"/>
              </w:rPr>
              <w:t>3、D</w:t>
            </w:r>
            <w:r>
              <w:rPr>
                <w:rFonts w:cs="宋体"/>
                <w:bCs/>
                <w:sz w:val="24"/>
              </w:rPr>
              <w:t>A00</w:t>
            </w:r>
            <w:r>
              <w:rPr>
                <w:rFonts w:hint="eastAsia" w:cs="宋体"/>
                <w:bCs/>
                <w:sz w:val="24"/>
              </w:rPr>
              <w:t>4排气筒排放。除尘器风机设计处理风量均为30</w:t>
            </w:r>
            <w:r>
              <w:rPr>
                <w:rFonts w:cs="宋体"/>
                <w:bCs/>
                <w:sz w:val="24"/>
              </w:rPr>
              <w:t>00m</w:t>
            </w:r>
            <w:r>
              <w:rPr>
                <w:rFonts w:cs="宋体"/>
                <w:bCs/>
                <w:sz w:val="24"/>
                <w:vertAlign w:val="superscript"/>
              </w:rPr>
              <w:t>3</w:t>
            </w:r>
            <w:r>
              <w:rPr>
                <w:rFonts w:cs="宋体"/>
                <w:bCs/>
                <w:sz w:val="24"/>
              </w:rPr>
              <w:t>/h</w:t>
            </w:r>
            <w:r>
              <w:rPr>
                <w:rFonts w:hint="eastAsia" w:cs="宋体"/>
                <w:bCs/>
                <w:sz w:val="24"/>
              </w:rPr>
              <w:t>，圆筒结构，过滤面积36</w:t>
            </w:r>
            <w:r>
              <w:rPr>
                <w:rFonts w:cs="宋体"/>
                <w:bCs/>
                <w:sz w:val="24"/>
              </w:rPr>
              <w:t>m</w:t>
            </w:r>
            <w:r>
              <w:rPr>
                <w:rFonts w:cs="宋体"/>
                <w:bCs/>
                <w:sz w:val="24"/>
                <w:vertAlign w:val="superscript"/>
              </w:rPr>
              <w:t>2</w:t>
            </w:r>
            <w:r>
              <w:rPr>
                <w:rFonts w:hint="eastAsia" w:cs="宋体"/>
                <w:bCs/>
                <w:sz w:val="24"/>
              </w:rPr>
              <w:t>，滤芯数量20支，除尘效率≥</w:t>
            </w:r>
            <w:r>
              <w:rPr>
                <w:rFonts w:cs="宋体"/>
                <w:bCs/>
                <w:sz w:val="24"/>
              </w:rPr>
              <w:t>99</w:t>
            </w:r>
            <w:r>
              <w:rPr>
                <w:rFonts w:hint="eastAsia" w:cs="宋体"/>
                <w:bCs/>
                <w:sz w:val="24"/>
              </w:rPr>
              <w:t>.7</w:t>
            </w:r>
            <w:r>
              <w:rPr>
                <w:rFonts w:cs="宋体"/>
                <w:bCs/>
                <w:sz w:val="24"/>
              </w:rPr>
              <w:t>%</w:t>
            </w:r>
            <w:r>
              <w:rPr>
                <w:rFonts w:hint="eastAsia" w:cs="宋体"/>
                <w:bCs/>
                <w:sz w:val="24"/>
              </w:rPr>
              <w:t>，则粉尘排放量为0</w:t>
            </w:r>
            <w:r>
              <w:rPr>
                <w:rFonts w:cs="宋体"/>
                <w:bCs/>
                <w:sz w:val="24"/>
              </w:rPr>
              <w:t>.26</w:t>
            </w:r>
            <w:r>
              <w:rPr>
                <w:rFonts w:hint="eastAsia" w:cs="宋体"/>
                <w:bCs/>
                <w:sz w:val="24"/>
              </w:rPr>
              <w:t>t/a。</w:t>
            </w:r>
            <w:r>
              <w:rPr>
                <w:rFonts w:cs="宋体"/>
                <w:bCs/>
                <w:sz w:val="24"/>
              </w:rPr>
              <w:t>本项目水泥年用量为75</w:t>
            </w:r>
            <w:r>
              <w:rPr>
                <w:rFonts w:hint="eastAsia" w:cs="宋体"/>
                <w:bCs/>
                <w:sz w:val="24"/>
              </w:rPr>
              <w:t>000</w:t>
            </w:r>
            <w:r>
              <w:rPr>
                <w:rFonts w:cs="宋体"/>
                <w:bCs/>
                <w:sz w:val="24"/>
              </w:rPr>
              <w:t>t/a，粉煤灰年用量为3</w:t>
            </w:r>
            <w:r>
              <w:rPr>
                <w:rFonts w:hint="eastAsia" w:cs="宋体"/>
                <w:bCs/>
                <w:sz w:val="24"/>
              </w:rPr>
              <w:t>0000t</w:t>
            </w:r>
            <w:r>
              <w:rPr>
                <w:rFonts w:cs="宋体"/>
                <w:bCs/>
                <w:sz w:val="24"/>
              </w:rPr>
              <w:t>/a，每辆散装水泥、粉煤灰罐车可装原料</w:t>
            </w:r>
            <w:r>
              <w:rPr>
                <w:rFonts w:hint="eastAsia" w:cs="宋体"/>
                <w:bCs/>
                <w:sz w:val="24"/>
              </w:rPr>
              <w:t>2</w:t>
            </w:r>
            <w:r>
              <w:rPr>
                <w:rFonts w:cs="宋体"/>
                <w:bCs/>
                <w:sz w:val="24"/>
              </w:rPr>
              <w:t>0t，</w:t>
            </w:r>
            <w:r>
              <w:rPr>
                <w:rFonts w:hint="eastAsia" w:cs="宋体"/>
                <w:bCs/>
                <w:sz w:val="24"/>
              </w:rPr>
              <w:t>全年水泥运输、装料</w:t>
            </w:r>
            <w:r>
              <w:rPr>
                <w:rFonts w:cs="宋体"/>
                <w:bCs/>
                <w:sz w:val="24"/>
              </w:rPr>
              <w:t>3750</w:t>
            </w:r>
            <w:r>
              <w:rPr>
                <w:rFonts w:hint="eastAsia" w:cs="宋体"/>
                <w:bCs/>
                <w:sz w:val="24"/>
              </w:rPr>
              <w:t>次，粉煤灰运输、装料1</w:t>
            </w:r>
            <w:r>
              <w:rPr>
                <w:rFonts w:cs="宋体"/>
                <w:bCs/>
                <w:sz w:val="24"/>
              </w:rPr>
              <w:t>5</w:t>
            </w:r>
            <w:r>
              <w:rPr>
                <w:rFonts w:hint="eastAsia" w:cs="宋体"/>
                <w:bCs/>
                <w:sz w:val="24"/>
              </w:rPr>
              <w:t>0</w:t>
            </w:r>
            <w:r>
              <w:rPr>
                <w:rFonts w:cs="宋体"/>
                <w:bCs/>
                <w:sz w:val="24"/>
              </w:rPr>
              <w:t>0</w:t>
            </w:r>
            <w:r>
              <w:rPr>
                <w:rFonts w:hint="eastAsia" w:cs="宋体"/>
                <w:bCs/>
                <w:sz w:val="24"/>
              </w:rPr>
              <w:t>次。</w:t>
            </w:r>
            <w:r>
              <w:rPr>
                <w:rFonts w:cs="宋体"/>
                <w:bCs/>
                <w:sz w:val="24"/>
              </w:rPr>
              <w:t>每</w:t>
            </w:r>
            <w:r>
              <w:rPr>
                <w:rFonts w:hint="eastAsia" w:cs="宋体"/>
                <w:bCs/>
                <w:sz w:val="24"/>
              </w:rPr>
              <w:t>装</w:t>
            </w:r>
            <w:r>
              <w:rPr>
                <w:rFonts w:cs="宋体"/>
                <w:bCs/>
                <w:sz w:val="24"/>
              </w:rPr>
              <w:t>完一车原料的时间约为</w:t>
            </w:r>
            <w:r>
              <w:rPr>
                <w:rFonts w:hint="eastAsia" w:cs="宋体"/>
                <w:bCs/>
                <w:sz w:val="24"/>
              </w:rPr>
              <w:t>0.5</w:t>
            </w:r>
            <w:r>
              <w:rPr>
                <w:rFonts w:cs="宋体"/>
                <w:bCs/>
                <w:sz w:val="24"/>
              </w:rPr>
              <w:t>h，则全年水泥装罐时间为1875h</w:t>
            </w:r>
            <w:r>
              <w:rPr>
                <w:rFonts w:hint="eastAsia" w:cs="宋体"/>
                <w:bCs/>
                <w:sz w:val="24"/>
              </w:rPr>
              <w:t>，</w:t>
            </w:r>
            <w:r>
              <w:rPr>
                <w:rFonts w:cs="宋体"/>
                <w:bCs/>
                <w:sz w:val="24"/>
              </w:rPr>
              <w:t>粉煤灰装罐时间为7</w:t>
            </w:r>
            <w:r>
              <w:rPr>
                <w:rFonts w:hint="eastAsia" w:cs="宋体"/>
                <w:bCs/>
                <w:sz w:val="24"/>
              </w:rPr>
              <w:t>50</w:t>
            </w:r>
            <w:r>
              <w:rPr>
                <w:rFonts w:cs="宋体"/>
                <w:bCs/>
                <w:sz w:val="24"/>
              </w:rPr>
              <w:t>h</w:t>
            </w:r>
            <w:r>
              <w:rPr>
                <w:rFonts w:hint="eastAsia" w:cs="宋体"/>
                <w:bCs/>
                <w:sz w:val="24"/>
              </w:rPr>
              <w:t>。每个筒仓排放速率为</w:t>
            </w:r>
            <w:r>
              <w:rPr>
                <w:rFonts w:cs="宋体"/>
                <w:bCs/>
                <w:sz w:val="24"/>
              </w:rPr>
              <w:t>0.025</w:t>
            </w:r>
            <w:r>
              <w:rPr>
                <w:rFonts w:hint="eastAsia" w:cs="宋体"/>
                <w:bCs/>
                <w:sz w:val="24"/>
              </w:rPr>
              <w:t>kg/h，排放浓度</w:t>
            </w:r>
            <w:r>
              <w:rPr>
                <w:rFonts w:cs="宋体"/>
                <w:bCs/>
                <w:sz w:val="24"/>
              </w:rPr>
              <w:t>8.25</w:t>
            </w:r>
            <w:r>
              <w:rPr>
                <w:rFonts w:hint="eastAsia" w:cs="宋体"/>
                <w:bCs/>
                <w:sz w:val="24"/>
              </w:rPr>
              <w:t>mg/m</w:t>
            </w:r>
            <w:r>
              <w:rPr>
                <w:rFonts w:hint="eastAsia" w:cs="宋体"/>
                <w:bCs/>
                <w:sz w:val="24"/>
                <w:vertAlign w:val="superscript"/>
              </w:rPr>
              <w:t>3</w:t>
            </w:r>
            <w:r>
              <w:rPr>
                <w:rFonts w:hint="eastAsia" w:cs="宋体"/>
                <w:bCs/>
                <w:sz w:val="24"/>
              </w:rPr>
              <w:t>。</w:t>
            </w:r>
          </w:p>
          <w:p>
            <w:pPr>
              <w:spacing w:line="360" w:lineRule="auto"/>
              <w:ind w:firstLine="482" w:firstLineChars="200"/>
              <w:rPr>
                <w:rFonts w:cs="宋体"/>
                <w:b/>
                <w:sz w:val="24"/>
              </w:rPr>
            </w:pPr>
            <w:r>
              <w:rPr>
                <w:rFonts w:hint="eastAsia" w:cs="宋体"/>
                <w:b/>
                <w:sz w:val="24"/>
              </w:rPr>
              <w:t>（3）物料混合搅拌粉尘（G</w:t>
            </w:r>
            <w:r>
              <w:rPr>
                <w:rFonts w:hint="eastAsia" w:cs="宋体"/>
                <w:b/>
                <w:sz w:val="24"/>
                <w:vertAlign w:val="subscript"/>
              </w:rPr>
              <w:t>3</w:t>
            </w:r>
            <w:r>
              <w:rPr>
                <w:rFonts w:hint="eastAsia" w:cs="宋体"/>
                <w:b/>
                <w:sz w:val="24"/>
              </w:rPr>
              <w:t>）</w:t>
            </w:r>
          </w:p>
          <w:p>
            <w:pPr>
              <w:spacing w:line="360" w:lineRule="auto"/>
              <w:ind w:firstLine="480" w:firstLineChars="200"/>
              <w:rPr>
                <w:rFonts w:cs="宋体"/>
                <w:bCs/>
                <w:sz w:val="24"/>
              </w:rPr>
            </w:pPr>
            <w:r>
              <w:rPr>
                <w:rFonts w:hint="eastAsia" w:cs="宋体"/>
                <w:bCs/>
                <w:sz w:val="24"/>
              </w:rPr>
              <w:t>根据</w:t>
            </w:r>
            <w:r>
              <w:rPr>
                <w:rFonts w:cs="宋体"/>
                <w:bCs/>
                <w:sz w:val="24"/>
              </w:rPr>
              <w:t>《排放源统计调查产排污核算方法和系数手册3021水泥制品制造（含2033砼结构构件制造、3029其他水泥类似制品制造）行业系数手册》中</w:t>
            </w:r>
            <w:r>
              <w:rPr>
                <w:rFonts w:hint="eastAsia" w:cs="宋体"/>
                <w:bCs/>
                <w:sz w:val="24"/>
              </w:rPr>
              <w:t>搅拌过程的产污系数为0.13</w:t>
            </w:r>
            <w:r>
              <w:rPr>
                <w:rFonts w:cs="宋体"/>
                <w:bCs/>
                <w:sz w:val="24"/>
              </w:rPr>
              <w:t>kg/t-产品</w:t>
            </w:r>
            <w:r>
              <w:rPr>
                <w:rFonts w:hint="eastAsia" w:cs="宋体"/>
                <w:bCs/>
                <w:sz w:val="24"/>
              </w:rPr>
              <w:t>，</w:t>
            </w:r>
            <w:r>
              <w:rPr>
                <w:rFonts w:cs="宋体"/>
                <w:bCs/>
                <w:sz w:val="24"/>
              </w:rPr>
              <w:t>本项目混凝土产量为30</w:t>
            </w:r>
            <w:r>
              <w:rPr>
                <w:rFonts w:hint="eastAsia" w:cs="宋体"/>
                <w:bCs/>
                <w:sz w:val="24"/>
              </w:rPr>
              <w:t>万m</w:t>
            </w:r>
            <w:r>
              <w:rPr>
                <w:rFonts w:hint="eastAsia" w:cs="宋体"/>
                <w:bCs/>
                <w:sz w:val="24"/>
                <w:vertAlign w:val="superscript"/>
              </w:rPr>
              <w:t>3</w:t>
            </w:r>
            <w:r>
              <w:rPr>
                <w:rFonts w:cs="宋体"/>
                <w:bCs/>
                <w:sz w:val="24"/>
              </w:rPr>
              <w:t>（混凝土容重为2.4t），则混凝土重量为72万吨</w:t>
            </w:r>
            <w:r>
              <w:rPr>
                <w:rFonts w:hint="eastAsia" w:cs="宋体"/>
                <w:bCs/>
                <w:sz w:val="24"/>
              </w:rPr>
              <w:t>，则粉尘产生量为</w:t>
            </w:r>
            <w:r>
              <w:rPr>
                <w:rFonts w:cs="宋体"/>
                <w:bCs/>
                <w:sz w:val="24"/>
              </w:rPr>
              <w:t>93.6t</w:t>
            </w:r>
            <w:r>
              <w:rPr>
                <w:rFonts w:hint="eastAsia" w:cs="宋体"/>
                <w:bCs/>
                <w:sz w:val="24"/>
              </w:rPr>
              <w:t>/a。项目输送带全封闭，搅拌主机采用钢结构厂房进行全封闭，输送带和搅拌主机之间用帆布软连接，搅拌机配有脉冲布袋除尘器，除尘器直接安装在缓存斗盖上，缓存斗盖与搅拌机为封闭状态，经除尘后直接通过排气口排放，除尘效率≥99.7%，经计算物料混合搅拌粉尘呈无组织形式排放量为0.</w:t>
            </w:r>
            <w:r>
              <w:rPr>
                <w:rFonts w:cs="宋体"/>
                <w:bCs/>
                <w:sz w:val="24"/>
              </w:rPr>
              <w:t>28</w:t>
            </w:r>
            <w:r>
              <w:rPr>
                <w:rFonts w:hint="eastAsia" w:cs="宋体"/>
                <w:bCs/>
                <w:sz w:val="24"/>
              </w:rPr>
              <w:t>t/a。</w:t>
            </w:r>
          </w:p>
          <w:p>
            <w:pPr>
              <w:spacing w:line="360" w:lineRule="auto"/>
              <w:ind w:firstLine="482" w:firstLineChars="200"/>
              <w:rPr>
                <w:rFonts w:cs="宋体"/>
                <w:b/>
                <w:sz w:val="24"/>
              </w:rPr>
            </w:pPr>
            <w:r>
              <w:rPr>
                <w:rFonts w:hint="eastAsia" w:cs="宋体"/>
                <w:b/>
                <w:sz w:val="24"/>
              </w:rPr>
              <w:t>（</w:t>
            </w:r>
            <w:r>
              <w:rPr>
                <w:rFonts w:cs="宋体"/>
                <w:b/>
                <w:sz w:val="24"/>
              </w:rPr>
              <w:t>4</w:t>
            </w:r>
            <w:r>
              <w:rPr>
                <w:rFonts w:hint="eastAsia" w:cs="宋体"/>
                <w:b/>
                <w:sz w:val="24"/>
              </w:rPr>
              <w:t>）运输车辆动力起尘（G</w:t>
            </w:r>
            <w:r>
              <w:rPr>
                <w:rFonts w:cs="宋体"/>
                <w:b/>
                <w:sz w:val="24"/>
                <w:vertAlign w:val="subscript"/>
              </w:rPr>
              <w:t>4</w:t>
            </w:r>
            <w:r>
              <w:rPr>
                <w:rFonts w:hint="eastAsia" w:cs="宋体"/>
                <w:b/>
                <w:sz w:val="24"/>
              </w:rPr>
              <w:t>）</w:t>
            </w:r>
          </w:p>
          <w:p>
            <w:pPr>
              <w:spacing w:line="360" w:lineRule="auto"/>
              <w:ind w:firstLine="480" w:firstLineChars="200"/>
              <w:rPr>
                <w:rFonts w:cs="宋体"/>
                <w:bCs/>
                <w:sz w:val="24"/>
              </w:rPr>
            </w:pPr>
            <w:r>
              <w:rPr>
                <w:rFonts w:cs="宋体"/>
                <w:bCs/>
                <w:sz w:val="24"/>
              </w:rPr>
              <w:t>本项目运输采用汽运，因此在运输过程中会产生一定量的运输扬尘</w:t>
            </w:r>
            <w:r>
              <w:rPr>
                <w:rFonts w:hint="eastAsia" w:cs="宋体"/>
                <w:bCs/>
                <w:sz w:val="24"/>
              </w:rPr>
              <w:t>。</w:t>
            </w:r>
            <w:r>
              <w:rPr>
                <w:rFonts w:cs="宋体"/>
                <w:bCs/>
                <w:sz w:val="24"/>
              </w:rPr>
              <w:t>厂区道路</w:t>
            </w:r>
            <w:r>
              <w:rPr>
                <w:rFonts w:hint="eastAsia" w:cs="宋体"/>
                <w:bCs/>
                <w:sz w:val="24"/>
              </w:rPr>
              <w:t>、停车场及其他地面实施</w:t>
            </w:r>
            <w:r>
              <w:rPr>
                <w:rFonts w:cs="宋体"/>
                <w:bCs/>
                <w:sz w:val="24"/>
              </w:rPr>
              <w:t>硬化</w:t>
            </w:r>
            <w:r>
              <w:rPr>
                <w:rFonts w:hint="eastAsia" w:cs="宋体"/>
                <w:bCs/>
                <w:sz w:val="24"/>
              </w:rPr>
              <w:t>措施，</w:t>
            </w:r>
            <w:r>
              <w:rPr>
                <w:rFonts w:cs="宋体"/>
                <w:bCs/>
                <w:sz w:val="24"/>
              </w:rPr>
              <w:t>定时洒水</w:t>
            </w:r>
            <w:r>
              <w:rPr>
                <w:rFonts w:hint="eastAsia" w:cs="宋体"/>
                <w:bCs/>
                <w:sz w:val="24"/>
              </w:rPr>
              <w:t>；</w:t>
            </w:r>
            <w:r>
              <w:rPr>
                <w:rFonts w:cs="宋体"/>
                <w:bCs/>
                <w:sz w:val="24"/>
              </w:rPr>
              <w:t>厂区</w:t>
            </w:r>
            <w:r>
              <w:rPr>
                <w:rFonts w:hint="eastAsia" w:cs="宋体"/>
                <w:bCs/>
                <w:sz w:val="24"/>
              </w:rPr>
              <w:t>配备高压水枪设备对驶出车辆进行冲洗清洁；厂区有保洁人员及时对散落的物料进行清扫收集，</w:t>
            </w:r>
            <w:r>
              <w:rPr>
                <w:rFonts w:cs="宋体"/>
                <w:bCs/>
                <w:sz w:val="24"/>
              </w:rPr>
              <w:t>可有效减少运输扬尘的产生。</w:t>
            </w:r>
          </w:p>
          <w:p>
            <w:pPr>
              <w:spacing w:line="360" w:lineRule="auto"/>
              <w:ind w:firstLine="480" w:firstLineChars="200"/>
              <w:rPr>
                <w:rFonts w:cs="宋体"/>
                <w:bCs/>
                <w:sz w:val="24"/>
              </w:rPr>
            </w:pPr>
          </w:p>
        </w:tc>
      </w:tr>
    </w:tbl>
    <w:p>
      <w:pPr>
        <w:adjustRightInd w:val="0"/>
        <w:snapToGrid w:val="0"/>
        <w:spacing w:line="360" w:lineRule="auto"/>
        <w:rPr>
          <w:rFonts w:cs="宋体"/>
          <w:b/>
          <w:kern w:val="0"/>
          <w:sz w:val="28"/>
          <w:szCs w:val="28"/>
        </w:rPr>
        <w:sectPr>
          <w:pgSz w:w="11907" w:h="16840"/>
          <w:pgMar w:top="1560" w:right="1531" w:bottom="1560" w:left="1531" w:header="851" w:footer="851" w:gutter="0"/>
          <w:cols w:space="720" w:num="1"/>
          <w:docGrid w:linePitch="312" w:charSpace="0"/>
        </w:sectPr>
      </w:pPr>
    </w:p>
    <w:p>
      <w:pPr>
        <w:pStyle w:val="22"/>
        <w:rPr>
          <w:szCs w:val="21"/>
        </w:rPr>
      </w:pPr>
      <w:r>
        <w:t>表4-1 废气污染物产排污情况及处理措施一览表</w:t>
      </w:r>
    </w:p>
    <w:tbl>
      <w:tblPr>
        <w:tblStyle w:val="1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401"/>
        <w:gridCol w:w="477"/>
        <w:gridCol w:w="545"/>
        <w:gridCol w:w="569"/>
        <w:gridCol w:w="593"/>
        <w:gridCol w:w="693"/>
        <w:gridCol w:w="778"/>
        <w:gridCol w:w="770"/>
        <w:gridCol w:w="970"/>
        <w:gridCol w:w="1122"/>
        <w:gridCol w:w="730"/>
        <w:gridCol w:w="665"/>
        <w:gridCol w:w="766"/>
        <w:gridCol w:w="3059"/>
        <w:gridCol w:w="822"/>
        <w:gridCol w:w="1102"/>
        <w:gridCol w:w="685"/>
        <w:gridCol w:w="846"/>
        <w:gridCol w:w="814"/>
        <w:gridCol w:w="1684"/>
        <w:gridCol w:w="553"/>
        <w:gridCol w:w="742"/>
        <w:gridCol w:w="65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vMerge w:val="restart"/>
            <w:vAlign w:val="center"/>
          </w:tcPr>
          <w:p>
            <w:pPr>
              <w:widowControl/>
              <w:adjustRightInd w:val="0"/>
              <w:snapToGrid w:val="0"/>
              <w:jc w:val="center"/>
              <w:rPr>
                <w:b/>
                <w:bCs/>
                <w:kern w:val="0"/>
                <w:szCs w:val="21"/>
              </w:rPr>
            </w:pPr>
            <w:r>
              <w:rPr>
                <w:b/>
                <w:bCs/>
                <w:kern w:val="0"/>
                <w:szCs w:val="21"/>
              </w:rPr>
              <w:t>序号</w:t>
            </w:r>
          </w:p>
        </w:tc>
        <w:tc>
          <w:tcPr>
            <w:tcW w:w="119" w:type="pct"/>
            <w:vMerge w:val="restart"/>
            <w:vAlign w:val="center"/>
          </w:tcPr>
          <w:p>
            <w:pPr>
              <w:widowControl/>
              <w:adjustRightInd w:val="0"/>
              <w:snapToGrid w:val="0"/>
              <w:jc w:val="center"/>
              <w:rPr>
                <w:b/>
                <w:bCs/>
                <w:kern w:val="0"/>
                <w:szCs w:val="21"/>
              </w:rPr>
            </w:pPr>
            <w:r>
              <w:rPr>
                <w:b/>
                <w:bCs/>
                <w:kern w:val="0"/>
                <w:szCs w:val="21"/>
              </w:rPr>
              <w:t>生产单元</w:t>
            </w:r>
          </w:p>
        </w:tc>
        <w:tc>
          <w:tcPr>
            <w:tcW w:w="136" w:type="pct"/>
            <w:vMerge w:val="restart"/>
            <w:vAlign w:val="center"/>
          </w:tcPr>
          <w:p>
            <w:pPr>
              <w:widowControl/>
              <w:adjustRightInd w:val="0"/>
              <w:snapToGrid w:val="0"/>
              <w:jc w:val="center"/>
              <w:rPr>
                <w:b/>
                <w:bCs/>
                <w:kern w:val="0"/>
                <w:szCs w:val="21"/>
              </w:rPr>
            </w:pPr>
            <w:r>
              <w:rPr>
                <w:b/>
                <w:bCs/>
                <w:kern w:val="0"/>
                <w:szCs w:val="21"/>
              </w:rPr>
              <w:t>主要生产工艺</w:t>
            </w:r>
          </w:p>
        </w:tc>
        <w:tc>
          <w:tcPr>
            <w:tcW w:w="142" w:type="pct"/>
            <w:vMerge w:val="restart"/>
            <w:vAlign w:val="center"/>
          </w:tcPr>
          <w:p>
            <w:pPr>
              <w:widowControl/>
              <w:adjustRightInd w:val="0"/>
              <w:snapToGrid w:val="0"/>
              <w:jc w:val="center"/>
              <w:rPr>
                <w:b/>
                <w:bCs/>
                <w:kern w:val="0"/>
                <w:szCs w:val="21"/>
              </w:rPr>
            </w:pPr>
            <w:r>
              <w:rPr>
                <w:b/>
                <w:bCs/>
                <w:kern w:val="0"/>
                <w:szCs w:val="21"/>
              </w:rPr>
              <w:t>废气产污环节</w:t>
            </w:r>
          </w:p>
        </w:tc>
        <w:tc>
          <w:tcPr>
            <w:tcW w:w="148" w:type="pct"/>
            <w:vMerge w:val="restart"/>
            <w:vAlign w:val="center"/>
          </w:tcPr>
          <w:p>
            <w:pPr>
              <w:widowControl/>
              <w:adjustRightInd w:val="0"/>
              <w:snapToGrid w:val="0"/>
              <w:jc w:val="center"/>
              <w:rPr>
                <w:b/>
                <w:bCs/>
                <w:kern w:val="0"/>
                <w:szCs w:val="21"/>
              </w:rPr>
            </w:pPr>
            <w:r>
              <w:rPr>
                <w:b/>
                <w:bCs/>
                <w:kern w:val="0"/>
                <w:szCs w:val="21"/>
              </w:rPr>
              <w:t>污染物种类</w:t>
            </w:r>
          </w:p>
        </w:tc>
        <w:tc>
          <w:tcPr>
            <w:tcW w:w="559" w:type="pct"/>
            <w:gridSpan w:val="3"/>
            <w:vAlign w:val="center"/>
          </w:tcPr>
          <w:p>
            <w:pPr>
              <w:widowControl/>
              <w:adjustRightInd w:val="0"/>
              <w:snapToGrid w:val="0"/>
              <w:jc w:val="center"/>
              <w:rPr>
                <w:b/>
                <w:bCs/>
                <w:kern w:val="0"/>
                <w:szCs w:val="21"/>
              </w:rPr>
            </w:pPr>
            <w:r>
              <w:rPr>
                <w:b/>
                <w:bCs/>
                <w:kern w:val="0"/>
                <w:szCs w:val="21"/>
              </w:rPr>
              <w:t>污染物产生情况</w:t>
            </w:r>
          </w:p>
        </w:tc>
        <w:tc>
          <w:tcPr>
            <w:tcW w:w="242" w:type="pct"/>
            <w:vMerge w:val="restart"/>
            <w:vAlign w:val="center"/>
          </w:tcPr>
          <w:p>
            <w:pPr>
              <w:widowControl/>
              <w:adjustRightInd w:val="0"/>
              <w:snapToGrid w:val="0"/>
              <w:jc w:val="center"/>
              <w:rPr>
                <w:b/>
                <w:bCs/>
                <w:kern w:val="0"/>
                <w:szCs w:val="21"/>
              </w:rPr>
            </w:pPr>
            <w:r>
              <w:rPr>
                <w:b/>
                <w:bCs/>
                <w:kern w:val="0"/>
                <w:szCs w:val="21"/>
              </w:rPr>
              <w:t>排放形式</w:t>
            </w:r>
          </w:p>
        </w:tc>
        <w:tc>
          <w:tcPr>
            <w:tcW w:w="280" w:type="pct"/>
            <w:vMerge w:val="restart"/>
            <w:vAlign w:val="center"/>
          </w:tcPr>
          <w:p>
            <w:pPr>
              <w:widowControl/>
              <w:adjustRightInd w:val="0"/>
              <w:snapToGrid w:val="0"/>
              <w:jc w:val="center"/>
              <w:rPr>
                <w:b/>
                <w:bCs/>
                <w:kern w:val="0"/>
                <w:szCs w:val="21"/>
              </w:rPr>
            </w:pPr>
            <w:r>
              <w:rPr>
                <w:b/>
                <w:bCs/>
                <w:kern w:val="0"/>
                <w:szCs w:val="21"/>
              </w:rPr>
              <w:t>排放口类型</w:t>
            </w:r>
          </w:p>
        </w:tc>
        <w:tc>
          <w:tcPr>
            <w:tcW w:w="539" w:type="pct"/>
            <w:gridSpan w:val="3"/>
            <w:vAlign w:val="center"/>
          </w:tcPr>
          <w:p>
            <w:pPr>
              <w:widowControl/>
              <w:adjustRightInd w:val="0"/>
              <w:snapToGrid w:val="0"/>
              <w:jc w:val="center"/>
              <w:rPr>
                <w:b/>
                <w:bCs/>
                <w:kern w:val="0"/>
                <w:szCs w:val="21"/>
              </w:rPr>
            </w:pPr>
            <w:r>
              <w:rPr>
                <w:b/>
                <w:bCs/>
                <w:szCs w:val="21"/>
              </w:rPr>
              <w:t>排气筒信息</w:t>
            </w:r>
          </w:p>
        </w:tc>
        <w:tc>
          <w:tcPr>
            <w:tcW w:w="1243" w:type="pct"/>
            <w:gridSpan w:val="3"/>
            <w:vAlign w:val="center"/>
          </w:tcPr>
          <w:p>
            <w:pPr>
              <w:widowControl/>
              <w:adjustRightInd w:val="0"/>
              <w:snapToGrid w:val="0"/>
              <w:jc w:val="center"/>
              <w:rPr>
                <w:b/>
                <w:bCs/>
                <w:kern w:val="0"/>
                <w:szCs w:val="21"/>
              </w:rPr>
            </w:pPr>
            <w:r>
              <w:rPr>
                <w:b/>
                <w:bCs/>
                <w:kern w:val="0"/>
                <w:szCs w:val="21"/>
              </w:rPr>
              <w:t>污染治理设施</w:t>
            </w:r>
          </w:p>
        </w:tc>
        <w:tc>
          <w:tcPr>
            <w:tcW w:w="585" w:type="pct"/>
            <w:gridSpan w:val="3"/>
            <w:vAlign w:val="center"/>
          </w:tcPr>
          <w:p>
            <w:pPr>
              <w:widowControl/>
              <w:adjustRightInd w:val="0"/>
              <w:snapToGrid w:val="0"/>
              <w:jc w:val="center"/>
              <w:rPr>
                <w:b/>
                <w:bCs/>
                <w:kern w:val="0"/>
                <w:szCs w:val="21"/>
              </w:rPr>
            </w:pPr>
            <w:r>
              <w:rPr>
                <w:b/>
                <w:bCs/>
                <w:kern w:val="0"/>
                <w:szCs w:val="21"/>
              </w:rPr>
              <w:t>污染物排放情况</w:t>
            </w:r>
          </w:p>
        </w:tc>
        <w:tc>
          <w:tcPr>
            <w:tcW w:w="420" w:type="pct"/>
            <w:vMerge w:val="restart"/>
            <w:vAlign w:val="center"/>
          </w:tcPr>
          <w:p>
            <w:pPr>
              <w:widowControl/>
              <w:adjustRightInd w:val="0"/>
              <w:snapToGrid w:val="0"/>
              <w:jc w:val="center"/>
              <w:rPr>
                <w:b/>
                <w:bCs/>
                <w:kern w:val="0"/>
                <w:szCs w:val="21"/>
              </w:rPr>
            </w:pPr>
            <w:r>
              <w:rPr>
                <w:b/>
                <w:bCs/>
                <w:kern w:val="0"/>
                <w:szCs w:val="21"/>
              </w:rPr>
              <w:t>执行标准</w:t>
            </w:r>
          </w:p>
        </w:tc>
        <w:tc>
          <w:tcPr>
            <w:tcW w:w="487" w:type="pct"/>
            <w:gridSpan w:val="3"/>
            <w:vAlign w:val="center"/>
          </w:tcPr>
          <w:p>
            <w:pPr>
              <w:widowControl/>
              <w:adjustRightInd w:val="0"/>
              <w:snapToGrid w:val="0"/>
              <w:jc w:val="center"/>
              <w:rPr>
                <w:b/>
                <w:bCs/>
                <w:kern w:val="0"/>
                <w:szCs w:val="21"/>
              </w:rPr>
            </w:pPr>
            <w:r>
              <w:rPr>
                <w:b/>
                <w:bCs/>
                <w:kern w:val="0"/>
                <w:szCs w:val="21"/>
              </w:rPr>
              <w:t>跟踪监测计划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vMerge w:val="continue"/>
            <w:vAlign w:val="center"/>
          </w:tcPr>
          <w:p>
            <w:pPr>
              <w:widowControl/>
              <w:adjustRightInd w:val="0"/>
              <w:snapToGrid w:val="0"/>
              <w:jc w:val="center"/>
              <w:rPr>
                <w:b/>
                <w:bCs/>
                <w:kern w:val="0"/>
                <w:szCs w:val="21"/>
              </w:rPr>
            </w:pPr>
          </w:p>
        </w:tc>
        <w:tc>
          <w:tcPr>
            <w:tcW w:w="119" w:type="pct"/>
            <w:vMerge w:val="continue"/>
            <w:vAlign w:val="center"/>
          </w:tcPr>
          <w:p>
            <w:pPr>
              <w:widowControl/>
              <w:adjustRightInd w:val="0"/>
              <w:snapToGrid w:val="0"/>
              <w:jc w:val="center"/>
              <w:rPr>
                <w:b/>
                <w:bCs/>
                <w:kern w:val="0"/>
                <w:szCs w:val="21"/>
              </w:rPr>
            </w:pPr>
          </w:p>
        </w:tc>
        <w:tc>
          <w:tcPr>
            <w:tcW w:w="136" w:type="pct"/>
            <w:vMerge w:val="continue"/>
            <w:vAlign w:val="center"/>
          </w:tcPr>
          <w:p>
            <w:pPr>
              <w:widowControl/>
              <w:adjustRightInd w:val="0"/>
              <w:snapToGrid w:val="0"/>
              <w:jc w:val="center"/>
              <w:rPr>
                <w:b/>
                <w:bCs/>
                <w:kern w:val="0"/>
                <w:szCs w:val="21"/>
              </w:rPr>
            </w:pPr>
          </w:p>
        </w:tc>
        <w:tc>
          <w:tcPr>
            <w:tcW w:w="142" w:type="pct"/>
            <w:vMerge w:val="continue"/>
            <w:vAlign w:val="center"/>
          </w:tcPr>
          <w:p>
            <w:pPr>
              <w:widowControl/>
              <w:adjustRightInd w:val="0"/>
              <w:snapToGrid w:val="0"/>
              <w:jc w:val="center"/>
              <w:rPr>
                <w:b/>
                <w:bCs/>
                <w:kern w:val="0"/>
                <w:szCs w:val="21"/>
              </w:rPr>
            </w:pPr>
          </w:p>
        </w:tc>
        <w:tc>
          <w:tcPr>
            <w:tcW w:w="148" w:type="pct"/>
            <w:vMerge w:val="continue"/>
            <w:vAlign w:val="center"/>
          </w:tcPr>
          <w:p>
            <w:pPr>
              <w:widowControl/>
              <w:adjustRightInd w:val="0"/>
              <w:snapToGrid w:val="0"/>
              <w:jc w:val="center"/>
              <w:rPr>
                <w:b/>
                <w:bCs/>
                <w:kern w:val="0"/>
                <w:szCs w:val="21"/>
              </w:rPr>
            </w:pPr>
          </w:p>
        </w:tc>
        <w:tc>
          <w:tcPr>
            <w:tcW w:w="173" w:type="pct"/>
            <w:vAlign w:val="center"/>
          </w:tcPr>
          <w:p>
            <w:pPr>
              <w:widowControl/>
              <w:adjustRightInd w:val="0"/>
              <w:snapToGrid w:val="0"/>
              <w:jc w:val="center"/>
              <w:rPr>
                <w:b/>
                <w:bCs/>
                <w:kern w:val="0"/>
                <w:szCs w:val="21"/>
              </w:rPr>
            </w:pPr>
            <w:r>
              <w:rPr>
                <w:b/>
                <w:bCs/>
                <w:kern w:val="0"/>
                <w:szCs w:val="21"/>
              </w:rPr>
              <w:t>产生量t/a</w:t>
            </w:r>
          </w:p>
        </w:tc>
        <w:tc>
          <w:tcPr>
            <w:tcW w:w="194" w:type="pct"/>
            <w:vAlign w:val="center"/>
          </w:tcPr>
          <w:p>
            <w:pPr>
              <w:widowControl/>
              <w:adjustRightInd w:val="0"/>
              <w:snapToGrid w:val="0"/>
              <w:jc w:val="center"/>
              <w:rPr>
                <w:b/>
                <w:bCs/>
                <w:kern w:val="0"/>
                <w:szCs w:val="21"/>
              </w:rPr>
            </w:pPr>
            <w:r>
              <w:rPr>
                <w:b/>
                <w:bCs/>
                <w:kern w:val="0"/>
                <w:szCs w:val="21"/>
              </w:rPr>
              <w:t>产生速率kg/h</w:t>
            </w:r>
          </w:p>
        </w:tc>
        <w:tc>
          <w:tcPr>
            <w:tcW w:w="192" w:type="pct"/>
            <w:vAlign w:val="center"/>
          </w:tcPr>
          <w:p>
            <w:pPr>
              <w:widowControl/>
              <w:adjustRightInd w:val="0"/>
              <w:snapToGrid w:val="0"/>
              <w:jc w:val="center"/>
              <w:rPr>
                <w:b/>
                <w:bCs/>
                <w:kern w:val="0"/>
                <w:szCs w:val="21"/>
              </w:rPr>
            </w:pPr>
            <w:r>
              <w:rPr>
                <w:b/>
                <w:bCs/>
                <w:kern w:val="0"/>
                <w:szCs w:val="21"/>
              </w:rPr>
              <w:t>产生浓度</w:t>
            </w:r>
          </w:p>
          <w:p>
            <w:pPr>
              <w:widowControl/>
              <w:adjustRightInd w:val="0"/>
              <w:snapToGrid w:val="0"/>
              <w:jc w:val="center"/>
              <w:rPr>
                <w:b/>
                <w:bCs/>
                <w:kern w:val="0"/>
                <w:szCs w:val="21"/>
              </w:rPr>
            </w:pPr>
            <w:r>
              <w:rPr>
                <w:b/>
                <w:bCs/>
                <w:kern w:val="0"/>
                <w:szCs w:val="21"/>
              </w:rPr>
              <w:t>mg/m³</w:t>
            </w:r>
          </w:p>
        </w:tc>
        <w:tc>
          <w:tcPr>
            <w:tcW w:w="242" w:type="pct"/>
            <w:vMerge w:val="continue"/>
            <w:vAlign w:val="center"/>
          </w:tcPr>
          <w:p>
            <w:pPr>
              <w:widowControl/>
              <w:adjustRightInd w:val="0"/>
              <w:snapToGrid w:val="0"/>
              <w:jc w:val="center"/>
              <w:rPr>
                <w:b/>
                <w:bCs/>
                <w:kern w:val="0"/>
                <w:szCs w:val="21"/>
              </w:rPr>
            </w:pPr>
          </w:p>
        </w:tc>
        <w:tc>
          <w:tcPr>
            <w:tcW w:w="280" w:type="pct"/>
            <w:vMerge w:val="continue"/>
            <w:vAlign w:val="center"/>
          </w:tcPr>
          <w:p>
            <w:pPr>
              <w:widowControl/>
              <w:adjustRightInd w:val="0"/>
              <w:snapToGrid w:val="0"/>
              <w:jc w:val="center"/>
              <w:rPr>
                <w:b/>
                <w:bCs/>
                <w:kern w:val="0"/>
                <w:szCs w:val="21"/>
              </w:rPr>
            </w:pPr>
          </w:p>
        </w:tc>
        <w:tc>
          <w:tcPr>
            <w:tcW w:w="182" w:type="pct"/>
            <w:vAlign w:val="center"/>
          </w:tcPr>
          <w:p>
            <w:pPr>
              <w:pStyle w:val="19"/>
              <w:adjustRightInd w:val="0"/>
              <w:snapToGrid w:val="0"/>
              <w:jc w:val="center"/>
              <w:rPr>
                <w:rFonts w:ascii="Times New Roman" w:hAnsi="Times New Roman"/>
                <w:b/>
                <w:bCs/>
                <w:kern w:val="0"/>
                <w:szCs w:val="21"/>
              </w:rPr>
            </w:pPr>
            <w:r>
              <w:rPr>
                <w:rFonts w:ascii="Times New Roman" w:hAnsi="Times New Roman"/>
                <w:b/>
                <w:bCs/>
                <w:szCs w:val="21"/>
              </w:rPr>
              <w:t>编号</w:t>
            </w:r>
          </w:p>
        </w:tc>
        <w:tc>
          <w:tcPr>
            <w:tcW w:w="166" w:type="pct"/>
            <w:vAlign w:val="center"/>
          </w:tcPr>
          <w:p>
            <w:pPr>
              <w:pStyle w:val="19"/>
              <w:adjustRightInd w:val="0"/>
              <w:snapToGrid w:val="0"/>
              <w:jc w:val="center"/>
              <w:rPr>
                <w:rFonts w:ascii="Times New Roman" w:hAnsi="Times New Roman"/>
                <w:b/>
                <w:bCs/>
                <w:kern w:val="0"/>
                <w:szCs w:val="21"/>
              </w:rPr>
            </w:pPr>
            <w:r>
              <w:rPr>
                <w:rFonts w:ascii="Times New Roman" w:hAnsi="Times New Roman"/>
                <w:b/>
                <w:bCs/>
                <w:szCs w:val="21"/>
              </w:rPr>
              <w:t>高度</w:t>
            </w:r>
          </w:p>
        </w:tc>
        <w:tc>
          <w:tcPr>
            <w:tcW w:w="191" w:type="pct"/>
            <w:vAlign w:val="center"/>
          </w:tcPr>
          <w:p>
            <w:pPr>
              <w:pStyle w:val="19"/>
              <w:adjustRightInd w:val="0"/>
              <w:snapToGrid w:val="0"/>
              <w:jc w:val="center"/>
              <w:rPr>
                <w:rFonts w:ascii="Times New Roman" w:hAnsi="Times New Roman"/>
                <w:b/>
                <w:bCs/>
                <w:kern w:val="0"/>
                <w:szCs w:val="21"/>
              </w:rPr>
            </w:pPr>
            <w:r>
              <w:rPr>
                <w:rFonts w:ascii="Times New Roman" w:hAnsi="Times New Roman"/>
                <w:b/>
                <w:bCs/>
                <w:szCs w:val="21"/>
              </w:rPr>
              <w:t>内径</w:t>
            </w:r>
          </w:p>
        </w:tc>
        <w:tc>
          <w:tcPr>
            <w:tcW w:w="763" w:type="pct"/>
            <w:vAlign w:val="center"/>
          </w:tcPr>
          <w:p>
            <w:pPr>
              <w:widowControl/>
              <w:adjustRightInd w:val="0"/>
              <w:snapToGrid w:val="0"/>
              <w:jc w:val="center"/>
              <w:rPr>
                <w:b/>
                <w:bCs/>
                <w:kern w:val="0"/>
                <w:szCs w:val="21"/>
              </w:rPr>
            </w:pPr>
            <w:r>
              <w:rPr>
                <w:b/>
                <w:bCs/>
                <w:kern w:val="0"/>
                <w:szCs w:val="21"/>
              </w:rPr>
              <w:t>工艺名称</w:t>
            </w:r>
          </w:p>
          <w:p>
            <w:pPr>
              <w:widowControl/>
              <w:adjustRightInd w:val="0"/>
              <w:snapToGrid w:val="0"/>
              <w:jc w:val="center"/>
              <w:rPr>
                <w:b/>
                <w:bCs/>
                <w:kern w:val="0"/>
                <w:szCs w:val="21"/>
              </w:rPr>
            </w:pPr>
            <w:r>
              <w:rPr>
                <w:b/>
                <w:bCs/>
                <w:kern w:val="0"/>
                <w:szCs w:val="21"/>
              </w:rPr>
              <w:t>或方式</w:t>
            </w:r>
          </w:p>
        </w:tc>
        <w:tc>
          <w:tcPr>
            <w:tcW w:w="205" w:type="pct"/>
            <w:vAlign w:val="center"/>
          </w:tcPr>
          <w:p>
            <w:pPr>
              <w:widowControl/>
              <w:adjustRightInd w:val="0"/>
              <w:snapToGrid w:val="0"/>
              <w:jc w:val="center"/>
              <w:rPr>
                <w:b/>
                <w:bCs/>
                <w:kern w:val="0"/>
                <w:szCs w:val="21"/>
              </w:rPr>
            </w:pPr>
            <w:r>
              <w:rPr>
                <w:b/>
                <w:bCs/>
                <w:kern w:val="0"/>
                <w:szCs w:val="21"/>
              </w:rPr>
              <w:t>处理效率</w:t>
            </w:r>
          </w:p>
        </w:tc>
        <w:tc>
          <w:tcPr>
            <w:tcW w:w="275" w:type="pct"/>
            <w:vAlign w:val="center"/>
          </w:tcPr>
          <w:p>
            <w:pPr>
              <w:widowControl/>
              <w:adjustRightInd w:val="0"/>
              <w:snapToGrid w:val="0"/>
              <w:jc w:val="center"/>
              <w:rPr>
                <w:b/>
                <w:bCs/>
                <w:kern w:val="0"/>
                <w:szCs w:val="21"/>
              </w:rPr>
            </w:pPr>
            <w:r>
              <w:rPr>
                <w:b/>
                <w:bCs/>
                <w:kern w:val="0"/>
                <w:szCs w:val="21"/>
              </w:rPr>
              <w:t>是否为可行技术</w:t>
            </w:r>
          </w:p>
        </w:tc>
        <w:tc>
          <w:tcPr>
            <w:tcW w:w="171" w:type="pct"/>
            <w:vAlign w:val="center"/>
          </w:tcPr>
          <w:p>
            <w:pPr>
              <w:widowControl/>
              <w:adjustRightInd w:val="0"/>
              <w:snapToGrid w:val="0"/>
              <w:jc w:val="center"/>
              <w:rPr>
                <w:b/>
                <w:bCs/>
                <w:kern w:val="0"/>
                <w:szCs w:val="21"/>
              </w:rPr>
            </w:pPr>
            <w:r>
              <w:rPr>
                <w:b/>
                <w:bCs/>
                <w:kern w:val="0"/>
                <w:szCs w:val="21"/>
              </w:rPr>
              <w:t>排放量t/a</w:t>
            </w:r>
          </w:p>
        </w:tc>
        <w:tc>
          <w:tcPr>
            <w:tcW w:w="211" w:type="pct"/>
            <w:vAlign w:val="center"/>
          </w:tcPr>
          <w:p>
            <w:pPr>
              <w:widowControl/>
              <w:adjustRightInd w:val="0"/>
              <w:snapToGrid w:val="0"/>
              <w:jc w:val="center"/>
              <w:rPr>
                <w:b/>
                <w:bCs/>
                <w:kern w:val="0"/>
                <w:szCs w:val="21"/>
              </w:rPr>
            </w:pPr>
            <w:r>
              <w:rPr>
                <w:b/>
                <w:bCs/>
                <w:kern w:val="0"/>
                <w:szCs w:val="21"/>
              </w:rPr>
              <w:t>排放速率kg/h</w:t>
            </w:r>
          </w:p>
        </w:tc>
        <w:tc>
          <w:tcPr>
            <w:tcW w:w="203" w:type="pct"/>
            <w:vAlign w:val="center"/>
          </w:tcPr>
          <w:p>
            <w:pPr>
              <w:widowControl/>
              <w:adjustRightInd w:val="0"/>
              <w:snapToGrid w:val="0"/>
              <w:jc w:val="center"/>
              <w:rPr>
                <w:b/>
                <w:bCs/>
                <w:kern w:val="0"/>
                <w:szCs w:val="21"/>
              </w:rPr>
            </w:pPr>
            <w:r>
              <w:rPr>
                <w:b/>
                <w:bCs/>
                <w:kern w:val="0"/>
                <w:szCs w:val="21"/>
              </w:rPr>
              <w:t>排放浓度</w:t>
            </w:r>
          </w:p>
          <w:p>
            <w:pPr>
              <w:widowControl/>
              <w:adjustRightInd w:val="0"/>
              <w:snapToGrid w:val="0"/>
              <w:jc w:val="center"/>
              <w:rPr>
                <w:b/>
                <w:bCs/>
                <w:kern w:val="0"/>
                <w:szCs w:val="21"/>
              </w:rPr>
            </w:pPr>
            <w:r>
              <w:rPr>
                <w:b/>
                <w:bCs/>
                <w:kern w:val="0"/>
                <w:szCs w:val="21"/>
              </w:rPr>
              <w:t>mg/m³</w:t>
            </w:r>
          </w:p>
        </w:tc>
        <w:tc>
          <w:tcPr>
            <w:tcW w:w="420" w:type="pct"/>
            <w:vMerge w:val="continue"/>
            <w:vAlign w:val="center"/>
          </w:tcPr>
          <w:p>
            <w:pPr>
              <w:widowControl/>
              <w:adjustRightInd w:val="0"/>
              <w:snapToGrid w:val="0"/>
              <w:jc w:val="center"/>
              <w:rPr>
                <w:b/>
                <w:bCs/>
                <w:kern w:val="0"/>
                <w:szCs w:val="21"/>
              </w:rPr>
            </w:pPr>
          </w:p>
        </w:tc>
        <w:tc>
          <w:tcPr>
            <w:tcW w:w="138" w:type="pct"/>
            <w:vAlign w:val="center"/>
          </w:tcPr>
          <w:p>
            <w:pPr>
              <w:widowControl/>
              <w:adjustRightInd w:val="0"/>
              <w:snapToGrid w:val="0"/>
              <w:jc w:val="center"/>
              <w:rPr>
                <w:b/>
                <w:bCs/>
                <w:kern w:val="0"/>
                <w:szCs w:val="21"/>
              </w:rPr>
            </w:pPr>
            <w:r>
              <w:rPr>
                <w:b/>
                <w:bCs/>
                <w:kern w:val="0"/>
                <w:szCs w:val="21"/>
              </w:rPr>
              <w:t>监测点位</w:t>
            </w:r>
          </w:p>
        </w:tc>
        <w:tc>
          <w:tcPr>
            <w:tcW w:w="185" w:type="pct"/>
            <w:vAlign w:val="center"/>
          </w:tcPr>
          <w:p>
            <w:pPr>
              <w:widowControl/>
              <w:adjustRightInd w:val="0"/>
              <w:snapToGrid w:val="0"/>
              <w:jc w:val="center"/>
              <w:rPr>
                <w:b/>
                <w:bCs/>
                <w:kern w:val="0"/>
                <w:szCs w:val="21"/>
              </w:rPr>
            </w:pPr>
            <w:r>
              <w:rPr>
                <w:b/>
                <w:bCs/>
                <w:kern w:val="0"/>
                <w:szCs w:val="21"/>
              </w:rPr>
              <w:t>监测项目</w:t>
            </w:r>
          </w:p>
        </w:tc>
        <w:tc>
          <w:tcPr>
            <w:tcW w:w="164" w:type="pct"/>
            <w:vAlign w:val="center"/>
          </w:tcPr>
          <w:p>
            <w:pPr>
              <w:widowControl/>
              <w:adjustRightInd w:val="0"/>
              <w:snapToGrid w:val="0"/>
              <w:jc w:val="center"/>
              <w:rPr>
                <w:b/>
                <w:bCs/>
                <w:kern w:val="0"/>
                <w:szCs w:val="21"/>
              </w:rPr>
            </w:pPr>
            <w:r>
              <w:rPr>
                <w:b/>
                <w:bCs/>
                <w:kern w:val="0"/>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vAlign w:val="center"/>
          </w:tcPr>
          <w:p>
            <w:pPr>
              <w:widowControl/>
              <w:adjustRightInd w:val="0"/>
              <w:snapToGrid w:val="0"/>
              <w:jc w:val="center"/>
              <w:rPr>
                <w:kern w:val="0"/>
                <w:szCs w:val="21"/>
              </w:rPr>
            </w:pPr>
            <w:r>
              <w:rPr>
                <w:kern w:val="0"/>
                <w:szCs w:val="21"/>
              </w:rPr>
              <w:t>G</w:t>
            </w:r>
            <w:r>
              <w:rPr>
                <w:kern w:val="0"/>
                <w:szCs w:val="21"/>
                <w:vertAlign w:val="subscript"/>
              </w:rPr>
              <w:t>1</w:t>
            </w:r>
          </w:p>
        </w:tc>
        <w:tc>
          <w:tcPr>
            <w:tcW w:w="119" w:type="pct"/>
            <w:vAlign w:val="center"/>
          </w:tcPr>
          <w:p>
            <w:pPr>
              <w:widowControl/>
              <w:adjustRightInd w:val="0"/>
              <w:snapToGrid w:val="0"/>
              <w:jc w:val="center"/>
              <w:rPr>
                <w:kern w:val="0"/>
                <w:szCs w:val="21"/>
              </w:rPr>
            </w:pPr>
            <w:r>
              <w:rPr>
                <w:rFonts w:hint="eastAsia"/>
                <w:bCs/>
                <w:kern w:val="0"/>
                <w:szCs w:val="21"/>
              </w:rPr>
              <w:t>砂石储料棚</w:t>
            </w:r>
          </w:p>
        </w:tc>
        <w:tc>
          <w:tcPr>
            <w:tcW w:w="136" w:type="pct"/>
            <w:vAlign w:val="center"/>
          </w:tcPr>
          <w:p>
            <w:pPr>
              <w:widowControl/>
              <w:adjustRightInd w:val="0"/>
              <w:snapToGrid w:val="0"/>
              <w:jc w:val="center"/>
              <w:rPr>
                <w:kern w:val="0"/>
                <w:szCs w:val="21"/>
              </w:rPr>
            </w:pPr>
            <w:r>
              <w:rPr>
                <w:kern w:val="0"/>
                <w:szCs w:val="21"/>
              </w:rPr>
              <w:t>储运</w:t>
            </w:r>
          </w:p>
        </w:tc>
        <w:tc>
          <w:tcPr>
            <w:tcW w:w="142" w:type="pct"/>
            <w:vAlign w:val="center"/>
          </w:tcPr>
          <w:p>
            <w:pPr>
              <w:widowControl/>
              <w:adjustRightInd w:val="0"/>
              <w:snapToGrid w:val="0"/>
              <w:jc w:val="center"/>
              <w:rPr>
                <w:kern w:val="0"/>
                <w:szCs w:val="21"/>
              </w:rPr>
            </w:pPr>
            <w:r>
              <w:rPr>
                <w:rFonts w:hint="eastAsia"/>
                <w:bCs/>
                <w:kern w:val="0"/>
                <w:szCs w:val="21"/>
              </w:rPr>
              <w:t>装卸堆存粉尘</w:t>
            </w:r>
          </w:p>
        </w:tc>
        <w:tc>
          <w:tcPr>
            <w:tcW w:w="148" w:type="pct"/>
            <w:vAlign w:val="center"/>
          </w:tcPr>
          <w:p>
            <w:pPr>
              <w:widowControl/>
              <w:adjustRightInd w:val="0"/>
              <w:snapToGrid w:val="0"/>
              <w:jc w:val="center"/>
              <w:rPr>
                <w:kern w:val="0"/>
                <w:szCs w:val="21"/>
              </w:rPr>
            </w:pPr>
            <w:r>
              <w:rPr>
                <w:kern w:val="0"/>
                <w:szCs w:val="21"/>
              </w:rPr>
              <w:t>颗粒物</w:t>
            </w:r>
          </w:p>
        </w:tc>
        <w:tc>
          <w:tcPr>
            <w:tcW w:w="173" w:type="pct"/>
            <w:vAlign w:val="center"/>
          </w:tcPr>
          <w:p>
            <w:pPr>
              <w:widowControl/>
              <w:adjustRightInd w:val="0"/>
              <w:snapToGrid w:val="0"/>
              <w:jc w:val="center"/>
              <w:rPr>
                <w:kern w:val="0"/>
                <w:szCs w:val="21"/>
              </w:rPr>
            </w:pPr>
            <w:r>
              <w:rPr>
                <w:kern w:val="0"/>
                <w:szCs w:val="21"/>
              </w:rPr>
              <w:t>106.25</w:t>
            </w:r>
          </w:p>
        </w:tc>
        <w:tc>
          <w:tcPr>
            <w:tcW w:w="194" w:type="pct"/>
            <w:vAlign w:val="center"/>
          </w:tcPr>
          <w:p>
            <w:pPr>
              <w:widowControl/>
              <w:adjustRightInd w:val="0"/>
              <w:snapToGrid w:val="0"/>
              <w:jc w:val="center"/>
              <w:rPr>
                <w:kern w:val="0"/>
                <w:szCs w:val="21"/>
              </w:rPr>
            </w:pPr>
            <w:r>
              <w:rPr>
                <w:kern w:val="0"/>
                <w:szCs w:val="21"/>
              </w:rPr>
              <w:t>22.13</w:t>
            </w:r>
          </w:p>
        </w:tc>
        <w:tc>
          <w:tcPr>
            <w:tcW w:w="192" w:type="pct"/>
            <w:vAlign w:val="center"/>
          </w:tcPr>
          <w:p>
            <w:pPr>
              <w:widowControl/>
              <w:adjustRightInd w:val="0"/>
              <w:snapToGrid w:val="0"/>
              <w:jc w:val="center"/>
              <w:rPr>
                <w:kern w:val="0"/>
                <w:szCs w:val="21"/>
              </w:rPr>
            </w:pPr>
            <w:r>
              <w:rPr>
                <w:kern w:val="0"/>
                <w:szCs w:val="21"/>
              </w:rPr>
              <w:t>/</w:t>
            </w:r>
          </w:p>
        </w:tc>
        <w:tc>
          <w:tcPr>
            <w:tcW w:w="242" w:type="pct"/>
            <w:vAlign w:val="center"/>
          </w:tcPr>
          <w:p>
            <w:pPr>
              <w:widowControl/>
              <w:adjustRightInd w:val="0"/>
              <w:snapToGrid w:val="0"/>
              <w:jc w:val="center"/>
              <w:rPr>
                <w:kern w:val="0"/>
                <w:szCs w:val="21"/>
              </w:rPr>
            </w:pPr>
            <w:r>
              <w:rPr>
                <w:kern w:val="0"/>
                <w:szCs w:val="21"/>
              </w:rPr>
              <w:t>无组织</w:t>
            </w:r>
          </w:p>
        </w:tc>
        <w:tc>
          <w:tcPr>
            <w:tcW w:w="280" w:type="pct"/>
            <w:vAlign w:val="center"/>
          </w:tcPr>
          <w:p>
            <w:pPr>
              <w:widowControl/>
              <w:adjustRightInd w:val="0"/>
              <w:snapToGrid w:val="0"/>
              <w:jc w:val="center"/>
              <w:rPr>
                <w:kern w:val="0"/>
                <w:szCs w:val="21"/>
              </w:rPr>
            </w:pPr>
            <w:r>
              <w:rPr>
                <w:kern w:val="0"/>
                <w:szCs w:val="21"/>
              </w:rPr>
              <w:t>无</w:t>
            </w:r>
          </w:p>
        </w:tc>
        <w:tc>
          <w:tcPr>
            <w:tcW w:w="182" w:type="pct"/>
            <w:vAlign w:val="center"/>
          </w:tcPr>
          <w:p>
            <w:pPr>
              <w:widowControl/>
              <w:adjustRightInd w:val="0"/>
              <w:snapToGrid w:val="0"/>
              <w:jc w:val="center"/>
              <w:rPr>
                <w:kern w:val="0"/>
                <w:szCs w:val="21"/>
              </w:rPr>
            </w:pPr>
            <w:r>
              <w:rPr>
                <w:kern w:val="0"/>
                <w:szCs w:val="21"/>
              </w:rPr>
              <w:t>/</w:t>
            </w:r>
          </w:p>
        </w:tc>
        <w:tc>
          <w:tcPr>
            <w:tcW w:w="166" w:type="pct"/>
            <w:vAlign w:val="center"/>
          </w:tcPr>
          <w:p>
            <w:pPr>
              <w:widowControl/>
              <w:adjustRightInd w:val="0"/>
              <w:snapToGrid w:val="0"/>
              <w:jc w:val="center"/>
              <w:rPr>
                <w:kern w:val="0"/>
                <w:szCs w:val="21"/>
              </w:rPr>
            </w:pPr>
            <w:r>
              <w:rPr>
                <w:kern w:val="0"/>
                <w:szCs w:val="21"/>
              </w:rPr>
              <w:t>/</w:t>
            </w:r>
          </w:p>
        </w:tc>
        <w:tc>
          <w:tcPr>
            <w:tcW w:w="191" w:type="pct"/>
            <w:vAlign w:val="center"/>
          </w:tcPr>
          <w:p>
            <w:pPr>
              <w:widowControl/>
              <w:adjustRightInd w:val="0"/>
              <w:snapToGrid w:val="0"/>
              <w:jc w:val="center"/>
              <w:rPr>
                <w:kern w:val="0"/>
                <w:szCs w:val="21"/>
              </w:rPr>
            </w:pPr>
            <w:r>
              <w:rPr>
                <w:kern w:val="0"/>
                <w:szCs w:val="21"/>
              </w:rPr>
              <w:t>/</w:t>
            </w:r>
          </w:p>
        </w:tc>
        <w:tc>
          <w:tcPr>
            <w:tcW w:w="763" w:type="pct"/>
            <w:vAlign w:val="center"/>
          </w:tcPr>
          <w:p>
            <w:pPr>
              <w:widowControl/>
              <w:adjustRightInd w:val="0"/>
              <w:snapToGrid w:val="0"/>
              <w:jc w:val="center"/>
              <w:rPr>
                <w:kern w:val="0"/>
                <w:szCs w:val="21"/>
              </w:rPr>
            </w:pPr>
            <w:r>
              <w:rPr>
                <w:rFonts w:hint="eastAsia"/>
                <w:bCs/>
                <w:kern w:val="0"/>
                <w:szCs w:val="21"/>
              </w:rPr>
              <w:t>砂子、碎石堆放在密闭原料储库内，装卸也在封闭的储库内进行，砂石堆放区上方设置喷淋设施，</w:t>
            </w:r>
            <w:r>
              <w:rPr>
                <w:bCs/>
                <w:kern w:val="0"/>
                <w:szCs w:val="21"/>
              </w:rPr>
              <w:t>原料装卸过程尽量减小卸料落差</w:t>
            </w:r>
            <w:r>
              <w:rPr>
                <w:rFonts w:hint="eastAsia"/>
                <w:bCs/>
                <w:kern w:val="0"/>
                <w:szCs w:val="21"/>
              </w:rPr>
              <w:t>。</w:t>
            </w:r>
          </w:p>
        </w:tc>
        <w:tc>
          <w:tcPr>
            <w:tcW w:w="205" w:type="pct"/>
            <w:vAlign w:val="center"/>
          </w:tcPr>
          <w:p>
            <w:pPr>
              <w:widowControl/>
              <w:adjustRightInd w:val="0"/>
              <w:snapToGrid w:val="0"/>
              <w:jc w:val="center"/>
              <w:rPr>
                <w:kern w:val="0"/>
                <w:szCs w:val="21"/>
              </w:rPr>
            </w:pPr>
            <w:r>
              <w:rPr>
                <w:kern w:val="0"/>
                <w:szCs w:val="21"/>
              </w:rPr>
              <w:t>99.7</w:t>
            </w:r>
            <w:r>
              <w:rPr>
                <w:rFonts w:hint="eastAsia"/>
                <w:kern w:val="0"/>
                <w:szCs w:val="21"/>
              </w:rPr>
              <w:t>%</w:t>
            </w:r>
          </w:p>
        </w:tc>
        <w:tc>
          <w:tcPr>
            <w:tcW w:w="275" w:type="pct"/>
            <w:vAlign w:val="center"/>
          </w:tcPr>
          <w:p>
            <w:pPr>
              <w:widowControl/>
              <w:adjustRightInd w:val="0"/>
              <w:snapToGrid w:val="0"/>
              <w:jc w:val="center"/>
              <w:rPr>
                <w:kern w:val="0"/>
                <w:szCs w:val="21"/>
              </w:rPr>
            </w:pPr>
            <w:r>
              <w:rPr>
                <w:kern w:val="0"/>
                <w:szCs w:val="21"/>
              </w:rPr>
              <w:t>是</w:t>
            </w:r>
          </w:p>
        </w:tc>
        <w:tc>
          <w:tcPr>
            <w:tcW w:w="171" w:type="pct"/>
            <w:vAlign w:val="center"/>
          </w:tcPr>
          <w:p>
            <w:pPr>
              <w:widowControl/>
              <w:adjustRightInd w:val="0"/>
              <w:snapToGrid w:val="0"/>
              <w:jc w:val="center"/>
              <w:rPr>
                <w:kern w:val="0"/>
                <w:szCs w:val="21"/>
              </w:rPr>
            </w:pPr>
            <w:r>
              <w:rPr>
                <w:kern w:val="0"/>
                <w:szCs w:val="21"/>
              </w:rPr>
              <w:t>0.28</w:t>
            </w:r>
          </w:p>
        </w:tc>
        <w:tc>
          <w:tcPr>
            <w:tcW w:w="211" w:type="pct"/>
            <w:vAlign w:val="center"/>
          </w:tcPr>
          <w:p>
            <w:pPr>
              <w:widowControl/>
              <w:adjustRightInd w:val="0"/>
              <w:snapToGrid w:val="0"/>
              <w:jc w:val="center"/>
              <w:rPr>
                <w:kern w:val="0"/>
                <w:szCs w:val="21"/>
              </w:rPr>
            </w:pPr>
            <w:r>
              <w:rPr>
                <w:rFonts w:hint="eastAsia"/>
                <w:kern w:val="0"/>
                <w:szCs w:val="21"/>
              </w:rPr>
              <w:t>0.0</w:t>
            </w:r>
            <w:r>
              <w:rPr>
                <w:kern w:val="0"/>
                <w:szCs w:val="21"/>
              </w:rPr>
              <w:t>58</w:t>
            </w:r>
          </w:p>
        </w:tc>
        <w:tc>
          <w:tcPr>
            <w:tcW w:w="203" w:type="pct"/>
            <w:tcBorders>
              <w:bottom w:val="single" w:color="auto" w:sz="4" w:space="0"/>
            </w:tcBorders>
            <w:vAlign w:val="center"/>
          </w:tcPr>
          <w:p>
            <w:pPr>
              <w:widowControl/>
              <w:adjustRightInd w:val="0"/>
              <w:snapToGrid w:val="0"/>
              <w:jc w:val="center"/>
              <w:rPr>
                <w:kern w:val="0"/>
                <w:szCs w:val="21"/>
              </w:rPr>
            </w:pPr>
            <w:r>
              <w:rPr>
                <w:kern w:val="0"/>
                <w:szCs w:val="21"/>
              </w:rPr>
              <w:t>/</w:t>
            </w:r>
          </w:p>
        </w:tc>
        <w:tc>
          <w:tcPr>
            <w:tcW w:w="420" w:type="pct"/>
            <w:tcBorders>
              <w:bottom w:val="single" w:color="auto" w:sz="4" w:space="0"/>
            </w:tcBorders>
            <w:vAlign w:val="center"/>
          </w:tcPr>
          <w:p>
            <w:pPr>
              <w:widowControl/>
              <w:adjustRightInd w:val="0"/>
              <w:snapToGrid w:val="0"/>
              <w:jc w:val="center"/>
              <w:rPr>
                <w:kern w:val="0"/>
                <w:szCs w:val="21"/>
              </w:rPr>
            </w:pPr>
            <w:r>
              <w:rPr>
                <w:kern w:val="0"/>
                <w:szCs w:val="21"/>
              </w:rPr>
              <w:t>《水泥工业大气污染物排放标准》（GB4915-2013）表</w:t>
            </w:r>
            <w:r>
              <w:rPr>
                <w:rFonts w:hint="eastAsia"/>
                <w:kern w:val="0"/>
                <w:szCs w:val="21"/>
              </w:rPr>
              <w:t>3</w:t>
            </w:r>
            <w:r>
              <w:rPr>
                <w:kern w:val="0"/>
                <w:szCs w:val="21"/>
              </w:rPr>
              <w:t>标准</w:t>
            </w:r>
          </w:p>
        </w:tc>
        <w:tc>
          <w:tcPr>
            <w:tcW w:w="138" w:type="pct"/>
            <w:tcBorders>
              <w:bottom w:val="single" w:color="auto" w:sz="4" w:space="0"/>
            </w:tcBorders>
            <w:vAlign w:val="center"/>
          </w:tcPr>
          <w:p>
            <w:pPr>
              <w:widowControl/>
              <w:adjustRightInd w:val="0"/>
              <w:snapToGrid w:val="0"/>
              <w:jc w:val="center"/>
              <w:rPr>
                <w:kern w:val="0"/>
                <w:szCs w:val="21"/>
              </w:rPr>
            </w:pPr>
            <w:r>
              <w:rPr>
                <w:szCs w:val="21"/>
                <w:lang w:bidi="ar"/>
              </w:rPr>
              <w:t>厂界监测点</w:t>
            </w:r>
          </w:p>
        </w:tc>
        <w:tc>
          <w:tcPr>
            <w:tcW w:w="185" w:type="pct"/>
            <w:tcBorders>
              <w:bottom w:val="single" w:color="auto" w:sz="4" w:space="0"/>
            </w:tcBorders>
            <w:vAlign w:val="center"/>
          </w:tcPr>
          <w:p>
            <w:pPr>
              <w:widowControl/>
              <w:adjustRightInd w:val="0"/>
              <w:snapToGrid w:val="0"/>
              <w:jc w:val="center"/>
              <w:rPr>
                <w:kern w:val="0"/>
                <w:szCs w:val="21"/>
              </w:rPr>
            </w:pPr>
            <w:r>
              <w:rPr>
                <w:rFonts w:hint="eastAsia"/>
                <w:szCs w:val="21"/>
                <w:lang w:bidi="ar"/>
              </w:rPr>
              <w:t>颗粒物</w:t>
            </w:r>
          </w:p>
        </w:tc>
        <w:tc>
          <w:tcPr>
            <w:tcW w:w="164" w:type="pct"/>
            <w:tcBorders>
              <w:bottom w:val="single" w:color="auto" w:sz="4" w:space="0"/>
            </w:tcBorders>
            <w:vAlign w:val="center"/>
          </w:tcPr>
          <w:p>
            <w:pPr>
              <w:widowControl/>
              <w:adjustRightInd w:val="0"/>
              <w:snapToGrid w:val="0"/>
              <w:jc w:val="center"/>
              <w:rPr>
                <w:kern w:val="0"/>
                <w:szCs w:val="21"/>
              </w:rPr>
            </w:pPr>
            <w:r>
              <w:rPr>
                <w:szCs w:val="21"/>
                <w:lang w:bidi="ar"/>
              </w:rPr>
              <w:t>1次/年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vMerge w:val="restart"/>
            <w:vAlign w:val="center"/>
          </w:tcPr>
          <w:p>
            <w:pPr>
              <w:widowControl/>
              <w:adjustRightInd w:val="0"/>
              <w:snapToGrid w:val="0"/>
              <w:jc w:val="center"/>
              <w:rPr>
                <w:kern w:val="0"/>
                <w:szCs w:val="21"/>
              </w:rPr>
            </w:pPr>
            <w:r>
              <w:rPr>
                <w:kern w:val="0"/>
                <w:szCs w:val="21"/>
              </w:rPr>
              <w:t>G</w:t>
            </w:r>
            <w:r>
              <w:rPr>
                <w:rFonts w:hint="eastAsia"/>
                <w:kern w:val="0"/>
                <w:szCs w:val="21"/>
                <w:vertAlign w:val="subscript"/>
              </w:rPr>
              <w:t>2</w:t>
            </w:r>
          </w:p>
        </w:tc>
        <w:tc>
          <w:tcPr>
            <w:tcW w:w="119" w:type="pct"/>
            <w:vMerge w:val="restart"/>
            <w:vAlign w:val="center"/>
          </w:tcPr>
          <w:p>
            <w:pPr>
              <w:widowControl/>
              <w:adjustRightInd w:val="0"/>
              <w:snapToGrid w:val="0"/>
              <w:jc w:val="center"/>
              <w:rPr>
                <w:kern w:val="0"/>
                <w:szCs w:val="21"/>
              </w:rPr>
            </w:pPr>
            <w:r>
              <w:rPr>
                <w:kern w:val="0"/>
                <w:szCs w:val="21"/>
              </w:rPr>
              <w:t>上料仓</w:t>
            </w:r>
            <w:r>
              <w:rPr>
                <w:rFonts w:hint="eastAsia"/>
                <w:kern w:val="0"/>
                <w:szCs w:val="21"/>
              </w:rPr>
              <w:t>、筒仓</w:t>
            </w:r>
          </w:p>
        </w:tc>
        <w:tc>
          <w:tcPr>
            <w:tcW w:w="136" w:type="pct"/>
            <w:vMerge w:val="restart"/>
            <w:vAlign w:val="center"/>
          </w:tcPr>
          <w:p>
            <w:pPr>
              <w:widowControl/>
              <w:adjustRightInd w:val="0"/>
              <w:snapToGrid w:val="0"/>
              <w:jc w:val="center"/>
              <w:rPr>
                <w:kern w:val="0"/>
                <w:szCs w:val="21"/>
              </w:rPr>
            </w:pPr>
            <w:r>
              <w:rPr>
                <w:kern w:val="0"/>
                <w:szCs w:val="21"/>
              </w:rPr>
              <w:t>储运</w:t>
            </w:r>
          </w:p>
        </w:tc>
        <w:tc>
          <w:tcPr>
            <w:tcW w:w="142" w:type="pct"/>
            <w:vMerge w:val="restart"/>
            <w:vAlign w:val="center"/>
          </w:tcPr>
          <w:p>
            <w:pPr>
              <w:widowControl/>
              <w:adjustRightInd w:val="0"/>
              <w:snapToGrid w:val="0"/>
              <w:jc w:val="center"/>
              <w:rPr>
                <w:bCs/>
                <w:kern w:val="0"/>
                <w:szCs w:val="21"/>
              </w:rPr>
            </w:pPr>
            <w:r>
              <w:rPr>
                <w:rFonts w:hint="eastAsia"/>
                <w:bCs/>
                <w:kern w:val="0"/>
                <w:szCs w:val="21"/>
              </w:rPr>
              <w:t>物料输送粉尘</w:t>
            </w:r>
          </w:p>
        </w:tc>
        <w:tc>
          <w:tcPr>
            <w:tcW w:w="148" w:type="pct"/>
            <w:vMerge w:val="restart"/>
            <w:vAlign w:val="center"/>
          </w:tcPr>
          <w:p>
            <w:pPr>
              <w:widowControl/>
              <w:adjustRightInd w:val="0"/>
              <w:snapToGrid w:val="0"/>
              <w:jc w:val="center"/>
              <w:rPr>
                <w:kern w:val="0"/>
                <w:szCs w:val="21"/>
              </w:rPr>
            </w:pPr>
            <w:r>
              <w:rPr>
                <w:kern w:val="0"/>
                <w:szCs w:val="21"/>
              </w:rPr>
              <w:t>颗粒物</w:t>
            </w:r>
          </w:p>
        </w:tc>
        <w:tc>
          <w:tcPr>
            <w:tcW w:w="173" w:type="pct"/>
            <w:vMerge w:val="restart"/>
            <w:vAlign w:val="center"/>
          </w:tcPr>
          <w:p>
            <w:pPr>
              <w:widowControl/>
              <w:adjustRightInd w:val="0"/>
              <w:snapToGrid w:val="0"/>
              <w:jc w:val="center"/>
              <w:rPr>
                <w:kern w:val="0"/>
                <w:szCs w:val="21"/>
              </w:rPr>
            </w:pPr>
            <w:r>
              <w:rPr>
                <w:kern w:val="0"/>
                <w:szCs w:val="21"/>
              </w:rPr>
              <w:t>86.4</w:t>
            </w:r>
          </w:p>
        </w:tc>
        <w:tc>
          <w:tcPr>
            <w:tcW w:w="194" w:type="pct"/>
            <w:vMerge w:val="restart"/>
            <w:vAlign w:val="center"/>
          </w:tcPr>
          <w:p>
            <w:pPr>
              <w:widowControl/>
              <w:adjustRightInd w:val="0"/>
              <w:snapToGrid w:val="0"/>
              <w:jc w:val="center"/>
              <w:rPr>
                <w:kern w:val="0"/>
                <w:szCs w:val="21"/>
              </w:rPr>
            </w:pPr>
            <w:r>
              <w:rPr>
                <w:rFonts w:hint="eastAsia"/>
                <w:kern w:val="0"/>
                <w:szCs w:val="21"/>
              </w:rPr>
              <w:t>18</w:t>
            </w:r>
          </w:p>
        </w:tc>
        <w:tc>
          <w:tcPr>
            <w:tcW w:w="192" w:type="pct"/>
            <w:vMerge w:val="restart"/>
            <w:vAlign w:val="center"/>
          </w:tcPr>
          <w:p>
            <w:pPr>
              <w:widowControl/>
              <w:adjustRightInd w:val="0"/>
              <w:snapToGrid w:val="0"/>
              <w:jc w:val="center"/>
              <w:rPr>
                <w:kern w:val="0"/>
                <w:szCs w:val="21"/>
              </w:rPr>
            </w:pPr>
            <w:r>
              <w:rPr>
                <w:kern w:val="0"/>
                <w:szCs w:val="21"/>
              </w:rPr>
              <w:t>/</w:t>
            </w:r>
          </w:p>
        </w:tc>
        <w:tc>
          <w:tcPr>
            <w:tcW w:w="242" w:type="pct"/>
            <w:vMerge w:val="restart"/>
            <w:vAlign w:val="center"/>
          </w:tcPr>
          <w:p>
            <w:pPr>
              <w:widowControl/>
              <w:adjustRightInd w:val="0"/>
              <w:snapToGrid w:val="0"/>
              <w:jc w:val="center"/>
              <w:rPr>
                <w:kern w:val="0"/>
                <w:szCs w:val="21"/>
              </w:rPr>
            </w:pPr>
            <w:r>
              <w:rPr>
                <w:kern w:val="0"/>
                <w:szCs w:val="21"/>
              </w:rPr>
              <w:t>有组织</w:t>
            </w:r>
          </w:p>
        </w:tc>
        <w:tc>
          <w:tcPr>
            <w:tcW w:w="280" w:type="pct"/>
            <w:vMerge w:val="restart"/>
            <w:vAlign w:val="center"/>
          </w:tcPr>
          <w:p>
            <w:pPr>
              <w:widowControl/>
              <w:adjustRightInd w:val="0"/>
              <w:snapToGrid w:val="0"/>
              <w:jc w:val="center"/>
              <w:rPr>
                <w:kern w:val="0"/>
                <w:szCs w:val="21"/>
              </w:rPr>
            </w:pPr>
            <w:r>
              <w:rPr>
                <w:kern w:val="0"/>
                <w:szCs w:val="21"/>
              </w:rPr>
              <w:t>一般排放口</w:t>
            </w:r>
          </w:p>
        </w:tc>
        <w:tc>
          <w:tcPr>
            <w:tcW w:w="182" w:type="pct"/>
            <w:vAlign w:val="center"/>
          </w:tcPr>
          <w:p>
            <w:pPr>
              <w:widowControl/>
              <w:adjustRightInd w:val="0"/>
              <w:snapToGrid w:val="0"/>
              <w:jc w:val="center"/>
              <w:rPr>
                <w:szCs w:val="21"/>
              </w:rPr>
            </w:pPr>
            <w:r>
              <w:rPr>
                <w:rFonts w:hint="eastAsia"/>
                <w:szCs w:val="21"/>
              </w:rPr>
              <w:t>DA001</w:t>
            </w:r>
          </w:p>
        </w:tc>
        <w:tc>
          <w:tcPr>
            <w:tcW w:w="166" w:type="pct"/>
            <w:vAlign w:val="center"/>
          </w:tcPr>
          <w:p>
            <w:pPr>
              <w:widowControl/>
              <w:adjustRightInd w:val="0"/>
              <w:snapToGrid w:val="0"/>
              <w:jc w:val="center"/>
              <w:rPr>
                <w:kern w:val="0"/>
                <w:szCs w:val="21"/>
              </w:rPr>
            </w:pPr>
            <w:r>
              <w:rPr>
                <w:szCs w:val="21"/>
              </w:rPr>
              <w:t>8.2</w:t>
            </w:r>
            <w:r>
              <w:rPr>
                <w:rFonts w:hint="eastAsia"/>
                <w:szCs w:val="21"/>
              </w:rPr>
              <w:t>m</w:t>
            </w:r>
          </w:p>
        </w:tc>
        <w:tc>
          <w:tcPr>
            <w:tcW w:w="191" w:type="pct"/>
            <w:vAlign w:val="center"/>
          </w:tcPr>
          <w:p>
            <w:pPr>
              <w:widowControl/>
              <w:adjustRightInd w:val="0"/>
              <w:snapToGrid w:val="0"/>
              <w:jc w:val="center"/>
              <w:rPr>
                <w:kern w:val="0"/>
                <w:szCs w:val="21"/>
              </w:rPr>
            </w:pPr>
            <w:r>
              <w:rPr>
                <w:szCs w:val="21"/>
              </w:rPr>
              <w:t>0.3</w:t>
            </w:r>
          </w:p>
        </w:tc>
        <w:tc>
          <w:tcPr>
            <w:tcW w:w="763" w:type="pct"/>
            <w:vAlign w:val="center"/>
          </w:tcPr>
          <w:p>
            <w:pPr>
              <w:widowControl/>
              <w:adjustRightInd w:val="0"/>
              <w:snapToGrid w:val="0"/>
              <w:jc w:val="center"/>
              <w:rPr>
                <w:bCs/>
                <w:kern w:val="0"/>
                <w:szCs w:val="21"/>
              </w:rPr>
            </w:pPr>
            <w:r>
              <w:rPr>
                <w:rFonts w:hint="eastAsia"/>
                <w:bCs/>
                <w:kern w:val="0"/>
                <w:szCs w:val="21"/>
              </w:rPr>
              <w:t>全封闭输送带+密闭筒仓+</w:t>
            </w:r>
            <w:r>
              <w:rPr>
                <w:bCs/>
                <w:kern w:val="0"/>
                <w:szCs w:val="21"/>
              </w:rPr>
              <w:t>仓顶滤芯除尘器</w:t>
            </w:r>
            <w:r>
              <w:rPr>
                <w:rFonts w:hint="eastAsia"/>
                <w:bCs/>
                <w:kern w:val="0"/>
                <w:szCs w:val="21"/>
              </w:rPr>
              <w:t>+</w:t>
            </w:r>
            <w:r>
              <w:rPr>
                <w:bCs/>
                <w:kern w:val="0"/>
                <w:szCs w:val="21"/>
              </w:rPr>
              <w:t>仓顶除尘器</w:t>
            </w:r>
            <w:r>
              <w:rPr>
                <w:rFonts w:hint="eastAsia"/>
                <w:bCs/>
                <w:kern w:val="0"/>
                <w:szCs w:val="21"/>
              </w:rPr>
              <w:t>排气筒</w:t>
            </w:r>
          </w:p>
        </w:tc>
        <w:tc>
          <w:tcPr>
            <w:tcW w:w="205" w:type="pct"/>
            <w:vAlign w:val="center"/>
          </w:tcPr>
          <w:p>
            <w:pPr>
              <w:widowControl/>
              <w:adjustRightInd w:val="0"/>
              <w:snapToGrid w:val="0"/>
              <w:jc w:val="center"/>
              <w:rPr>
                <w:kern w:val="0"/>
                <w:szCs w:val="21"/>
              </w:rPr>
            </w:pPr>
            <w:r>
              <w:rPr>
                <w:kern w:val="0"/>
                <w:szCs w:val="21"/>
              </w:rPr>
              <w:t>99.</w:t>
            </w:r>
            <w:r>
              <w:rPr>
                <w:rFonts w:hint="eastAsia"/>
                <w:kern w:val="0"/>
                <w:szCs w:val="21"/>
              </w:rPr>
              <w:t>7</w:t>
            </w:r>
            <w:r>
              <w:rPr>
                <w:kern w:val="0"/>
                <w:szCs w:val="21"/>
              </w:rPr>
              <w:t>%</w:t>
            </w:r>
          </w:p>
        </w:tc>
        <w:tc>
          <w:tcPr>
            <w:tcW w:w="275" w:type="pct"/>
            <w:vAlign w:val="center"/>
          </w:tcPr>
          <w:p>
            <w:pPr>
              <w:widowControl/>
              <w:adjustRightInd w:val="0"/>
              <w:snapToGrid w:val="0"/>
              <w:jc w:val="center"/>
              <w:rPr>
                <w:kern w:val="0"/>
                <w:szCs w:val="21"/>
              </w:rPr>
            </w:pPr>
            <w:r>
              <w:rPr>
                <w:kern w:val="0"/>
                <w:szCs w:val="21"/>
              </w:rPr>
              <w:t>是</w:t>
            </w:r>
          </w:p>
        </w:tc>
        <w:tc>
          <w:tcPr>
            <w:tcW w:w="171" w:type="pct"/>
            <w:vAlign w:val="center"/>
          </w:tcPr>
          <w:p>
            <w:pPr>
              <w:widowControl/>
              <w:adjustRightInd w:val="0"/>
              <w:snapToGrid w:val="0"/>
              <w:jc w:val="center"/>
              <w:rPr>
                <w:kern w:val="0"/>
                <w:szCs w:val="21"/>
              </w:rPr>
            </w:pPr>
            <w:r>
              <w:rPr>
                <w:rFonts w:hint="eastAsia"/>
                <w:kern w:val="0"/>
                <w:szCs w:val="21"/>
              </w:rPr>
              <w:t>0</w:t>
            </w:r>
            <w:r>
              <w:rPr>
                <w:kern w:val="0"/>
                <w:szCs w:val="21"/>
              </w:rPr>
              <w:t>.093</w:t>
            </w:r>
          </w:p>
        </w:tc>
        <w:tc>
          <w:tcPr>
            <w:tcW w:w="211" w:type="pct"/>
            <w:vAlign w:val="center"/>
          </w:tcPr>
          <w:p>
            <w:pPr>
              <w:widowControl/>
              <w:adjustRightInd w:val="0"/>
              <w:snapToGrid w:val="0"/>
              <w:jc w:val="center"/>
              <w:rPr>
                <w:kern w:val="0"/>
                <w:szCs w:val="21"/>
              </w:rPr>
            </w:pPr>
            <w:r>
              <w:rPr>
                <w:rFonts w:hint="eastAsia"/>
                <w:kern w:val="0"/>
                <w:szCs w:val="21"/>
              </w:rPr>
              <w:t>0</w:t>
            </w:r>
            <w:r>
              <w:rPr>
                <w:kern w:val="0"/>
                <w:szCs w:val="21"/>
              </w:rPr>
              <w:t>.025</w:t>
            </w:r>
          </w:p>
        </w:tc>
        <w:tc>
          <w:tcPr>
            <w:tcW w:w="203" w:type="pct"/>
            <w:tcBorders>
              <w:bottom w:val="single" w:color="auto" w:sz="4" w:space="0"/>
            </w:tcBorders>
            <w:vAlign w:val="center"/>
          </w:tcPr>
          <w:p>
            <w:pPr>
              <w:widowControl/>
              <w:adjustRightInd w:val="0"/>
              <w:snapToGrid w:val="0"/>
              <w:jc w:val="center"/>
              <w:rPr>
                <w:kern w:val="0"/>
                <w:szCs w:val="21"/>
              </w:rPr>
            </w:pPr>
            <w:r>
              <w:rPr>
                <w:rFonts w:hint="eastAsia"/>
                <w:kern w:val="0"/>
                <w:szCs w:val="21"/>
              </w:rPr>
              <w:t>8</w:t>
            </w:r>
            <w:r>
              <w:rPr>
                <w:kern w:val="0"/>
                <w:szCs w:val="21"/>
              </w:rPr>
              <w:t>.25</w:t>
            </w:r>
          </w:p>
        </w:tc>
        <w:tc>
          <w:tcPr>
            <w:tcW w:w="420" w:type="pct"/>
            <w:vMerge w:val="restart"/>
            <w:vAlign w:val="center"/>
          </w:tcPr>
          <w:p>
            <w:pPr>
              <w:widowControl/>
              <w:adjustRightInd w:val="0"/>
              <w:snapToGrid w:val="0"/>
              <w:jc w:val="center"/>
              <w:rPr>
                <w:kern w:val="0"/>
                <w:szCs w:val="21"/>
              </w:rPr>
            </w:pPr>
            <w:r>
              <w:rPr>
                <w:szCs w:val="21"/>
              </w:rPr>
              <w:t>《水泥工业大气污染物排放标准》（GB4915-2013）表2标准</w:t>
            </w:r>
          </w:p>
        </w:tc>
        <w:tc>
          <w:tcPr>
            <w:tcW w:w="138" w:type="pct"/>
            <w:vMerge w:val="restart"/>
            <w:vAlign w:val="center"/>
          </w:tcPr>
          <w:p>
            <w:pPr>
              <w:widowControl/>
              <w:adjustRightInd w:val="0"/>
              <w:snapToGrid w:val="0"/>
              <w:jc w:val="center"/>
              <w:rPr>
                <w:szCs w:val="21"/>
                <w:lang w:bidi="ar"/>
              </w:rPr>
            </w:pPr>
            <w:r>
              <w:rPr>
                <w:rFonts w:hint="eastAsia"/>
                <w:szCs w:val="21"/>
                <w:lang w:bidi="ar"/>
              </w:rPr>
              <w:t>各</w:t>
            </w:r>
            <w:r>
              <w:rPr>
                <w:szCs w:val="21"/>
                <w:lang w:bidi="ar"/>
              </w:rPr>
              <w:t>排气筒</w:t>
            </w:r>
            <w:r>
              <w:rPr>
                <w:rFonts w:hint="eastAsia"/>
                <w:szCs w:val="21"/>
                <w:lang w:bidi="ar"/>
              </w:rPr>
              <w:t>排放口</w:t>
            </w:r>
          </w:p>
        </w:tc>
        <w:tc>
          <w:tcPr>
            <w:tcW w:w="185" w:type="pct"/>
            <w:vMerge w:val="restart"/>
            <w:vAlign w:val="center"/>
          </w:tcPr>
          <w:p>
            <w:pPr>
              <w:widowControl/>
              <w:adjustRightInd w:val="0"/>
              <w:snapToGrid w:val="0"/>
              <w:jc w:val="center"/>
              <w:rPr>
                <w:szCs w:val="21"/>
                <w:lang w:bidi="ar"/>
              </w:rPr>
            </w:pPr>
            <w:r>
              <w:rPr>
                <w:rFonts w:hint="eastAsia"/>
                <w:szCs w:val="21"/>
                <w:lang w:bidi="ar"/>
              </w:rPr>
              <w:t>颗粒物</w:t>
            </w:r>
          </w:p>
        </w:tc>
        <w:tc>
          <w:tcPr>
            <w:tcW w:w="164" w:type="pct"/>
            <w:vMerge w:val="restart"/>
            <w:vAlign w:val="center"/>
          </w:tcPr>
          <w:p>
            <w:pPr>
              <w:widowControl/>
              <w:adjustRightInd w:val="0"/>
              <w:snapToGrid w:val="0"/>
              <w:jc w:val="center"/>
              <w:rPr>
                <w:szCs w:val="21"/>
                <w:lang w:bidi="ar"/>
              </w:rPr>
            </w:pPr>
            <w:r>
              <w:rPr>
                <w:szCs w:val="21"/>
                <w:lang w:bidi="ar"/>
              </w:rPr>
              <w:t>1次/年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vMerge w:val="continue"/>
            <w:vAlign w:val="center"/>
          </w:tcPr>
          <w:p>
            <w:pPr>
              <w:widowControl/>
              <w:adjustRightInd w:val="0"/>
              <w:snapToGrid w:val="0"/>
              <w:jc w:val="center"/>
              <w:rPr>
                <w:kern w:val="0"/>
                <w:szCs w:val="21"/>
              </w:rPr>
            </w:pPr>
          </w:p>
        </w:tc>
        <w:tc>
          <w:tcPr>
            <w:tcW w:w="119" w:type="pct"/>
            <w:vMerge w:val="continue"/>
            <w:vAlign w:val="center"/>
          </w:tcPr>
          <w:p>
            <w:pPr>
              <w:widowControl/>
              <w:adjustRightInd w:val="0"/>
              <w:snapToGrid w:val="0"/>
              <w:jc w:val="center"/>
              <w:rPr>
                <w:kern w:val="0"/>
                <w:szCs w:val="21"/>
              </w:rPr>
            </w:pPr>
          </w:p>
        </w:tc>
        <w:tc>
          <w:tcPr>
            <w:tcW w:w="136" w:type="pct"/>
            <w:vMerge w:val="continue"/>
            <w:vAlign w:val="center"/>
          </w:tcPr>
          <w:p>
            <w:pPr>
              <w:widowControl/>
              <w:adjustRightInd w:val="0"/>
              <w:snapToGrid w:val="0"/>
              <w:jc w:val="center"/>
              <w:rPr>
                <w:kern w:val="0"/>
                <w:szCs w:val="21"/>
              </w:rPr>
            </w:pPr>
          </w:p>
        </w:tc>
        <w:tc>
          <w:tcPr>
            <w:tcW w:w="142" w:type="pct"/>
            <w:vMerge w:val="continue"/>
            <w:vAlign w:val="center"/>
          </w:tcPr>
          <w:p>
            <w:pPr>
              <w:widowControl/>
              <w:adjustRightInd w:val="0"/>
              <w:snapToGrid w:val="0"/>
              <w:jc w:val="center"/>
              <w:rPr>
                <w:bCs/>
                <w:kern w:val="0"/>
                <w:szCs w:val="21"/>
              </w:rPr>
            </w:pPr>
          </w:p>
        </w:tc>
        <w:tc>
          <w:tcPr>
            <w:tcW w:w="148" w:type="pct"/>
            <w:vMerge w:val="continue"/>
            <w:vAlign w:val="center"/>
          </w:tcPr>
          <w:p>
            <w:pPr>
              <w:widowControl/>
              <w:adjustRightInd w:val="0"/>
              <w:snapToGrid w:val="0"/>
              <w:jc w:val="center"/>
              <w:rPr>
                <w:kern w:val="0"/>
                <w:szCs w:val="21"/>
              </w:rPr>
            </w:pPr>
          </w:p>
        </w:tc>
        <w:tc>
          <w:tcPr>
            <w:tcW w:w="173" w:type="pct"/>
            <w:vMerge w:val="continue"/>
            <w:vAlign w:val="center"/>
          </w:tcPr>
          <w:p>
            <w:pPr>
              <w:widowControl/>
              <w:adjustRightInd w:val="0"/>
              <w:snapToGrid w:val="0"/>
              <w:jc w:val="center"/>
              <w:rPr>
                <w:kern w:val="0"/>
                <w:szCs w:val="21"/>
              </w:rPr>
            </w:pPr>
          </w:p>
        </w:tc>
        <w:tc>
          <w:tcPr>
            <w:tcW w:w="194" w:type="pct"/>
            <w:vMerge w:val="continue"/>
            <w:vAlign w:val="center"/>
          </w:tcPr>
          <w:p>
            <w:pPr>
              <w:widowControl/>
              <w:adjustRightInd w:val="0"/>
              <w:snapToGrid w:val="0"/>
              <w:jc w:val="center"/>
              <w:rPr>
                <w:kern w:val="0"/>
                <w:szCs w:val="21"/>
              </w:rPr>
            </w:pPr>
          </w:p>
        </w:tc>
        <w:tc>
          <w:tcPr>
            <w:tcW w:w="192" w:type="pct"/>
            <w:vMerge w:val="continue"/>
            <w:vAlign w:val="center"/>
          </w:tcPr>
          <w:p>
            <w:pPr>
              <w:widowControl/>
              <w:adjustRightInd w:val="0"/>
              <w:snapToGrid w:val="0"/>
              <w:jc w:val="center"/>
              <w:rPr>
                <w:kern w:val="0"/>
                <w:szCs w:val="21"/>
              </w:rPr>
            </w:pPr>
          </w:p>
        </w:tc>
        <w:tc>
          <w:tcPr>
            <w:tcW w:w="242" w:type="pct"/>
            <w:vMerge w:val="continue"/>
            <w:vAlign w:val="center"/>
          </w:tcPr>
          <w:p>
            <w:pPr>
              <w:widowControl/>
              <w:adjustRightInd w:val="0"/>
              <w:snapToGrid w:val="0"/>
              <w:jc w:val="center"/>
              <w:rPr>
                <w:kern w:val="0"/>
                <w:szCs w:val="21"/>
              </w:rPr>
            </w:pPr>
          </w:p>
        </w:tc>
        <w:tc>
          <w:tcPr>
            <w:tcW w:w="280" w:type="pct"/>
            <w:vMerge w:val="continue"/>
            <w:vAlign w:val="center"/>
          </w:tcPr>
          <w:p>
            <w:pPr>
              <w:widowControl/>
              <w:adjustRightInd w:val="0"/>
              <w:snapToGrid w:val="0"/>
              <w:jc w:val="center"/>
              <w:rPr>
                <w:kern w:val="0"/>
                <w:szCs w:val="21"/>
              </w:rPr>
            </w:pPr>
          </w:p>
        </w:tc>
        <w:tc>
          <w:tcPr>
            <w:tcW w:w="182" w:type="pct"/>
            <w:vAlign w:val="center"/>
          </w:tcPr>
          <w:p>
            <w:pPr>
              <w:widowControl/>
              <w:adjustRightInd w:val="0"/>
              <w:snapToGrid w:val="0"/>
              <w:jc w:val="center"/>
              <w:rPr>
                <w:kern w:val="0"/>
                <w:szCs w:val="21"/>
              </w:rPr>
            </w:pPr>
            <w:r>
              <w:rPr>
                <w:rFonts w:hint="eastAsia"/>
                <w:kern w:val="0"/>
                <w:szCs w:val="21"/>
              </w:rPr>
              <w:t>DA00</w:t>
            </w:r>
            <w:r>
              <w:rPr>
                <w:kern w:val="0"/>
                <w:szCs w:val="21"/>
              </w:rPr>
              <w:t>2</w:t>
            </w:r>
          </w:p>
        </w:tc>
        <w:tc>
          <w:tcPr>
            <w:tcW w:w="166" w:type="pct"/>
            <w:vAlign w:val="center"/>
          </w:tcPr>
          <w:p>
            <w:pPr>
              <w:widowControl/>
              <w:adjustRightInd w:val="0"/>
              <w:snapToGrid w:val="0"/>
              <w:jc w:val="center"/>
              <w:rPr>
                <w:szCs w:val="21"/>
              </w:rPr>
            </w:pPr>
            <w:r>
              <w:rPr>
                <w:szCs w:val="21"/>
              </w:rPr>
              <w:t>8.2</w:t>
            </w:r>
            <w:r>
              <w:rPr>
                <w:rFonts w:hint="eastAsia"/>
                <w:szCs w:val="21"/>
              </w:rPr>
              <w:t>m</w:t>
            </w:r>
          </w:p>
        </w:tc>
        <w:tc>
          <w:tcPr>
            <w:tcW w:w="191" w:type="pct"/>
            <w:vAlign w:val="center"/>
          </w:tcPr>
          <w:p>
            <w:pPr>
              <w:widowControl/>
              <w:adjustRightInd w:val="0"/>
              <w:snapToGrid w:val="0"/>
              <w:jc w:val="center"/>
              <w:rPr>
                <w:szCs w:val="21"/>
              </w:rPr>
            </w:pPr>
            <w:r>
              <w:rPr>
                <w:szCs w:val="21"/>
              </w:rPr>
              <w:t>0.3</w:t>
            </w:r>
          </w:p>
        </w:tc>
        <w:tc>
          <w:tcPr>
            <w:tcW w:w="763" w:type="pct"/>
            <w:vAlign w:val="center"/>
          </w:tcPr>
          <w:p>
            <w:pPr>
              <w:widowControl/>
              <w:adjustRightInd w:val="0"/>
              <w:snapToGrid w:val="0"/>
              <w:jc w:val="center"/>
              <w:rPr>
                <w:bCs/>
                <w:kern w:val="0"/>
                <w:szCs w:val="21"/>
              </w:rPr>
            </w:pPr>
            <w:r>
              <w:rPr>
                <w:rFonts w:hint="eastAsia"/>
                <w:bCs/>
                <w:kern w:val="0"/>
                <w:szCs w:val="21"/>
              </w:rPr>
              <w:t>全封闭输送带+密闭筒仓+</w:t>
            </w:r>
            <w:r>
              <w:rPr>
                <w:bCs/>
                <w:kern w:val="0"/>
                <w:szCs w:val="21"/>
              </w:rPr>
              <w:t>仓顶滤芯除尘器</w:t>
            </w:r>
            <w:r>
              <w:rPr>
                <w:rFonts w:hint="eastAsia"/>
                <w:bCs/>
                <w:kern w:val="0"/>
                <w:szCs w:val="21"/>
              </w:rPr>
              <w:t>+</w:t>
            </w:r>
            <w:r>
              <w:rPr>
                <w:bCs/>
                <w:kern w:val="0"/>
                <w:szCs w:val="21"/>
              </w:rPr>
              <w:t>仓顶除尘器</w:t>
            </w:r>
            <w:r>
              <w:rPr>
                <w:rFonts w:hint="eastAsia"/>
                <w:bCs/>
                <w:kern w:val="0"/>
                <w:szCs w:val="21"/>
              </w:rPr>
              <w:t>排气筒</w:t>
            </w:r>
          </w:p>
        </w:tc>
        <w:tc>
          <w:tcPr>
            <w:tcW w:w="205" w:type="pct"/>
            <w:vAlign w:val="center"/>
          </w:tcPr>
          <w:p>
            <w:pPr>
              <w:widowControl/>
              <w:adjustRightInd w:val="0"/>
              <w:snapToGrid w:val="0"/>
              <w:jc w:val="center"/>
              <w:rPr>
                <w:kern w:val="0"/>
                <w:szCs w:val="21"/>
              </w:rPr>
            </w:pPr>
            <w:r>
              <w:rPr>
                <w:kern w:val="0"/>
                <w:szCs w:val="21"/>
              </w:rPr>
              <w:t>99.</w:t>
            </w:r>
            <w:r>
              <w:rPr>
                <w:rFonts w:hint="eastAsia"/>
                <w:kern w:val="0"/>
                <w:szCs w:val="21"/>
              </w:rPr>
              <w:t>7</w:t>
            </w:r>
            <w:r>
              <w:rPr>
                <w:kern w:val="0"/>
                <w:szCs w:val="21"/>
              </w:rPr>
              <w:t>%</w:t>
            </w:r>
          </w:p>
        </w:tc>
        <w:tc>
          <w:tcPr>
            <w:tcW w:w="275" w:type="pct"/>
            <w:vAlign w:val="center"/>
          </w:tcPr>
          <w:p>
            <w:pPr>
              <w:widowControl/>
              <w:adjustRightInd w:val="0"/>
              <w:snapToGrid w:val="0"/>
              <w:jc w:val="center"/>
              <w:rPr>
                <w:kern w:val="0"/>
                <w:szCs w:val="21"/>
              </w:rPr>
            </w:pPr>
            <w:r>
              <w:rPr>
                <w:kern w:val="0"/>
                <w:szCs w:val="21"/>
              </w:rPr>
              <w:t>是</w:t>
            </w:r>
          </w:p>
        </w:tc>
        <w:tc>
          <w:tcPr>
            <w:tcW w:w="171" w:type="pct"/>
            <w:vAlign w:val="center"/>
          </w:tcPr>
          <w:p>
            <w:pPr>
              <w:widowControl/>
              <w:adjustRightInd w:val="0"/>
              <w:snapToGrid w:val="0"/>
              <w:jc w:val="center"/>
              <w:rPr>
                <w:kern w:val="0"/>
                <w:szCs w:val="21"/>
              </w:rPr>
            </w:pPr>
            <w:r>
              <w:rPr>
                <w:rFonts w:hint="eastAsia"/>
                <w:kern w:val="0"/>
                <w:szCs w:val="21"/>
              </w:rPr>
              <w:t>0</w:t>
            </w:r>
            <w:r>
              <w:rPr>
                <w:kern w:val="0"/>
                <w:szCs w:val="21"/>
              </w:rPr>
              <w:t>.093</w:t>
            </w:r>
          </w:p>
        </w:tc>
        <w:tc>
          <w:tcPr>
            <w:tcW w:w="211" w:type="pct"/>
            <w:vAlign w:val="center"/>
          </w:tcPr>
          <w:p>
            <w:pPr>
              <w:widowControl/>
              <w:adjustRightInd w:val="0"/>
              <w:snapToGrid w:val="0"/>
              <w:jc w:val="center"/>
              <w:rPr>
                <w:kern w:val="0"/>
                <w:szCs w:val="21"/>
              </w:rPr>
            </w:pPr>
            <w:r>
              <w:rPr>
                <w:rFonts w:hint="eastAsia"/>
                <w:kern w:val="0"/>
                <w:szCs w:val="21"/>
              </w:rPr>
              <w:t>0</w:t>
            </w:r>
            <w:r>
              <w:rPr>
                <w:kern w:val="0"/>
                <w:szCs w:val="21"/>
              </w:rPr>
              <w:t>.025</w:t>
            </w:r>
          </w:p>
        </w:tc>
        <w:tc>
          <w:tcPr>
            <w:tcW w:w="203" w:type="pct"/>
            <w:tcBorders>
              <w:bottom w:val="single" w:color="auto" w:sz="4" w:space="0"/>
            </w:tcBorders>
            <w:vAlign w:val="center"/>
          </w:tcPr>
          <w:p>
            <w:pPr>
              <w:widowControl/>
              <w:adjustRightInd w:val="0"/>
              <w:snapToGrid w:val="0"/>
              <w:jc w:val="center"/>
              <w:rPr>
                <w:kern w:val="0"/>
                <w:szCs w:val="21"/>
              </w:rPr>
            </w:pPr>
            <w:r>
              <w:rPr>
                <w:rFonts w:hint="eastAsia"/>
                <w:kern w:val="0"/>
                <w:szCs w:val="21"/>
              </w:rPr>
              <w:t>8</w:t>
            </w:r>
            <w:r>
              <w:rPr>
                <w:kern w:val="0"/>
                <w:szCs w:val="21"/>
              </w:rPr>
              <w:t>.25</w:t>
            </w:r>
          </w:p>
        </w:tc>
        <w:tc>
          <w:tcPr>
            <w:tcW w:w="420" w:type="pct"/>
            <w:vMerge w:val="continue"/>
            <w:vAlign w:val="center"/>
          </w:tcPr>
          <w:p>
            <w:pPr>
              <w:widowControl/>
              <w:adjustRightInd w:val="0"/>
              <w:snapToGrid w:val="0"/>
              <w:jc w:val="center"/>
              <w:rPr>
                <w:szCs w:val="21"/>
              </w:rPr>
            </w:pPr>
          </w:p>
        </w:tc>
        <w:tc>
          <w:tcPr>
            <w:tcW w:w="138" w:type="pct"/>
            <w:vMerge w:val="continue"/>
            <w:vAlign w:val="center"/>
          </w:tcPr>
          <w:p>
            <w:pPr>
              <w:widowControl/>
              <w:adjustRightInd w:val="0"/>
              <w:snapToGrid w:val="0"/>
              <w:jc w:val="center"/>
              <w:rPr>
                <w:szCs w:val="21"/>
                <w:lang w:bidi="ar"/>
              </w:rPr>
            </w:pPr>
          </w:p>
        </w:tc>
        <w:tc>
          <w:tcPr>
            <w:tcW w:w="185" w:type="pct"/>
            <w:vMerge w:val="continue"/>
            <w:vAlign w:val="center"/>
          </w:tcPr>
          <w:p>
            <w:pPr>
              <w:widowControl/>
              <w:adjustRightInd w:val="0"/>
              <w:snapToGrid w:val="0"/>
              <w:jc w:val="center"/>
              <w:rPr>
                <w:szCs w:val="21"/>
                <w:lang w:bidi="ar"/>
              </w:rPr>
            </w:pPr>
          </w:p>
        </w:tc>
        <w:tc>
          <w:tcPr>
            <w:tcW w:w="164" w:type="pct"/>
            <w:vMerge w:val="continue"/>
            <w:vAlign w:val="center"/>
          </w:tcPr>
          <w:p>
            <w:pPr>
              <w:widowControl/>
              <w:adjustRightInd w:val="0"/>
              <w:snapToGrid w:val="0"/>
              <w:jc w:val="center"/>
              <w:rPr>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vMerge w:val="continue"/>
            <w:vAlign w:val="center"/>
          </w:tcPr>
          <w:p>
            <w:pPr>
              <w:widowControl/>
              <w:adjustRightInd w:val="0"/>
              <w:snapToGrid w:val="0"/>
              <w:jc w:val="center"/>
              <w:rPr>
                <w:kern w:val="0"/>
                <w:szCs w:val="21"/>
              </w:rPr>
            </w:pPr>
          </w:p>
        </w:tc>
        <w:tc>
          <w:tcPr>
            <w:tcW w:w="119" w:type="pct"/>
            <w:vMerge w:val="continue"/>
            <w:vAlign w:val="center"/>
          </w:tcPr>
          <w:p>
            <w:pPr>
              <w:widowControl/>
              <w:adjustRightInd w:val="0"/>
              <w:snapToGrid w:val="0"/>
              <w:jc w:val="center"/>
              <w:rPr>
                <w:kern w:val="0"/>
                <w:szCs w:val="21"/>
              </w:rPr>
            </w:pPr>
          </w:p>
        </w:tc>
        <w:tc>
          <w:tcPr>
            <w:tcW w:w="136" w:type="pct"/>
            <w:vMerge w:val="continue"/>
            <w:vAlign w:val="center"/>
          </w:tcPr>
          <w:p>
            <w:pPr>
              <w:widowControl/>
              <w:adjustRightInd w:val="0"/>
              <w:snapToGrid w:val="0"/>
              <w:jc w:val="center"/>
              <w:rPr>
                <w:kern w:val="0"/>
                <w:szCs w:val="21"/>
              </w:rPr>
            </w:pPr>
          </w:p>
        </w:tc>
        <w:tc>
          <w:tcPr>
            <w:tcW w:w="142" w:type="pct"/>
            <w:vMerge w:val="continue"/>
            <w:vAlign w:val="center"/>
          </w:tcPr>
          <w:p>
            <w:pPr>
              <w:widowControl/>
              <w:adjustRightInd w:val="0"/>
              <w:snapToGrid w:val="0"/>
              <w:jc w:val="center"/>
              <w:rPr>
                <w:bCs/>
                <w:kern w:val="0"/>
                <w:szCs w:val="21"/>
              </w:rPr>
            </w:pPr>
          </w:p>
        </w:tc>
        <w:tc>
          <w:tcPr>
            <w:tcW w:w="148" w:type="pct"/>
            <w:vMerge w:val="continue"/>
            <w:vAlign w:val="center"/>
          </w:tcPr>
          <w:p>
            <w:pPr>
              <w:widowControl/>
              <w:adjustRightInd w:val="0"/>
              <w:snapToGrid w:val="0"/>
              <w:jc w:val="center"/>
              <w:rPr>
                <w:kern w:val="0"/>
                <w:szCs w:val="21"/>
              </w:rPr>
            </w:pPr>
          </w:p>
        </w:tc>
        <w:tc>
          <w:tcPr>
            <w:tcW w:w="173" w:type="pct"/>
            <w:vMerge w:val="continue"/>
            <w:vAlign w:val="center"/>
          </w:tcPr>
          <w:p>
            <w:pPr>
              <w:widowControl/>
              <w:adjustRightInd w:val="0"/>
              <w:snapToGrid w:val="0"/>
              <w:jc w:val="center"/>
              <w:rPr>
                <w:kern w:val="0"/>
                <w:szCs w:val="21"/>
              </w:rPr>
            </w:pPr>
          </w:p>
        </w:tc>
        <w:tc>
          <w:tcPr>
            <w:tcW w:w="194" w:type="pct"/>
            <w:vMerge w:val="continue"/>
            <w:vAlign w:val="center"/>
          </w:tcPr>
          <w:p>
            <w:pPr>
              <w:widowControl/>
              <w:adjustRightInd w:val="0"/>
              <w:snapToGrid w:val="0"/>
              <w:jc w:val="center"/>
              <w:rPr>
                <w:kern w:val="0"/>
                <w:szCs w:val="21"/>
              </w:rPr>
            </w:pPr>
          </w:p>
        </w:tc>
        <w:tc>
          <w:tcPr>
            <w:tcW w:w="192" w:type="pct"/>
            <w:vMerge w:val="continue"/>
            <w:vAlign w:val="center"/>
          </w:tcPr>
          <w:p>
            <w:pPr>
              <w:widowControl/>
              <w:adjustRightInd w:val="0"/>
              <w:snapToGrid w:val="0"/>
              <w:jc w:val="center"/>
              <w:rPr>
                <w:kern w:val="0"/>
                <w:szCs w:val="21"/>
              </w:rPr>
            </w:pPr>
          </w:p>
        </w:tc>
        <w:tc>
          <w:tcPr>
            <w:tcW w:w="242" w:type="pct"/>
            <w:vMerge w:val="continue"/>
            <w:vAlign w:val="center"/>
          </w:tcPr>
          <w:p>
            <w:pPr>
              <w:widowControl/>
              <w:adjustRightInd w:val="0"/>
              <w:snapToGrid w:val="0"/>
              <w:jc w:val="center"/>
              <w:rPr>
                <w:kern w:val="0"/>
                <w:szCs w:val="21"/>
              </w:rPr>
            </w:pPr>
          </w:p>
        </w:tc>
        <w:tc>
          <w:tcPr>
            <w:tcW w:w="280" w:type="pct"/>
            <w:vMerge w:val="continue"/>
            <w:vAlign w:val="center"/>
          </w:tcPr>
          <w:p>
            <w:pPr>
              <w:widowControl/>
              <w:adjustRightInd w:val="0"/>
              <w:snapToGrid w:val="0"/>
              <w:jc w:val="center"/>
              <w:rPr>
                <w:kern w:val="0"/>
                <w:szCs w:val="21"/>
              </w:rPr>
            </w:pPr>
          </w:p>
        </w:tc>
        <w:tc>
          <w:tcPr>
            <w:tcW w:w="182" w:type="pct"/>
            <w:vAlign w:val="center"/>
          </w:tcPr>
          <w:p>
            <w:pPr>
              <w:widowControl/>
              <w:adjustRightInd w:val="0"/>
              <w:snapToGrid w:val="0"/>
              <w:jc w:val="center"/>
              <w:rPr>
                <w:kern w:val="0"/>
                <w:szCs w:val="21"/>
              </w:rPr>
            </w:pPr>
            <w:r>
              <w:rPr>
                <w:rFonts w:hint="eastAsia"/>
                <w:kern w:val="0"/>
                <w:szCs w:val="21"/>
              </w:rPr>
              <w:t>DA00</w:t>
            </w:r>
            <w:r>
              <w:rPr>
                <w:kern w:val="0"/>
                <w:szCs w:val="21"/>
              </w:rPr>
              <w:t>3</w:t>
            </w:r>
          </w:p>
        </w:tc>
        <w:tc>
          <w:tcPr>
            <w:tcW w:w="166" w:type="pct"/>
            <w:vAlign w:val="center"/>
          </w:tcPr>
          <w:p>
            <w:pPr>
              <w:widowControl/>
              <w:adjustRightInd w:val="0"/>
              <w:snapToGrid w:val="0"/>
              <w:jc w:val="center"/>
              <w:rPr>
                <w:szCs w:val="21"/>
              </w:rPr>
            </w:pPr>
            <w:r>
              <w:rPr>
                <w:szCs w:val="21"/>
              </w:rPr>
              <w:t>8.2</w:t>
            </w:r>
            <w:r>
              <w:rPr>
                <w:rFonts w:hint="eastAsia"/>
                <w:szCs w:val="21"/>
              </w:rPr>
              <w:t>m</w:t>
            </w:r>
          </w:p>
        </w:tc>
        <w:tc>
          <w:tcPr>
            <w:tcW w:w="191" w:type="pct"/>
            <w:vAlign w:val="center"/>
          </w:tcPr>
          <w:p>
            <w:pPr>
              <w:widowControl/>
              <w:adjustRightInd w:val="0"/>
              <w:snapToGrid w:val="0"/>
              <w:jc w:val="center"/>
              <w:rPr>
                <w:szCs w:val="21"/>
              </w:rPr>
            </w:pPr>
            <w:r>
              <w:rPr>
                <w:szCs w:val="21"/>
              </w:rPr>
              <w:t>0.3</w:t>
            </w:r>
          </w:p>
        </w:tc>
        <w:tc>
          <w:tcPr>
            <w:tcW w:w="763" w:type="pct"/>
            <w:vAlign w:val="center"/>
          </w:tcPr>
          <w:p>
            <w:pPr>
              <w:widowControl/>
              <w:adjustRightInd w:val="0"/>
              <w:snapToGrid w:val="0"/>
              <w:jc w:val="center"/>
              <w:rPr>
                <w:bCs/>
                <w:kern w:val="0"/>
                <w:szCs w:val="21"/>
              </w:rPr>
            </w:pPr>
            <w:r>
              <w:rPr>
                <w:rFonts w:hint="eastAsia"/>
                <w:bCs/>
                <w:kern w:val="0"/>
                <w:szCs w:val="21"/>
              </w:rPr>
              <w:t>全封闭输送带+密闭筒仓+</w:t>
            </w:r>
            <w:r>
              <w:rPr>
                <w:bCs/>
                <w:kern w:val="0"/>
                <w:szCs w:val="21"/>
              </w:rPr>
              <w:t>仓顶滤芯除尘器</w:t>
            </w:r>
            <w:r>
              <w:rPr>
                <w:rFonts w:hint="eastAsia"/>
                <w:bCs/>
                <w:kern w:val="0"/>
                <w:szCs w:val="21"/>
              </w:rPr>
              <w:t>+</w:t>
            </w:r>
            <w:r>
              <w:rPr>
                <w:bCs/>
                <w:kern w:val="0"/>
                <w:szCs w:val="21"/>
              </w:rPr>
              <w:t>仓顶除尘器</w:t>
            </w:r>
            <w:r>
              <w:rPr>
                <w:rFonts w:hint="eastAsia"/>
                <w:bCs/>
                <w:kern w:val="0"/>
                <w:szCs w:val="21"/>
              </w:rPr>
              <w:t>排气筒</w:t>
            </w:r>
          </w:p>
        </w:tc>
        <w:tc>
          <w:tcPr>
            <w:tcW w:w="205" w:type="pct"/>
            <w:vAlign w:val="center"/>
          </w:tcPr>
          <w:p>
            <w:pPr>
              <w:widowControl/>
              <w:adjustRightInd w:val="0"/>
              <w:snapToGrid w:val="0"/>
              <w:jc w:val="center"/>
              <w:rPr>
                <w:kern w:val="0"/>
                <w:szCs w:val="21"/>
              </w:rPr>
            </w:pPr>
            <w:r>
              <w:rPr>
                <w:kern w:val="0"/>
                <w:szCs w:val="21"/>
              </w:rPr>
              <w:t>99.</w:t>
            </w:r>
            <w:r>
              <w:rPr>
                <w:rFonts w:hint="eastAsia"/>
                <w:kern w:val="0"/>
                <w:szCs w:val="21"/>
              </w:rPr>
              <w:t>7</w:t>
            </w:r>
            <w:r>
              <w:rPr>
                <w:kern w:val="0"/>
                <w:szCs w:val="21"/>
              </w:rPr>
              <w:t>%</w:t>
            </w:r>
          </w:p>
        </w:tc>
        <w:tc>
          <w:tcPr>
            <w:tcW w:w="275" w:type="pct"/>
            <w:vAlign w:val="center"/>
          </w:tcPr>
          <w:p>
            <w:pPr>
              <w:widowControl/>
              <w:adjustRightInd w:val="0"/>
              <w:snapToGrid w:val="0"/>
              <w:jc w:val="center"/>
              <w:rPr>
                <w:kern w:val="0"/>
                <w:szCs w:val="21"/>
              </w:rPr>
            </w:pPr>
            <w:r>
              <w:rPr>
                <w:kern w:val="0"/>
                <w:szCs w:val="21"/>
              </w:rPr>
              <w:t>是</w:t>
            </w:r>
          </w:p>
        </w:tc>
        <w:tc>
          <w:tcPr>
            <w:tcW w:w="171" w:type="pct"/>
            <w:vAlign w:val="center"/>
          </w:tcPr>
          <w:p>
            <w:pPr>
              <w:widowControl/>
              <w:adjustRightInd w:val="0"/>
              <w:snapToGrid w:val="0"/>
              <w:jc w:val="center"/>
              <w:rPr>
                <w:kern w:val="0"/>
                <w:szCs w:val="21"/>
              </w:rPr>
            </w:pPr>
            <w:r>
              <w:rPr>
                <w:rFonts w:hint="eastAsia"/>
                <w:kern w:val="0"/>
                <w:szCs w:val="21"/>
              </w:rPr>
              <w:t>0</w:t>
            </w:r>
            <w:r>
              <w:rPr>
                <w:kern w:val="0"/>
                <w:szCs w:val="21"/>
              </w:rPr>
              <w:t>.037</w:t>
            </w:r>
          </w:p>
        </w:tc>
        <w:tc>
          <w:tcPr>
            <w:tcW w:w="211" w:type="pct"/>
            <w:vAlign w:val="center"/>
          </w:tcPr>
          <w:p>
            <w:pPr>
              <w:widowControl/>
              <w:adjustRightInd w:val="0"/>
              <w:snapToGrid w:val="0"/>
              <w:jc w:val="center"/>
              <w:rPr>
                <w:kern w:val="0"/>
                <w:szCs w:val="21"/>
              </w:rPr>
            </w:pPr>
            <w:r>
              <w:rPr>
                <w:rFonts w:hint="eastAsia"/>
                <w:kern w:val="0"/>
                <w:szCs w:val="21"/>
              </w:rPr>
              <w:t>0</w:t>
            </w:r>
            <w:r>
              <w:rPr>
                <w:kern w:val="0"/>
                <w:szCs w:val="21"/>
              </w:rPr>
              <w:t>.025</w:t>
            </w:r>
          </w:p>
        </w:tc>
        <w:tc>
          <w:tcPr>
            <w:tcW w:w="203" w:type="pct"/>
            <w:tcBorders>
              <w:bottom w:val="single" w:color="auto" w:sz="4" w:space="0"/>
            </w:tcBorders>
            <w:vAlign w:val="center"/>
          </w:tcPr>
          <w:p>
            <w:pPr>
              <w:widowControl/>
              <w:adjustRightInd w:val="0"/>
              <w:snapToGrid w:val="0"/>
              <w:jc w:val="center"/>
              <w:rPr>
                <w:kern w:val="0"/>
                <w:szCs w:val="21"/>
              </w:rPr>
            </w:pPr>
            <w:r>
              <w:rPr>
                <w:rFonts w:hint="eastAsia"/>
                <w:kern w:val="0"/>
                <w:szCs w:val="21"/>
              </w:rPr>
              <w:t>8</w:t>
            </w:r>
            <w:r>
              <w:rPr>
                <w:kern w:val="0"/>
                <w:szCs w:val="21"/>
              </w:rPr>
              <w:t>.25</w:t>
            </w:r>
          </w:p>
        </w:tc>
        <w:tc>
          <w:tcPr>
            <w:tcW w:w="420" w:type="pct"/>
            <w:vMerge w:val="continue"/>
            <w:vAlign w:val="center"/>
          </w:tcPr>
          <w:p>
            <w:pPr>
              <w:widowControl/>
              <w:adjustRightInd w:val="0"/>
              <w:snapToGrid w:val="0"/>
              <w:jc w:val="center"/>
              <w:rPr>
                <w:szCs w:val="21"/>
              </w:rPr>
            </w:pPr>
          </w:p>
        </w:tc>
        <w:tc>
          <w:tcPr>
            <w:tcW w:w="138" w:type="pct"/>
            <w:vMerge w:val="continue"/>
            <w:vAlign w:val="center"/>
          </w:tcPr>
          <w:p>
            <w:pPr>
              <w:widowControl/>
              <w:adjustRightInd w:val="0"/>
              <w:snapToGrid w:val="0"/>
              <w:jc w:val="center"/>
              <w:rPr>
                <w:szCs w:val="21"/>
                <w:lang w:bidi="ar"/>
              </w:rPr>
            </w:pPr>
          </w:p>
        </w:tc>
        <w:tc>
          <w:tcPr>
            <w:tcW w:w="185" w:type="pct"/>
            <w:vMerge w:val="continue"/>
            <w:vAlign w:val="center"/>
          </w:tcPr>
          <w:p>
            <w:pPr>
              <w:widowControl/>
              <w:adjustRightInd w:val="0"/>
              <w:snapToGrid w:val="0"/>
              <w:jc w:val="center"/>
              <w:rPr>
                <w:szCs w:val="21"/>
                <w:lang w:bidi="ar"/>
              </w:rPr>
            </w:pPr>
          </w:p>
        </w:tc>
        <w:tc>
          <w:tcPr>
            <w:tcW w:w="164" w:type="pct"/>
            <w:vMerge w:val="continue"/>
            <w:vAlign w:val="center"/>
          </w:tcPr>
          <w:p>
            <w:pPr>
              <w:widowControl/>
              <w:adjustRightInd w:val="0"/>
              <w:snapToGrid w:val="0"/>
              <w:jc w:val="center"/>
              <w:rPr>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vMerge w:val="continue"/>
            <w:vAlign w:val="center"/>
          </w:tcPr>
          <w:p>
            <w:pPr>
              <w:widowControl/>
              <w:adjustRightInd w:val="0"/>
              <w:snapToGrid w:val="0"/>
              <w:jc w:val="center"/>
              <w:rPr>
                <w:kern w:val="0"/>
                <w:szCs w:val="21"/>
              </w:rPr>
            </w:pPr>
          </w:p>
        </w:tc>
        <w:tc>
          <w:tcPr>
            <w:tcW w:w="119" w:type="pct"/>
            <w:vMerge w:val="continue"/>
            <w:vAlign w:val="center"/>
          </w:tcPr>
          <w:p>
            <w:pPr>
              <w:widowControl/>
              <w:adjustRightInd w:val="0"/>
              <w:snapToGrid w:val="0"/>
              <w:jc w:val="center"/>
              <w:rPr>
                <w:kern w:val="0"/>
                <w:szCs w:val="21"/>
              </w:rPr>
            </w:pPr>
          </w:p>
        </w:tc>
        <w:tc>
          <w:tcPr>
            <w:tcW w:w="136" w:type="pct"/>
            <w:vMerge w:val="continue"/>
            <w:vAlign w:val="center"/>
          </w:tcPr>
          <w:p>
            <w:pPr>
              <w:widowControl/>
              <w:adjustRightInd w:val="0"/>
              <w:snapToGrid w:val="0"/>
              <w:jc w:val="center"/>
              <w:rPr>
                <w:kern w:val="0"/>
                <w:szCs w:val="21"/>
              </w:rPr>
            </w:pPr>
          </w:p>
        </w:tc>
        <w:tc>
          <w:tcPr>
            <w:tcW w:w="142" w:type="pct"/>
            <w:vMerge w:val="continue"/>
            <w:vAlign w:val="center"/>
          </w:tcPr>
          <w:p>
            <w:pPr>
              <w:widowControl/>
              <w:adjustRightInd w:val="0"/>
              <w:snapToGrid w:val="0"/>
              <w:jc w:val="center"/>
              <w:rPr>
                <w:bCs/>
                <w:kern w:val="0"/>
                <w:szCs w:val="21"/>
              </w:rPr>
            </w:pPr>
          </w:p>
        </w:tc>
        <w:tc>
          <w:tcPr>
            <w:tcW w:w="148" w:type="pct"/>
            <w:vMerge w:val="continue"/>
            <w:vAlign w:val="center"/>
          </w:tcPr>
          <w:p>
            <w:pPr>
              <w:widowControl/>
              <w:adjustRightInd w:val="0"/>
              <w:snapToGrid w:val="0"/>
              <w:jc w:val="center"/>
              <w:rPr>
                <w:kern w:val="0"/>
                <w:szCs w:val="21"/>
              </w:rPr>
            </w:pPr>
          </w:p>
        </w:tc>
        <w:tc>
          <w:tcPr>
            <w:tcW w:w="173" w:type="pct"/>
            <w:vMerge w:val="continue"/>
            <w:vAlign w:val="center"/>
          </w:tcPr>
          <w:p>
            <w:pPr>
              <w:widowControl/>
              <w:adjustRightInd w:val="0"/>
              <w:snapToGrid w:val="0"/>
              <w:jc w:val="center"/>
              <w:rPr>
                <w:kern w:val="0"/>
                <w:szCs w:val="21"/>
              </w:rPr>
            </w:pPr>
          </w:p>
        </w:tc>
        <w:tc>
          <w:tcPr>
            <w:tcW w:w="194" w:type="pct"/>
            <w:vMerge w:val="continue"/>
            <w:vAlign w:val="center"/>
          </w:tcPr>
          <w:p>
            <w:pPr>
              <w:widowControl/>
              <w:adjustRightInd w:val="0"/>
              <w:snapToGrid w:val="0"/>
              <w:jc w:val="center"/>
              <w:rPr>
                <w:kern w:val="0"/>
                <w:szCs w:val="21"/>
              </w:rPr>
            </w:pPr>
          </w:p>
        </w:tc>
        <w:tc>
          <w:tcPr>
            <w:tcW w:w="192" w:type="pct"/>
            <w:vMerge w:val="continue"/>
            <w:vAlign w:val="center"/>
          </w:tcPr>
          <w:p>
            <w:pPr>
              <w:widowControl/>
              <w:adjustRightInd w:val="0"/>
              <w:snapToGrid w:val="0"/>
              <w:jc w:val="center"/>
              <w:rPr>
                <w:kern w:val="0"/>
                <w:szCs w:val="21"/>
              </w:rPr>
            </w:pPr>
          </w:p>
        </w:tc>
        <w:tc>
          <w:tcPr>
            <w:tcW w:w="242" w:type="pct"/>
            <w:vMerge w:val="continue"/>
            <w:vAlign w:val="center"/>
          </w:tcPr>
          <w:p>
            <w:pPr>
              <w:widowControl/>
              <w:adjustRightInd w:val="0"/>
              <w:snapToGrid w:val="0"/>
              <w:jc w:val="center"/>
              <w:rPr>
                <w:kern w:val="0"/>
                <w:szCs w:val="21"/>
              </w:rPr>
            </w:pPr>
          </w:p>
        </w:tc>
        <w:tc>
          <w:tcPr>
            <w:tcW w:w="280" w:type="pct"/>
            <w:vMerge w:val="continue"/>
            <w:vAlign w:val="center"/>
          </w:tcPr>
          <w:p>
            <w:pPr>
              <w:widowControl/>
              <w:adjustRightInd w:val="0"/>
              <w:snapToGrid w:val="0"/>
              <w:jc w:val="center"/>
              <w:rPr>
                <w:kern w:val="0"/>
                <w:szCs w:val="21"/>
              </w:rPr>
            </w:pPr>
          </w:p>
        </w:tc>
        <w:tc>
          <w:tcPr>
            <w:tcW w:w="182" w:type="pct"/>
            <w:vAlign w:val="center"/>
          </w:tcPr>
          <w:p>
            <w:pPr>
              <w:widowControl/>
              <w:adjustRightInd w:val="0"/>
              <w:snapToGrid w:val="0"/>
              <w:jc w:val="center"/>
              <w:rPr>
                <w:szCs w:val="21"/>
              </w:rPr>
            </w:pPr>
            <w:r>
              <w:rPr>
                <w:rFonts w:hint="eastAsia"/>
                <w:kern w:val="0"/>
                <w:szCs w:val="21"/>
              </w:rPr>
              <w:t>DA00</w:t>
            </w:r>
            <w:r>
              <w:rPr>
                <w:kern w:val="0"/>
                <w:szCs w:val="21"/>
              </w:rPr>
              <w:t>4</w:t>
            </w:r>
          </w:p>
        </w:tc>
        <w:tc>
          <w:tcPr>
            <w:tcW w:w="166" w:type="pct"/>
            <w:vAlign w:val="center"/>
          </w:tcPr>
          <w:p>
            <w:pPr>
              <w:widowControl/>
              <w:adjustRightInd w:val="0"/>
              <w:snapToGrid w:val="0"/>
              <w:jc w:val="center"/>
              <w:rPr>
                <w:szCs w:val="21"/>
              </w:rPr>
            </w:pPr>
            <w:r>
              <w:rPr>
                <w:szCs w:val="21"/>
              </w:rPr>
              <w:t>8.2</w:t>
            </w:r>
            <w:r>
              <w:rPr>
                <w:rFonts w:hint="eastAsia"/>
                <w:szCs w:val="21"/>
              </w:rPr>
              <w:t>m</w:t>
            </w:r>
          </w:p>
        </w:tc>
        <w:tc>
          <w:tcPr>
            <w:tcW w:w="191" w:type="pct"/>
            <w:vAlign w:val="center"/>
          </w:tcPr>
          <w:p>
            <w:pPr>
              <w:widowControl/>
              <w:adjustRightInd w:val="0"/>
              <w:snapToGrid w:val="0"/>
              <w:jc w:val="center"/>
              <w:rPr>
                <w:szCs w:val="21"/>
              </w:rPr>
            </w:pPr>
            <w:r>
              <w:rPr>
                <w:szCs w:val="21"/>
              </w:rPr>
              <w:t>0.3</w:t>
            </w:r>
          </w:p>
        </w:tc>
        <w:tc>
          <w:tcPr>
            <w:tcW w:w="763" w:type="pct"/>
            <w:vAlign w:val="center"/>
          </w:tcPr>
          <w:p>
            <w:pPr>
              <w:widowControl/>
              <w:adjustRightInd w:val="0"/>
              <w:snapToGrid w:val="0"/>
              <w:jc w:val="center"/>
              <w:rPr>
                <w:bCs/>
                <w:kern w:val="0"/>
                <w:szCs w:val="21"/>
              </w:rPr>
            </w:pPr>
            <w:r>
              <w:rPr>
                <w:rFonts w:hint="eastAsia"/>
                <w:bCs/>
                <w:kern w:val="0"/>
                <w:szCs w:val="21"/>
              </w:rPr>
              <w:t>全封闭输送带+密闭筒仓+</w:t>
            </w:r>
            <w:r>
              <w:rPr>
                <w:bCs/>
                <w:kern w:val="0"/>
                <w:szCs w:val="21"/>
              </w:rPr>
              <w:t>仓顶滤芯除尘器</w:t>
            </w:r>
            <w:r>
              <w:rPr>
                <w:rFonts w:hint="eastAsia"/>
                <w:bCs/>
                <w:kern w:val="0"/>
                <w:szCs w:val="21"/>
              </w:rPr>
              <w:t>+</w:t>
            </w:r>
            <w:r>
              <w:rPr>
                <w:bCs/>
                <w:kern w:val="0"/>
                <w:szCs w:val="21"/>
              </w:rPr>
              <w:t>仓顶除尘器</w:t>
            </w:r>
            <w:r>
              <w:rPr>
                <w:rFonts w:hint="eastAsia"/>
                <w:bCs/>
                <w:kern w:val="0"/>
                <w:szCs w:val="21"/>
              </w:rPr>
              <w:t>排气筒</w:t>
            </w:r>
          </w:p>
        </w:tc>
        <w:tc>
          <w:tcPr>
            <w:tcW w:w="205" w:type="pct"/>
            <w:vAlign w:val="center"/>
          </w:tcPr>
          <w:p>
            <w:pPr>
              <w:widowControl/>
              <w:adjustRightInd w:val="0"/>
              <w:snapToGrid w:val="0"/>
              <w:jc w:val="center"/>
              <w:rPr>
                <w:kern w:val="0"/>
                <w:szCs w:val="21"/>
              </w:rPr>
            </w:pPr>
            <w:r>
              <w:rPr>
                <w:kern w:val="0"/>
                <w:szCs w:val="21"/>
              </w:rPr>
              <w:t>99.</w:t>
            </w:r>
            <w:r>
              <w:rPr>
                <w:rFonts w:hint="eastAsia"/>
                <w:kern w:val="0"/>
                <w:szCs w:val="21"/>
              </w:rPr>
              <w:t>7</w:t>
            </w:r>
            <w:r>
              <w:rPr>
                <w:kern w:val="0"/>
                <w:szCs w:val="21"/>
              </w:rPr>
              <w:t>%</w:t>
            </w:r>
          </w:p>
        </w:tc>
        <w:tc>
          <w:tcPr>
            <w:tcW w:w="275" w:type="pct"/>
            <w:vAlign w:val="center"/>
          </w:tcPr>
          <w:p>
            <w:pPr>
              <w:widowControl/>
              <w:adjustRightInd w:val="0"/>
              <w:snapToGrid w:val="0"/>
              <w:jc w:val="center"/>
              <w:rPr>
                <w:kern w:val="0"/>
                <w:szCs w:val="21"/>
              </w:rPr>
            </w:pPr>
            <w:r>
              <w:rPr>
                <w:kern w:val="0"/>
                <w:szCs w:val="21"/>
              </w:rPr>
              <w:t>是</w:t>
            </w:r>
          </w:p>
        </w:tc>
        <w:tc>
          <w:tcPr>
            <w:tcW w:w="171" w:type="pct"/>
            <w:vAlign w:val="center"/>
          </w:tcPr>
          <w:p>
            <w:pPr>
              <w:widowControl/>
              <w:adjustRightInd w:val="0"/>
              <w:snapToGrid w:val="0"/>
              <w:jc w:val="center"/>
              <w:rPr>
                <w:kern w:val="0"/>
                <w:szCs w:val="21"/>
              </w:rPr>
            </w:pPr>
            <w:r>
              <w:rPr>
                <w:rFonts w:hint="eastAsia"/>
                <w:kern w:val="0"/>
                <w:szCs w:val="21"/>
              </w:rPr>
              <w:t>0</w:t>
            </w:r>
            <w:r>
              <w:rPr>
                <w:kern w:val="0"/>
                <w:szCs w:val="21"/>
              </w:rPr>
              <w:t>.037</w:t>
            </w:r>
          </w:p>
        </w:tc>
        <w:tc>
          <w:tcPr>
            <w:tcW w:w="211" w:type="pct"/>
            <w:vAlign w:val="center"/>
          </w:tcPr>
          <w:p>
            <w:pPr>
              <w:widowControl/>
              <w:adjustRightInd w:val="0"/>
              <w:snapToGrid w:val="0"/>
              <w:jc w:val="center"/>
              <w:rPr>
                <w:kern w:val="0"/>
                <w:szCs w:val="21"/>
              </w:rPr>
            </w:pPr>
            <w:r>
              <w:rPr>
                <w:rFonts w:hint="eastAsia"/>
                <w:kern w:val="0"/>
                <w:szCs w:val="21"/>
              </w:rPr>
              <w:t>0</w:t>
            </w:r>
            <w:r>
              <w:rPr>
                <w:kern w:val="0"/>
                <w:szCs w:val="21"/>
              </w:rPr>
              <w:t>.025</w:t>
            </w:r>
          </w:p>
        </w:tc>
        <w:tc>
          <w:tcPr>
            <w:tcW w:w="203" w:type="pct"/>
            <w:tcBorders>
              <w:bottom w:val="single" w:color="auto" w:sz="4" w:space="0"/>
            </w:tcBorders>
            <w:vAlign w:val="center"/>
          </w:tcPr>
          <w:p>
            <w:pPr>
              <w:widowControl/>
              <w:adjustRightInd w:val="0"/>
              <w:snapToGrid w:val="0"/>
              <w:jc w:val="center"/>
              <w:rPr>
                <w:kern w:val="0"/>
                <w:szCs w:val="21"/>
              </w:rPr>
            </w:pPr>
            <w:r>
              <w:rPr>
                <w:rFonts w:hint="eastAsia"/>
                <w:kern w:val="0"/>
                <w:szCs w:val="21"/>
              </w:rPr>
              <w:t>8</w:t>
            </w:r>
            <w:r>
              <w:rPr>
                <w:kern w:val="0"/>
                <w:szCs w:val="21"/>
              </w:rPr>
              <w:t>.25</w:t>
            </w:r>
          </w:p>
        </w:tc>
        <w:tc>
          <w:tcPr>
            <w:tcW w:w="420" w:type="pct"/>
            <w:vMerge w:val="continue"/>
            <w:tcBorders>
              <w:bottom w:val="single" w:color="auto" w:sz="4" w:space="0"/>
            </w:tcBorders>
            <w:vAlign w:val="center"/>
          </w:tcPr>
          <w:p>
            <w:pPr>
              <w:widowControl/>
              <w:adjustRightInd w:val="0"/>
              <w:snapToGrid w:val="0"/>
              <w:jc w:val="center"/>
              <w:rPr>
                <w:szCs w:val="21"/>
              </w:rPr>
            </w:pPr>
          </w:p>
        </w:tc>
        <w:tc>
          <w:tcPr>
            <w:tcW w:w="138" w:type="pct"/>
            <w:vMerge w:val="continue"/>
            <w:tcBorders>
              <w:bottom w:val="single" w:color="auto" w:sz="4" w:space="0"/>
            </w:tcBorders>
            <w:vAlign w:val="center"/>
          </w:tcPr>
          <w:p>
            <w:pPr>
              <w:widowControl/>
              <w:adjustRightInd w:val="0"/>
              <w:snapToGrid w:val="0"/>
              <w:jc w:val="center"/>
              <w:rPr>
                <w:szCs w:val="21"/>
                <w:lang w:bidi="ar"/>
              </w:rPr>
            </w:pPr>
          </w:p>
        </w:tc>
        <w:tc>
          <w:tcPr>
            <w:tcW w:w="185" w:type="pct"/>
            <w:vMerge w:val="continue"/>
            <w:tcBorders>
              <w:bottom w:val="single" w:color="auto" w:sz="4" w:space="0"/>
            </w:tcBorders>
            <w:vAlign w:val="center"/>
          </w:tcPr>
          <w:p>
            <w:pPr>
              <w:widowControl/>
              <w:adjustRightInd w:val="0"/>
              <w:snapToGrid w:val="0"/>
              <w:jc w:val="center"/>
              <w:rPr>
                <w:szCs w:val="21"/>
                <w:lang w:bidi="ar"/>
              </w:rPr>
            </w:pPr>
          </w:p>
        </w:tc>
        <w:tc>
          <w:tcPr>
            <w:tcW w:w="164" w:type="pct"/>
            <w:vMerge w:val="continue"/>
            <w:tcBorders>
              <w:bottom w:val="single" w:color="auto" w:sz="4" w:space="0"/>
            </w:tcBorders>
            <w:vAlign w:val="center"/>
          </w:tcPr>
          <w:p>
            <w:pPr>
              <w:widowControl/>
              <w:adjustRightInd w:val="0"/>
              <w:snapToGrid w:val="0"/>
              <w:jc w:val="center"/>
              <w:rPr>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vAlign w:val="center"/>
          </w:tcPr>
          <w:p>
            <w:pPr>
              <w:widowControl/>
              <w:adjustRightInd w:val="0"/>
              <w:snapToGrid w:val="0"/>
              <w:jc w:val="center"/>
              <w:rPr>
                <w:kern w:val="0"/>
                <w:szCs w:val="21"/>
              </w:rPr>
            </w:pPr>
            <w:r>
              <w:rPr>
                <w:kern w:val="0"/>
                <w:szCs w:val="21"/>
              </w:rPr>
              <w:t>G</w:t>
            </w:r>
            <w:r>
              <w:rPr>
                <w:rFonts w:hint="eastAsia"/>
                <w:kern w:val="0"/>
                <w:szCs w:val="21"/>
                <w:vertAlign w:val="subscript"/>
              </w:rPr>
              <w:t>3</w:t>
            </w:r>
          </w:p>
        </w:tc>
        <w:tc>
          <w:tcPr>
            <w:tcW w:w="119" w:type="pct"/>
            <w:vAlign w:val="center"/>
          </w:tcPr>
          <w:p>
            <w:pPr>
              <w:widowControl/>
              <w:adjustRightInd w:val="0"/>
              <w:snapToGrid w:val="0"/>
              <w:jc w:val="center"/>
              <w:rPr>
                <w:kern w:val="0"/>
                <w:szCs w:val="21"/>
              </w:rPr>
            </w:pPr>
            <w:r>
              <w:rPr>
                <w:rFonts w:hint="eastAsia"/>
                <w:kern w:val="0"/>
                <w:szCs w:val="21"/>
              </w:rPr>
              <w:t>搅拌站</w:t>
            </w:r>
          </w:p>
        </w:tc>
        <w:tc>
          <w:tcPr>
            <w:tcW w:w="136" w:type="pct"/>
            <w:vAlign w:val="center"/>
          </w:tcPr>
          <w:p>
            <w:pPr>
              <w:widowControl/>
              <w:adjustRightInd w:val="0"/>
              <w:snapToGrid w:val="0"/>
              <w:jc w:val="center"/>
              <w:rPr>
                <w:kern w:val="0"/>
                <w:szCs w:val="21"/>
              </w:rPr>
            </w:pPr>
            <w:r>
              <w:rPr>
                <w:rFonts w:hint="eastAsia"/>
                <w:kern w:val="0"/>
                <w:szCs w:val="21"/>
              </w:rPr>
              <w:t>搅拌</w:t>
            </w:r>
          </w:p>
        </w:tc>
        <w:tc>
          <w:tcPr>
            <w:tcW w:w="142" w:type="pct"/>
            <w:vAlign w:val="center"/>
          </w:tcPr>
          <w:p>
            <w:pPr>
              <w:widowControl/>
              <w:adjustRightInd w:val="0"/>
              <w:snapToGrid w:val="0"/>
              <w:jc w:val="center"/>
              <w:rPr>
                <w:kern w:val="0"/>
                <w:szCs w:val="21"/>
              </w:rPr>
            </w:pPr>
            <w:r>
              <w:rPr>
                <w:rFonts w:hint="eastAsia"/>
                <w:kern w:val="0"/>
                <w:szCs w:val="21"/>
              </w:rPr>
              <w:t>搅拌</w:t>
            </w:r>
          </w:p>
        </w:tc>
        <w:tc>
          <w:tcPr>
            <w:tcW w:w="148" w:type="pct"/>
            <w:vAlign w:val="center"/>
          </w:tcPr>
          <w:p>
            <w:pPr>
              <w:widowControl/>
              <w:adjustRightInd w:val="0"/>
              <w:snapToGrid w:val="0"/>
              <w:jc w:val="center"/>
              <w:rPr>
                <w:kern w:val="0"/>
                <w:szCs w:val="21"/>
              </w:rPr>
            </w:pPr>
            <w:r>
              <w:rPr>
                <w:kern w:val="0"/>
                <w:szCs w:val="21"/>
              </w:rPr>
              <w:t>颗粒物</w:t>
            </w:r>
          </w:p>
        </w:tc>
        <w:tc>
          <w:tcPr>
            <w:tcW w:w="173" w:type="pct"/>
            <w:vAlign w:val="center"/>
          </w:tcPr>
          <w:p>
            <w:pPr>
              <w:widowControl/>
              <w:adjustRightInd w:val="0"/>
              <w:snapToGrid w:val="0"/>
              <w:jc w:val="center"/>
              <w:rPr>
                <w:kern w:val="0"/>
                <w:szCs w:val="21"/>
              </w:rPr>
            </w:pPr>
            <w:r>
              <w:rPr>
                <w:kern w:val="0"/>
                <w:szCs w:val="21"/>
              </w:rPr>
              <w:t>93.6</w:t>
            </w:r>
          </w:p>
        </w:tc>
        <w:tc>
          <w:tcPr>
            <w:tcW w:w="194" w:type="pct"/>
            <w:vAlign w:val="center"/>
          </w:tcPr>
          <w:p>
            <w:pPr>
              <w:widowControl/>
              <w:adjustRightInd w:val="0"/>
              <w:snapToGrid w:val="0"/>
              <w:jc w:val="center"/>
              <w:rPr>
                <w:kern w:val="0"/>
                <w:szCs w:val="21"/>
              </w:rPr>
            </w:pPr>
            <w:r>
              <w:rPr>
                <w:rFonts w:hint="eastAsia"/>
                <w:kern w:val="0"/>
                <w:szCs w:val="21"/>
              </w:rPr>
              <w:t>19.5</w:t>
            </w:r>
          </w:p>
        </w:tc>
        <w:tc>
          <w:tcPr>
            <w:tcW w:w="192" w:type="pct"/>
            <w:vAlign w:val="center"/>
          </w:tcPr>
          <w:p>
            <w:pPr>
              <w:widowControl/>
              <w:adjustRightInd w:val="0"/>
              <w:snapToGrid w:val="0"/>
              <w:jc w:val="center"/>
              <w:rPr>
                <w:kern w:val="0"/>
                <w:szCs w:val="21"/>
              </w:rPr>
            </w:pPr>
            <w:r>
              <w:rPr>
                <w:kern w:val="0"/>
                <w:szCs w:val="21"/>
              </w:rPr>
              <w:t>/</w:t>
            </w:r>
          </w:p>
        </w:tc>
        <w:tc>
          <w:tcPr>
            <w:tcW w:w="242" w:type="pct"/>
            <w:vAlign w:val="center"/>
          </w:tcPr>
          <w:p>
            <w:pPr>
              <w:widowControl/>
              <w:adjustRightInd w:val="0"/>
              <w:snapToGrid w:val="0"/>
              <w:jc w:val="center"/>
              <w:rPr>
                <w:kern w:val="0"/>
                <w:szCs w:val="21"/>
              </w:rPr>
            </w:pPr>
            <w:r>
              <w:rPr>
                <w:kern w:val="0"/>
                <w:szCs w:val="21"/>
              </w:rPr>
              <w:t>无组织</w:t>
            </w:r>
          </w:p>
        </w:tc>
        <w:tc>
          <w:tcPr>
            <w:tcW w:w="280" w:type="pct"/>
            <w:vAlign w:val="center"/>
          </w:tcPr>
          <w:p>
            <w:pPr>
              <w:widowControl/>
              <w:adjustRightInd w:val="0"/>
              <w:snapToGrid w:val="0"/>
              <w:jc w:val="center"/>
              <w:rPr>
                <w:kern w:val="0"/>
                <w:szCs w:val="21"/>
              </w:rPr>
            </w:pPr>
            <w:r>
              <w:rPr>
                <w:kern w:val="0"/>
                <w:szCs w:val="21"/>
              </w:rPr>
              <w:t>无</w:t>
            </w:r>
          </w:p>
        </w:tc>
        <w:tc>
          <w:tcPr>
            <w:tcW w:w="182" w:type="pct"/>
            <w:vAlign w:val="center"/>
          </w:tcPr>
          <w:p>
            <w:pPr>
              <w:widowControl/>
              <w:adjustRightInd w:val="0"/>
              <w:snapToGrid w:val="0"/>
              <w:jc w:val="center"/>
              <w:rPr>
                <w:kern w:val="0"/>
                <w:szCs w:val="21"/>
              </w:rPr>
            </w:pPr>
            <w:r>
              <w:rPr>
                <w:kern w:val="0"/>
                <w:szCs w:val="21"/>
              </w:rPr>
              <w:t>/</w:t>
            </w:r>
          </w:p>
        </w:tc>
        <w:tc>
          <w:tcPr>
            <w:tcW w:w="166" w:type="pct"/>
            <w:vAlign w:val="center"/>
          </w:tcPr>
          <w:p>
            <w:pPr>
              <w:widowControl/>
              <w:adjustRightInd w:val="0"/>
              <w:snapToGrid w:val="0"/>
              <w:jc w:val="center"/>
              <w:rPr>
                <w:kern w:val="0"/>
                <w:szCs w:val="21"/>
              </w:rPr>
            </w:pPr>
            <w:r>
              <w:rPr>
                <w:kern w:val="0"/>
                <w:szCs w:val="21"/>
              </w:rPr>
              <w:t>/</w:t>
            </w:r>
          </w:p>
        </w:tc>
        <w:tc>
          <w:tcPr>
            <w:tcW w:w="191" w:type="pct"/>
            <w:vAlign w:val="center"/>
          </w:tcPr>
          <w:p>
            <w:pPr>
              <w:widowControl/>
              <w:adjustRightInd w:val="0"/>
              <w:snapToGrid w:val="0"/>
              <w:jc w:val="center"/>
              <w:rPr>
                <w:kern w:val="0"/>
                <w:szCs w:val="21"/>
              </w:rPr>
            </w:pPr>
            <w:r>
              <w:rPr>
                <w:kern w:val="0"/>
                <w:szCs w:val="21"/>
              </w:rPr>
              <w:t>/</w:t>
            </w:r>
          </w:p>
        </w:tc>
        <w:tc>
          <w:tcPr>
            <w:tcW w:w="763" w:type="pct"/>
            <w:vAlign w:val="center"/>
          </w:tcPr>
          <w:p>
            <w:pPr>
              <w:widowControl/>
              <w:adjustRightInd w:val="0"/>
              <w:snapToGrid w:val="0"/>
              <w:jc w:val="center"/>
              <w:rPr>
                <w:bCs/>
                <w:kern w:val="0"/>
                <w:szCs w:val="21"/>
              </w:rPr>
            </w:pPr>
            <w:r>
              <w:rPr>
                <w:rFonts w:hint="eastAsia"/>
                <w:bCs/>
                <w:kern w:val="0"/>
                <w:szCs w:val="21"/>
              </w:rPr>
              <w:t>搅拌主机采用钢结构厂房进行全封闭，输送带和搅拌主机之间用帆布软连接，</w:t>
            </w:r>
            <w:r>
              <w:rPr>
                <w:bCs/>
                <w:kern w:val="0"/>
                <w:szCs w:val="21"/>
              </w:rPr>
              <w:t>搅拌机</w:t>
            </w:r>
            <w:r>
              <w:rPr>
                <w:rFonts w:hint="eastAsia"/>
                <w:bCs/>
                <w:kern w:val="0"/>
                <w:szCs w:val="21"/>
              </w:rPr>
              <w:t>配有</w:t>
            </w:r>
            <w:r>
              <w:rPr>
                <w:bCs/>
                <w:kern w:val="0"/>
                <w:szCs w:val="21"/>
              </w:rPr>
              <w:t>脉冲布袋除尘器</w:t>
            </w:r>
            <w:r>
              <w:rPr>
                <w:rFonts w:hint="eastAsia"/>
                <w:bCs/>
                <w:kern w:val="0"/>
                <w:szCs w:val="21"/>
              </w:rPr>
              <w:t>。</w:t>
            </w:r>
          </w:p>
        </w:tc>
        <w:tc>
          <w:tcPr>
            <w:tcW w:w="205" w:type="pct"/>
            <w:vAlign w:val="center"/>
          </w:tcPr>
          <w:p>
            <w:pPr>
              <w:widowControl/>
              <w:adjustRightInd w:val="0"/>
              <w:snapToGrid w:val="0"/>
              <w:jc w:val="center"/>
              <w:rPr>
                <w:kern w:val="0"/>
                <w:szCs w:val="21"/>
              </w:rPr>
            </w:pPr>
            <w:r>
              <w:rPr>
                <w:kern w:val="0"/>
                <w:szCs w:val="21"/>
              </w:rPr>
              <w:t>99.</w:t>
            </w:r>
            <w:r>
              <w:rPr>
                <w:rFonts w:hint="eastAsia"/>
                <w:kern w:val="0"/>
                <w:szCs w:val="21"/>
              </w:rPr>
              <w:t>7</w:t>
            </w:r>
            <w:r>
              <w:rPr>
                <w:kern w:val="0"/>
                <w:szCs w:val="21"/>
              </w:rPr>
              <w:t>%</w:t>
            </w:r>
          </w:p>
        </w:tc>
        <w:tc>
          <w:tcPr>
            <w:tcW w:w="275" w:type="pct"/>
            <w:vAlign w:val="center"/>
          </w:tcPr>
          <w:p>
            <w:pPr>
              <w:widowControl/>
              <w:adjustRightInd w:val="0"/>
              <w:snapToGrid w:val="0"/>
              <w:jc w:val="center"/>
              <w:rPr>
                <w:kern w:val="0"/>
                <w:szCs w:val="21"/>
              </w:rPr>
            </w:pPr>
            <w:r>
              <w:rPr>
                <w:kern w:val="0"/>
                <w:szCs w:val="21"/>
              </w:rPr>
              <w:t>是</w:t>
            </w:r>
          </w:p>
        </w:tc>
        <w:tc>
          <w:tcPr>
            <w:tcW w:w="171" w:type="pct"/>
            <w:vAlign w:val="center"/>
          </w:tcPr>
          <w:p>
            <w:pPr>
              <w:widowControl/>
              <w:adjustRightInd w:val="0"/>
              <w:snapToGrid w:val="0"/>
              <w:jc w:val="center"/>
              <w:rPr>
                <w:kern w:val="0"/>
                <w:szCs w:val="21"/>
              </w:rPr>
            </w:pPr>
            <w:r>
              <w:rPr>
                <w:szCs w:val="21"/>
                <w:lang w:bidi="ar"/>
              </w:rPr>
              <w:t>0.28</w:t>
            </w:r>
          </w:p>
        </w:tc>
        <w:tc>
          <w:tcPr>
            <w:tcW w:w="211" w:type="pct"/>
            <w:vAlign w:val="center"/>
          </w:tcPr>
          <w:p>
            <w:pPr>
              <w:widowControl/>
              <w:adjustRightInd w:val="0"/>
              <w:snapToGrid w:val="0"/>
              <w:jc w:val="center"/>
              <w:rPr>
                <w:kern w:val="0"/>
                <w:szCs w:val="21"/>
              </w:rPr>
            </w:pPr>
            <w:r>
              <w:rPr>
                <w:rFonts w:hint="eastAsia"/>
                <w:kern w:val="0"/>
                <w:szCs w:val="21"/>
              </w:rPr>
              <w:t>0.058333</w:t>
            </w:r>
          </w:p>
        </w:tc>
        <w:tc>
          <w:tcPr>
            <w:tcW w:w="203" w:type="pct"/>
            <w:tcBorders>
              <w:top w:val="single" w:color="auto" w:sz="4" w:space="0"/>
              <w:bottom w:val="single" w:color="auto" w:sz="4" w:space="0"/>
            </w:tcBorders>
            <w:vAlign w:val="center"/>
          </w:tcPr>
          <w:p>
            <w:pPr>
              <w:widowControl/>
              <w:adjustRightInd w:val="0"/>
              <w:snapToGrid w:val="0"/>
              <w:jc w:val="center"/>
              <w:rPr>
                <w:kern w:val="0"/>
                <w:szCs w:val="21"/>
              </w:rPr>
            </w:pPr>
            <w:r>
              <w:rPr>
                <w:szCs w:val="21"/>
                <w:lang w:bidi="ar"/>
              </w:rPr>
              <w:t>/</w:t>
            </w:r>
          </w:p>
        </w:tc>
        <w:tc>
          <w:tcPr>
            <w:tcW w:w="420" w:type="pct"/>
            <w:vMerge w:val="restart"/>
            <w:tcBorders>
              <w:top w:val="single" w:color="auto" w:sz="4" w:space="0"/>
            </w:tcBorders>
            <w:vAlign w:val="center"/>
          </w:tcPr>
          <w:p>
            <w:pPr>
              <w:widowControl/>
              <w:adjustRightInd w:val="0"/>
              <w:snapToGrid w:val="0"/>
              <w:jc w:val="center"/>
              <w:rPr>
                <w:kern w:val="0"/>
                <w:szCs w:val="21"/>
              </w:rPr>
            </w:pPr>
            <w:r>
              <w:rPr>
                <w:kern w:val="0"/>
                <w:szCs w:val="21"/>
              </w:rPr>
              <w:t>《水泥工业大气污染物排放标准》（GB4915-2013）表</w:t>
            </w:r>
            <w:r>
              <w:rPr>
                <w:rFonts w:hint="eastAsia"/>
                <w:kern w:val="0"/>
                <w:szCs w:val="21"/>
              </w:rPr>
              <w:t>3</w:t>
            </w:r>
            <w:r>
              <w:rPr>
                <w:kern w:val="0"/>
                <w:szCs w:val="21"/>
              </w:rPr>
              <w:t>标准</w:t>
            </w:r>
          </w:p>
        </w:tc>
        <w:tc>
          <w:tcPr>
            <w:tcW w:w="138" w:type="pct"/>
            <w:vMerge w:val="restart"/>
            <w:tcBorders>
              <w:top w:val="single" w:color="auto" w:sz="4" w:space="0"/>
            </w:tcBorders>
            <w:vAlign w:val="center"/>
          </w:tcPr>
          <w:p>
            <w:pPr>
              <w:widowControl/>
              <w:adjustRightInd w:val="0"/>
              <w:snapToGrid w:val="0"/>
              <w:jc w:val="center"/>
              <w:rPr>
                <w:kern w:val="0"/>
                <w:szCs w:val="21"/>
              </w:rPr>
            </w:pPr>
            <w:r>
              <w:rPr>
                <w:szCs w:val="21"/>
                <w:lang w:bidi="ar"/>
              </w:rPr>
              <w:t>厂界监测点</w:t>
            </w:r>
          </w:p>
        </w:tc>
        <w:tc>
          <w:tcPr>
            <w:tcW w:w="185" w:type="pct"/>
            <w:vMerge w:val="restart"/>
            <w:tcBorders>
              <w:top w:val="single" w:color="auto" w:sz="4" w:space="0"/>
            </w:tcBorders>
            <w:vAlign w:val="center"/>
          </w:tcPr>
          <w:p>
            <w:pPr>
              <w:widowControl/>
              <w:adjustRightInd w:val="0"/>
              <w:snapToGrid w:val="0"/>
              <w:jc w:val="center"/>
              <w:rPr>
                <w:kern w:val="0"/>
                <w:szCs w:val="21"/>
              </w:rPr>
            </w:pPr>
            <w:r>
              <w:rPr>
                <w:rFonts w:hint="eastAsia"/>
                <w:szCs w:val="21"/>
                <w:lang w:bidi="ar"/>
              </w:rPr>
              <w:t>颗粒物</w:t>
            </w:r>
          </w:p>
        </w:tc>
        <w:tc>
          <w:tcPr>
            <w:tcW w:w="164" w:type="pct"/>
            <w:vMerge w:val="restart"/>
            <w:tcBorders>
              <w:top w:val="single" w:color="auto" w:sz="4" w:space="0"/>
            </w:tcBorders>
            <w:vAlign w:val="center"/>
          </w:tcPr>
          <w:p>
            <w:pPr>
              <w:widowControl/>
              <w:adjustRightInd w:val="0"/>
              <w:snapToGrid w:val="0"/>
              <w:jc w:val="center"/>
              <w:rPr>
                <w:kern w:val="0"/>
                <w:szCs w:val="21"/>
              </w:rPr>
            </w:pPr>
            <w:r>
              <w:rPr>
                <w:szCs w:val="21"/>
                <w:lang w:bidi="ar"/>
              </w:rPr>
              <w:t>1次/年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00" w:type="pct"/>
            <w:noWrap/>
            <w:vAlign w:val="center"/>
          </w:tcPr>
          <w:p>
            <w:pPr>
              <w:widowControl/>
              <w:adjustRightInd w:val="0"/>
              <w:snapToGrid w:val="0"/>
              <w:jc w:val="center"/>
              <w:rPr>
                <w:kern w:val="0"/>
                <w:szCs w:val="21"/>
              </w:rPr>
            </w:pPr>
            <w:r>
              <w:rPr>
                <w:kern w:val="0"/>
                <w:szCs w:val="21"/>
              </w:rPr>
              <w:t>G</w:t>
            </w:r>
            <w:r>
              <w:rPr>
                <w:kern w:val="0"/>
                <w:szCs w:val="21"/>
                <w:vertAlign w:val="subscript"/>
              </w:rPr>
              <w:t>4</w:t>
            </w:r>
          </w:p>
        </w:tc>
        <w:tc>
          <w:tcPr>
            <w:tcW w:w="119" w:type="pct"/>
            <w:vAlign w:val="center"/>
          </w:tcPr>
          <w:p>
            <w:pPr>
              <w:adjustRightInd w:val="0"/>
              <w:snapToGrid w:val="0"/>
              <w:jc w:val="center"/>
              <w:rPr>
                <w:kern w:val="0"/>
                <w:szCs w:val="21"/>
              </w:rPr>
            </w:pPr>
            <w:r>
              <w:rPr>
                <w:rFonts w:hint="eastAsia"/>
                <w:kern w:val="0"/>
                <w:szCs w:val="21"/>
              </w:rPr>
              <w:t>运输车辆</w:t>
            </w:r>
          </w:p>
        </w:tc>
        <w:tc>
          <w:tcPr>
            <w:tcW w:w="136" w:type="pct"/>
            <w:vAlign w:val="center"/>
          </w:tcPr>
          <w:p>
            <w:pPr>
              <w:widowControl/>
              <w:adjustRightInd w:val="0"/>
              <w:snapToGrid w:val="0"/>
              <w:jc w:val="center"/>
              <w:rPr>
                <w:kern w:val="0"/>
                <w:szCs w:val="21"/>
              </w:rPr>
            </w:pPr>
            <w:r>
              <w:rPr>
                <w:rFonts w:hint="eastAsia"/>
                <w:kern w:val="0"/>
                <w:szCs w:val="21"/>
              </w:rPr>
              <w:t>输运</w:t>
            </w:r>
          </w:p>
        </w:tc>
        <w:tc>
          <w:tcPr>
            <w:tcW w:w="142" w:type="pct"/>
            <w:vAlign w:val="center"/>
          </w:tcPr>
          <w:p>
            <w:pPr>
              <w:widowControl/>
              <w:adjustRightInd w:val="0"/>
              <w:snapToGrid w:val="0"/>
              <w:jc w:val="center"/>
              <w:rPr>
                <w:kern w:val="0"/>
                <w:szCs w:val="21"/>
              </w:rPr>
            </w:pPr>
            <w:r>
              <w:rPr>
                <w:kern w:val="0"/>
                <w:szCs w:val="21"/>
              </w:rPr>
              <w:t>运输</w:t>
            </w:r>
          </w:p>
        </w:tc>
        <w:tc>
          <w:tcPr>
            <w:tcW w:w="148" w:type="pct"/>
            <w:vAlign w:val="center"/>
          </w:tcPr>
          <w:p>
            <w:pPr>
              <w:widowControl/>
              <w:adjustRightInd w:val="0"/>
              <w:snapToGrid w:val="0"/>
              <w:jc w:val="center"/>
              <w:rPr>
                <w:kern w:val="0"/>
                <w:szCs w:val="21"/>
              </w:rPr>
            </w:pPr>
            <w:r>
              <w:rPr>
                <w:kern w:val="0"/>
                <w:szCs w:val="21"/>
              </w:rPr>
              <w:t>颗粒物</w:t>
            </w:r>
          </w:p>
        </w:tc>
        <w:tc>
          <w:tcPr>
            <w:tcW w:w="559" w:type="pct"/>
            <w:gridSpan w:val="3"/>
            <w:vAlign w:val="center"/>
          </w:tcPr>
          <w:p>
            <w:pPr>
              <w:widowControl/>
              <w:adjustRightInd w:val="0"/>
              <w:snapToGrid w:val="0"/>
              <w:jc w:val="center"/>
              <w:rPr>
                <w:kern w:val="0"/>
                <w:szCs w:val="21"/>
              </w:rPr>
            </w:pPr>
            <w:r>
              <w:rPr>
                <w:kern w:val="0"/>
                <w:szCs w:val="21"/>
              </w:rPr>
              <w:t>少量</w:t>
            </w:r>
          </w:p>
        </w:tc>
        <w:tc>
          <w:tcPr>
            <w:tcW w:w="242" w:type="pct"/>
            <w:vAlign w:val="center"/>
          </w:tcPr>
          <w:p>
            <w:pPr>
              <w:widowControl/>
              <w:adjustRightInd w:val="0"/>
              <w:snapToGrid w:val="0"/>
              <w:jc w:val="center"/>
              <w:rPr>
                <w:kern w:val="0"/>
                <w:szCs w:val="21"/>
              </w:rPr>
            </w:pPr>
            <w:r>
              <w:rPr>
                <w:kern w:val="0"/>
                <w:szCs w:val="21"/>
              </w:rPr>
              <w:t>无组织</w:t>
            </w:r>
          </w:p>
        </w:tc>
        <w:tc>
          <w:tcPr>
            <w:tcW w:w="280" w:type="pct"/>
            <w:vAlign w:val="center"/>
          </w:tcPr>
          <w:p>
            <w:pPr>
              <w:widowControl/>
              <w:adjustRightInd w:val="0"/>
              <w:snapToGrid w:val="0"/>
              <w:jc w:val="center"/>
              <w:rPr>
                <w:kern w:val="0"/>
                <w:szCs w:val="21"/>
              </w:rPr>
            </w:pPr>
            <w:r>
              <w:rPr>
                <w:kern w:val="0"/>
                <w:szCs w:val="21"/>
              </w:rPr>
              <w:t>无</w:t>
            </w:r>
          </w:p>
        </w:tc>
        <w:tc>
          <w:tcPr>
            <w:tcW w:w="182" w:type="pct"/>
            <w:vAlign w:val="center"/>
          </w:tcPr>
          <w:p>
            <w:pPr>
              <w:widowControl/>
              <w:adjustRightInd w:val="0"/>
              <w:snapToGrid w:val="0"/>
              <w:jc w:val="center"/>
              <w:rPr>
                <w:kern w:val="0"/>
                <w:szCs w:val="21"/>
              </w:rPr>
            </w:pPr>
            <w:r>
              <w:rPr>
                <w:kern w:val="0"/>
                <w:szCs w:val="21"/>
              </w:rPr>
              <w:t>/</w:t>
            </w:r>
          </w:p>
        </w:tc>
        <w:tc>
          <w:tcPr>
            <w:tcW w:w="166" w:type="pct"/>
            <w:vAlign w:val="center"/>
          </w:tcPr>
          <w:p>
            <w:pPr>
              <w:widowControl/>
              <w:adjustRightInd w:val="0"/>
              <w:snapToGrid w:val="0"/>
              <w:jc w:val="center"/>
              <w:rPr>
                <w:kern w:val="0"/>
                <w:szCs w:val="21"/>
              </w:rPr>
            </w:pPr>
            <w:r>
              <w:rPr>
                <w:kern w:val="0"/>
                <w:szCs w:val="21"/>
              </w:rPr>
              <w:t>/</w:t>
            </w:r>
          </w:p>
        </w:tc>
        <w:tc>
          <w:tcPr>
            <w:tcW w:w="191" w:type="pct"/>
            <w:vAlign w:val="center"/>
          </w:tcPr>
          <w:p>
            <w:pPr>
              <w:widowControl/>
              <w:adjustRightInd w:val="0"/>
              <w:snapToGrid w:val="0"/>
              <w:jc w:val="center"/>
              <w:rPr>
                <w:kern w:val="0"/>
                <w:szCs w:val="21"/>
              </w:rPr>
            </w:pPr>
            <w:r>
              <w:rPr>
                <w:kern w:val="0"/>
                <w:szCs w:val="21"/>
              </w:rPr>
              <w:t>/</w:t>
            </w:r>
          </w:p>
        </w:tc>
        <w:tc>
          <w:tcPr>
            <w:tcW w:w="763" w:type="pct"/>
            <w:vAlign w:val="center"/>
          </w:tcPr>
          <w:p>
            <w:pPr>
              <w:widowControl/>
              <w:adjustRightInd w:val="0"/>
              <w:snapToGrid w:val="0"/>
              <w:jc w:val="center"/>
              <w:rPr>
                <w:kern w:val="0"/>
                <w:szCs w:val="21"/>
              </w:rPr>
            </w:pPr>
            <w:r>
              <w:rPr>
                <w:bCs/>
                <w:kern w:val="0"/>
                <w:szCs w:val="21"/>
              </w:rPr>
              <w:t>厂区道路</w:t>
            </w:r>
            <w:r>
              <w:rPr>
                <w:rFonts w:hint="eastAsia"/>
                <w:bCs/>
                <w:kern w:val="0"/>
                <w:szCs w:val="21"/>
              </w:rPr>
              <w:t>、停车场及其他地面采取</w:t>
            </w:r>
            <w:r>
              <w:rPr>
                <w:bCs/>
                <w:kern w:val="0"/>
                <w:szCs w:val="21"/>
              </w:rPr>
              <w:t>硬化</w:t>
            </w:r>
            <w:r>
              <w:rPr>
                <w:rFonts w:hint="eastAsia"/>
                <w:bCs/>
                <w:kern w:val="0"/>
                <w:szCs w:val="21"/>
              </w:rPr>
              <w:t>措施，</w:t>
            </w:r>
            <w:r>
              <w:rPr>
                <w:bCs/>
                <w:kern w:val="0"/>
                <w:szCs w:val="21"/>
              </w:rPr>
              <w:t>定时洒水</w:t>
            </w:r>
            <w:r>
              <w:rPr>
                <w:rFonts w:hint="eastAsia"/>
                <w:bCs/>
                <w:kern w:val="0"/>
                <w:szCs w:val="21"/>
              </w:rPr>
              <w:t>；</w:t>
            </w:r>
            <w:r>
              <w:rPr>
                <w:bCs/>
                <w:kern w:val="0"/>
                <w:szCs w:val="21"/>
              </w:rPr>
              <w:t>厂区</w:t>
            </w:r>
            <w:r>
              <w:rPr>
                <w:rFonts w:hint="eastAsia"/>
                <w:bCs/>
                <w:kern w:val="0"/>
                <w:szCs w:val="21"/>
              </w:rPr>
              <w:t>配备高压水枪设备对驶出车辆进行冲洗清洁；厂区有保洁人员及时对散落的物料进行清扫收集。</w:t>
            </w:r>
          </w:p>
        </w:tc>
        <w:tc>
          <w:tcPr>
            <w:tcW w:w="205" w:type="pct"/>
            <w:vAlign w:val="center"/>
          </w:tcPr>
          <w:p>
            <w:pPr>
              <w:widowControl/>
              <w:adjustRightInd w:val="0"/>
              <w:snapToGrid w:val="0"/>
              <w:jc w:val="center"/>
              <w:rPr>
                <w:kern w:val="0"/>
                <w:szCs w:val="21"/>
              </w:rPr>
            </w:pPr>
            <w:r>
              <w:rPr>
                <w:rFonts w:hint="eastAsia"/>
                <w:kern w:val="0"/>
                <w:szCs w:val="21"/>
              </w:rPr>
              <w:t>90</w:t>
            </w:r>
            <w:r>
              <w:rPr>
                <w:kern w:val="0"/>
                <w:szCs w:val="21"/>
              </w:rPr>
              <w:t>%</w:t>
            </w:r>
          </w:p>
        </w:tc>
        <w:tc>
          <w:tcPr>
            <w:tcW w:w="275" w:type="pct"/>
            <w:vAlign w:val="center"/>
          </w:tcPr>
          <w:p>
            <w:pPr>
              <w:widowControl/>
              <w:adjustRightInd w:val="0"/>
              <w:snapToGrid w:val="0"/>
              <w:jc w:val="center"/>
              <w:rPr>
                <w:kern w:val="0"/>
                <w:szCs w:val="21"/>
              </w:rPr>
            </w:pPr>
            <w:r>
              <w:rPr>
                <w:kern w:val="0"/>
                <w:szCs w:val="21"/>
              </w:rPr>
              <w:t>是</w:t>
            </w:r>
          </w:p>
        </w:tc>
        <w:tc>
          <w:tcPr>
            <w:tcW w:w="585" w:type="pct"/>
            <w:gridSpan w:val="3"/>
            <w:vAlign w:val="center"/>
          </w:tcPr>
          <w:p>
            <w:pPr>
              <w:widowControl/>
              <w:adjustRightInd w:val="0"/>
              <w:snapToGrid w:val="0"/>
              <w:jc w:val="center"/>
              <w:rPr>
                <w:kern w:val="0"/>
                <w:szCs w:val="21"/>
              </w:rPr>
            </w:pPr>
            <w:r>
              <w:rPr>
                <w:kern w:val="0"/>
                <w:szCs w:val="21"/>
              </w:rPr>
              <w:t>少量</w:t>
            </w:r>
          </w:p>
        </w:tc>
        <w:tc>
          <w:tcPr>
            <w:tcW w:w="420" w:type="pct"/>
            <w:vMerge w:val="continue"/>
            <w:vAlign w:val="center"/>
          </w:tcPr>
          <w:p>
            <w:pPr>
              <w:widowControl/>
              <w:adjustRightInd w:val="0"/>
              <w:snapToGrid w:val="0"/>
              <w:jc w:val="center"/>
              <w:rPr>
                <w:kern w:val="0"/>
                <w:szCs w:val="21"/>
              </w:rPr>
            </w:pPr>
          </w:p>
        </w:tc>
        <w:tc>
          <w:tcPr>
            <w:tcW w:w="138" w:type="pct"/>
            <w:vMerge w:val="continue"/>
            <w:vAlign w:val="center"/>
          </w:tcPr>
          <w:p>
            <w:pPr>
              <w:widowControl/>
              <w:adjustRightInd w:val="0"/>
              <w:snapToGrid w:val="0"/>
              <w:jc w:val="center"/>
              <w:rPr>
                <w:kern w:val="0"/>
                <w:szCs w:val="21"/>
              </w:rPr>
            </w:pPr>
          </w:p>
        </w:tc>
        <w:tc>
          <w:tcPr>
            <w:tcW w:w="185" w:type="pct"/>
            <w:vMerge w:val="continue"/>
            <w:vAlign w:val="center"/>
          </w:tcPr>
          <w:p>
            <w:pPr>
              <w:widowControl/>
              <w:adjustRightInd w:val="0"/>
              <w:snapToGrid w:val="0"/>
              <w:jc w:val="center"/>
              <w:rPr>
                <w:kern w:val="0"/>
                <w:szCs w:val="21"/>
              </w:rPr>
            </w:pPr>
          </w:p>
        </w:tc>
        <w:tc>
          <w:tcPr>
            <w:tcW w:w="164" w:type="pct"/>
            <w:vMerge w:val="continue"/>
            <w:vAlign w:val="center"/>
          </w:tcPr>
          <w:p>
            <w:pPr>
              <w:widowControl/>
              <w:adjustRightInd w:val="0"/>
              <w:snapToGrid w:val="0"/>
              <w:jc w:val="center"/>
              <w:rPr>
                <w:kern w:val="0"/>
                <w:szCs w:val="21"/>
              </w:rPr>
            </w:pPr>
          </w:p>
        </w:tc>
      </w:tr>
    </w:tbl>
    <w:p>
      <w:pPr>
        <w:adjustRightInd w:val="0"/>
        <w:snapToGrid w:val="0"/>
        <w:spacing w:line="360" w:lineRule="auto"/>
        <w:rPr>
          <w:rFonts w:cs="宋体"/>
          <w:b/>
          <w:kern w:val="0"/>
          <w:sz w:val="28"/>
          <w:szCs w:val="28"/>
        </w:rPr>
        <w:sectPr>
          <w:pgSz w:w="23814" w:h="16840" w:orient="landscape"/>
          <w:pgMar w:top="1531" w:right="1701" w:bottom="1531" w:left="2126" w:header="851" w:footer="851" w:gutter="0"/>
          <w:cols w:space="720" w:num="1"/>
          <w:docGrid w:linePitch="312" w:charSpace="0"/>
        </w:sectPr>
      </w:pPr>
    </w:p>
    <w:tbl>
      <w:tblPr>
        <w:tblStyle w:val="14"/>
        <w:tblW w:w="87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6"/>
        <w:gridCol w:w="837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45" w:hRule="atLeast"/>
          <w:jc w:val="center"/>
        </w:trPr>
        <w:tc>
          <w:tcPr>
            <w:tcW w:w="416" w:type="dxa"/>
            <w:tcMar>
              <w:left w:w="28" w:type="dxa"/>
              <w:right w:w="28" w:type="dxa"/>
            </w:tcMar>
            <w:vAlign w:val="center"/>
          </w:tcPr>
          <w:p>
            <w:pPr>
              <w:adjustRightInd w:val="0"/>
              <w:snapToGrid w:val="0"/>
              <w:jc w:val="center"/>
              <w:rPr>
                <w:rFonts w:cs="宋体"/>
                <w:bCs/>
                <w:szCs w:val="21"/>
              </w:rPr>
            </w:pPr>
            <w:r>
              <w:rPr>
                <w:rFonts w:hint="eastAsia" w:cs="宋体"/>
                <w:bCs/>
                <w:szCs w:val="21"/>
              </w:rPr>
              <w:t>运营</w:t>
            </w:r>
          </w:p>
          <w:p>
            <w:pPr>
              <w:adjustRightInd w:val="0"/>
              <w:snapToGrid w:val="0"/>
              <w:jc w:val="center"/>
              <w:rPr>
                <w:rFonts w:cs="宋体"/>
                <w:bCs/>
                <w:szCs w:val="21"/>
              </w:rPr>
            </w:pPr>
            <w:r>
              <w:rPr>
                <w:rFonts w:hint="eastAsia" w:cs="宋体"/>
                <w:bCs/>
                <w:szCs w:val="21"/>
              </w:rPr>
              <w:t>期环</w:t>
            </w:r>
          </w:p>
          <w:p>
            <w:pPr>
              <w:adjustRightInd w:val="0"/>
              <w:snapToGrid w:val="0"/>
              <w:jc w:val="center"/>
              <w:rPr>
                <w:rFonts w:cs="宋体"/>
                <w:bCs/>
                <w:szCs w:val="21"/>
              </w:rPr>
            </w:pPr>
            <w:r>
              <w:rPr>
                <w:rFonts w:hint="eastAsia" w:cs="宋体"/>
                <w:bCs/>
                <w:szCs w:val="21"/>
              </w:rPr>
              <w:t>境影</w:t>
            </w:r>
          </w:p>
          <w:p>
            <w:pPr>
              <w:adjustRightInd w:val="0"/>
              <w:snapToGrid w:val="0"/>
              <w:jc w:val="center"/>
              <w:rPr>
                <w:rFonts w:cs="宋体"/>
                <w:bCs/>
                <w:szCs w:val="21"/>
              </w:rPr>
            </w:pPr>
            <w:r>
              <w:rPr>
                <w:rFonts w:hint="eastAsia" w:cs="宋体"/>
                <w:bCs/>
                <w:szCs w:val="21"/>
              </w:rPr>
              <w:t>响和</w:t>
            </w:r>
          </w:p>
          <w:p>
            <w:pPr>
              <w:adjustRightInd w:val="0"/>
              <w:snapToGrid w:val="0"/>
              <w:jc w:val="center"/>
              <w:rPr>
                <w:rFonts w:cs="宋体"/>
                <w:bCs/>
                <w:szCs w:val="21"/>
              </w:rPr>
            </w:pPr>
            <w:r>
              <w:rPr>
                <w:rFonts w:hint="eastAsia" w:cs="宋体"/>
                <w:bCs/>
                <w:szCs w:val="21"/>
              </w:rPr>
              <w:t>保护</w:t>
            </w:r>
          </w:p>
          <w:p>
            <w:pPr>
              <w:adjustRightInd w:val="0"/>
              <w:snapToGrid w:val="0"/>
              <w:jc w:val="center"/>
              <w:rPr>
                <w:rFonts w:cs="宋体"/>
                <w:bCs/>
                <w:szCs w:val="21"/>
              </w:rPr>
            </w:pPr>
            <w:r>
              <w:rPr>
                <w:rFonts w:hint="eastAsia" w:cs="宋体"/>
                <w:bCs/>
                <w:szCs w:val="21"/>
              </w:rPr>
              <w:t>措施</w:t>
            </w:r>
          </w:p>
        </w:tc>
        <w:tc>
          <w:tcPr>
            <w:tcW w:w="8373" w:type="dxa"/>
            <w:vAlign w:val="center"/>
          </w:tcPr>
          <w:p>
            <w:pPr>
              <w:adjustRightInd w:val="0"/>
              <w:snapToGrid w:val="0"/>
              <w:spacing w:line="360" w:lineRule="auto"/>
              <w:rPr>
                <w:b/>
                <w:kern w:val="21"/>
                <w:sz w:val="24"/>
              </w:rPr>
            </w:pPr>
            <w:r>
              <w:rPr>
                <w:rFonts w:hint="eastAsia"/>
                <w:b/>
                <w:kern w:val="21"/>
                <w:sz w:val="24"/>
              </w:rPr>
              <w:t>1.2废气达标排放分析</w:t>
            </w:r>
          </w:p>
          <w:p>
            <w:pPr>
              <w:pStyle w:val="13"/>
              <w:adjustRightInd w:val="0"/>
              <w:snapToGrid w:val="0"/>
              <w:spacing w:before="0" w:beforeAutospacing="0" w:after="0" w:afterAutospacing="0" w:line="360" w:lineRule="auto"/>
              <w:ind w:firstLine="480" w:firstLineChars="200"/>
              <w:jc w:val="both"/>
              <w:rPr>
                <w:rFonts w:ascii="Times New Roman" w:hAnsi="Times New Roman"/>
                <w:bCs/>
                <w:kern w:val="21"/>
                <w:szCs w:val="24"/>
              </w:rPr>
            </w:pPr>
            <w:r>
              <w:rPr>
                <w:rFonts w:ascii="Times New Roman" w:hAnsi="Times New Roman"/>
                <w:bCs/>
                <w:kern w:val="21"/>
                <w:szCs w:val="24"/>
              </w:rPr>
              <w:t>根据上述源强分析，本项目</w:t>
            </w:r>
            <w:r>
              <w:rPr>
                <w:rFonts w:hint="eastAsia" w:ascii="Times New Roman" w:hAnsi="Times New Roman"/>
                <w:bCs/>
                <w:kern w:val="21"/>
                <w:szCs w:val="24"/>
              </w:rPr>
              <w:t>有</w:t>
            </w:r>
            <w:r>
              <w:rPr>
                <w:rFonts w:ascii="Times New Roman" w:hAnsi="Times New Roman"/>
                <w:bCs/>
                <w:kern w:val="21"/>
                <w:szCs w:val="24"/>
              </w:rPr>
              <w:t>组织废气主要为水泥筒仓、粉煤灰筒仓粉尘，经布袋除尘器及各筒仓顶滤芯除尘器等处理后排放，</w:t>
            </w:r>
            <w:r>
              <w:rPr>
                <w:rFonts w:ascii="Times New Roman" w:hAnsi="Times New Roman"/>
                <w:bCs/>
                <w:kern w:val="21"/>
                <w:szCs w:val="24"/>
                <w:lang w:bidi="ar"/>
              </w:rPr>
              <w:t>满足</w:t>
            </w:r>
            <w:r>
              <w:rPr>
                <w:rFonts w:ascii="Times New Roman" w:hAnsi="Times New Roman"/>
                <w:bCs/>
                <w:kern w:val="21"/>
                <w:szCs w:val="24"/>
              </w:rPr>
              <w:t>《水泥工业大气污染物排放标准》（GB4915-2013）表2标准排放要求；主要无组织废气为原料储存装卸粉尘</w:t>
            </w:r>
            <w:r>
              <w:rPr>
                <w:rFonts w:hint="eastAsia" w:ascii="Times New Roman" w:hAnsi="Times New Roman"/>
                <w:bCs/>
                <w:kern w:val="21"/>
                <w:szCs w:val="24"/>
              </w:rPr>
              <w:t>，</w:t>
            </w:r>
            <w:r>
              <w:rPr>
                <w:rFonts w:hint="eastAsia" w:ascii="Times New Roman" w:hAnsi="Times New Roman"/>
                <w:bCs/>
                <w:kern w:val="21"/>
                <w:szCs w:val="24"/>
                <w:lang w:bidi="ar"/>
              </w:rPr>
              <w:t>砂石配料、输送过程扬尘</w:t>
            </w:r>
            <w:r>
              <w:rPr>
                <w:rFonts w:ascii="Times New Roman" w:hAnsi="Times New Roman"/>
                <w:bCs/>
                <w:kern w:val="21"/>
                <w:szCs w:val="24"/>
                <w:lang w:bidi="ar"/>
              </w:rPr>
              <w:t>，</w:t>
            </w:r>
            <w:r>
              <w:rPr>
                <w:rFonts w:hint="eastAsia" w:ascii="Times New Roman" w:hAnsi="Times New Roman"/>
                <w:bCs/>
                <w:kern w:val="21"/>
                <w:szCs w:val="24"/>
                <w:lang w:bidi="ar"/>
              </w:rPr>
              <w:t>搅拌机入料口产生的粉尘以及运输车辆扬尘等</w:t>
            </w:r>
            <w:r>
              <w:rPr>
                <w:rFonts w:ascii="Times New Roman" w:hAnsi="Times New Roman"/>
                <w:bCs/>
                <w:kern w:val="21"/>
                <w:szCs w:val="24"/>
                <w:lang w:bidi="ar"/>
              </w:rPr>
              <w:t>，采用全封闭</w:t>
            </w:r>
            <w:r>
              <w:rPr>
                <w:rFonts w:hint="eastAsia" w:ascii="Times New Roman" w:hAnsi="Times New Roman"/>
                <w:bCs/>
                <w:kern w:val="21"/>
                <w:szCs w:val="24"/>
                <w:lang w:bidi="ar"/>
              </w:rPr>
              <w:t>储料棚、</w:t>
            </w:r>
            <w:r>
              <w:rPr>
                <w:rFonts w:ascii="Times New Roman" w:hAnsi="Times New Roman"/>
                <w:bCs/>
                <w:kern w:val="21"/>
                <w:szCs w:val="24"/>
                <w:lang w:bidi="ar"/>
              </w:rPr>
              <w:t>布袋除尘器</w:t>
            </w:r>
            <w:r>
              <w:rPr>
                <w:rFonts w:hint="eastAsia" w:ascii="Times New Roman" w:hAnsi="Times New Roman"/>
                <w:bCs/>
                <w:kern w:val="21"/>
                <w:szCs w:val="24"/>
                <w:lang w:bidi="ar"/>
              </w:rPr>
              <w:t>、</w:t>
            </w:r>
            <w:r>
              <w:rPr>
                <w:rFonts w:ascii="Times New Roman" w:hAnsi="Times New Roman"/>
                <w:bCs/>
                <w:kern w:val="21"/>
                <w:szCs w:val="24"/>
                <w:lang w:bidi="ar"/>
              </w:rPr>
              <w:t>喷淋洒水抑尘措施处理后排放，</w:t>
            </w:r>
            <w:r>
              <w:rPr>
                <w:rFonts w:ascii="Times New Roman" w:hAnsi="Times New Roman"/>
                <w:kern w:val="21"/>
                <w:szCs w:val="24"/>
                <w:lang w:bidi="ar"/>
              </w:rPr>
              <w:t>满足《水泥工业大气污染物排放标准》（GB4915-2013）无组织排放</w:t>
            </w:r>
            <w:r>
              <w:rPr>
                <w:rStyle w:val="18"/>
                <w:rFonts w:ascii="Times New Roman" w:hAnsi="Times New Roman"/>
                <w:kern w:val="21"/>
                <w:sz w:val="24"/>
                <w:szCs w:val="24"/>
              </w:rPr>
              <w:t>标</w:t>
            </w:r>
            <w:r>
              <w:rPr>
                <w:rFonts w:ascii="Times New Roman" w:hAnsi="Times New Roman"/>
                <w:kern w:val="21"/>
                <w:szCs w:val="24"/>
                <w:lang w:bidi="ar"/>
              </w:rPr>
              <w:t>准排放要求。</w:t>
            </w:r>
          </w:p>
          <w:p>
            <w:pPr>
              <w:adjustRightInd w:val="0"/>
              <w:snapToGrid w:val="0"/>
              <w:spacing w:line="360" w:lineRule="auto"/>
              <w:rPr>
                <w:b/>
                <w:kern w:val="21"/>
                <w:sz w:val="24"/>
              </w:rPr>
            </w:pPr>
            <w:r>
              <w:rPr>
                <w:b/>
                <w:kern w:val="21"/>
                <w:sz w:val="24"/>
              </w:rPr>
              <w:t>1.3废气污染</w:t>
            </w:r>
            <w:r>
              <w:rPr>
                <w:rFonts w:hint="eastAsia"/>
                <w:b/>
                <w:kern w:val="21"/>
                <w:sz w:val="24"/>
              </w:rPr>
              <w:t>防治</w:t>
            </w:r>
            <w:r>
              <w:rPr>
                <w:b/>
                <w:kern w:val="21"/>
                <w:sz w:val="24"/>
              </w:rPr>
              <w:t>措施可行性</w:t>
            </w:r>
          </w:p>
          <w:p>
            <w:pPr>
              <w:adjustRightInd w:val="0"/>
              <w:snapToGrid w:val="0"/>
              <w:spacing w:line="360" w:lineRule="auto"/>
              <w:ind w:firstLine="480" w:firstLineChars="200"/>
              <w:rPr>
                <w:kern w:val="21"/>
                <w:sz w:val="24"/>
              </w:rPr>
            </w:pPr>
            <w:r>
              <w:rPr>
                <w:kern w:val="21"/>
                <w:sz w:val="24"/>
              </w:rPr>
              <w:t>根据上述源强分析结果可知，</w:t>
            </w:r>
            <w:r>
              <w:rPr>
                <w:bCs/>
                <w:kern w:val="21"/>
                <w:sz w:val="24"/>
              </w:rPr>
              <w:t>本项目</w:t>
            </w:r>
            <w:r>
              <w:rPr>
                <w:rFonts w:hint="eastAsia"/>
                <w:bCs/>
                <w:kern w:val="21"/>
                <w:sz w:val="24"/>
              </w:rPr>
              <w:t>有</w:t>
            </w:r>
            <w:r>
              <w:rPr>
                <w:bCs/>
                <w:kern w:val="21"/>
                <w:sz w:val="24"/>
              </w:rPr>
              <w:t>组织废气主要为水泥筒仓、粉煤灰筒仓粉尘，经布袋除尘器及各筒仓顶滤芯除尘器等处理后排放，</w:t>
            </w:r>
            <w:r>
              <w:rPr>
                <w:kern w:val="21"/>
                <w:sz w:val="24"/>
              </w:rPr>
              <w:t>满足《水泥工业大气污染物排放标准》（GB4915-2013）表2标准要求</w:t>
            </w:r>
            <w:r>
              <w:rPr>
                <w:rFonts w:hint="eastAsia"/>
                <w:kern w:val="21"/>
                <w:sz w:val="24"/>
              </w:rPr>
              <w:t>。</w:t>
            </w:r>
          </w:p>
          <w:p>
            <w:pPr>
              <w:adjustRightInd w:val="0"/>
              <w:snapToGrid w:val="0"/>
              <w:spacing w:line="360" w:lineRule="auto"/>
              <w:ind w:firstLine="480" w:firstLineChars="200"/>
              <w:rPr>
                <w:kern w:val="21"/>
                <w:sz w:val="24"/>
              </w:rPr>
            </w:pPr>
            <w:r>
              <w:rPr>
                <w:kern w:val="21"/>
                <w:sz w:val="24"/>
              </w:rPr>
              <w:t>布袋除尘器是具有先进水平的高效袋式除尘设备，是一种处理风量大、清灰效果好、除尘效率高、运行可靠、维护方便、占地面积小的除尘设备。工作原理：含尘气体从除尘器的进风均流管进入各分室灰斗，并在灰斗导流装置的导流下，大颗粒的粉尘被分离，直接落入灰斗，而较细粉尘均匀地进入中部箱体而吸附在滤袋的外表面上，干净气体透过滤袋进入上箱体，并经各离线阀和排风管排入大气。随着过滤工况的进行，滤袋上的粉尘越积越多，当设备阻力达到限定的阻力值（一般设定为1500Pa）时，由清灰控制装置按差压设定值或清灰时间设定值自动关闭一室离线阀后，按设定程序打开电控脉冲阀，进行停风喷吹，利用压缩空气瞬间喷吹使滤袋内压力聚增，将滤袋上的粉尘进行抖落（即使粘细粉尘亦能较彻底地清灰）至灰斗中，由排灰机构排出。</w:t>
            </w:r>
            <w:r>
              <w:rPr>
                <w:rFonts w:hint="eastAsia"/>
                <w:kern w:val="21"/>
                <w:sz w:val="24"/>
              </w:rPr>
              <w:t>本项目在不同的产尘点设置不同型号的袋式除尘设施，对于仓顶则通过增加</w:t>
            </w:r>
            <w:r>
              <w:rPr>
                <w:rFonts w:hint="eastAsia"/>
                <w:bCs/>
                <w:kern w:val="21"/>
                <w:sz w:val="24"/>
              </w:rPr>
              <w:t>过滤面积及滤芯数量，保证除尘效率在99%~</w:t>
            </w:r>
            <w:r>
              <w:rPr>
                <w:rFonts w:hint="eastAsia"/>
                <w:kern w:val="21"/>
                <w:sz w:val="24"/>
              </w:rPr>
              <w:t>99.5%之间。</w:t>
            </w:r>
            <w:r>
              <w:rPr>
                <w:kern w:val="21"/>
                <w:sz w:val="24"/>
              </w:rPr>
              <w:t>此除尘措施是目前混凝土制品行业常见的废气处理方式，工艺成熟，经济可行。</w:t>
            </w:r>
          </w:p>
          <w:p>
            <w:pPr>
              <w:adjustRightInd w:val="0"/>
              <w:snapToGrid w:val="0"/>
              <w:spacing w:line="360" w:lineRule="auto"/>
              <w:ind w:firstLine="480" w:firstLineChars="200"/>
              <w:rPr>
                <w:b/>
                <w:kern w:val="21"/>
                <w:sz w:val="24"/>
              </w:rPr>
            </w:pPr>
            <w:r>
              <w:rPr>
                <w:rFonts w:hint="eastAsia"/>
                <w:bCs/>
                <w:kern w:val="21"/>
                <w:sz w:val="24"/>
              </w:rPr>
              <w:t>本项目砂子、碎石堆放在密闭原料储库内，装卸也在封闭的储库内进行，砂石堆放区上方设置喷淋设施。砂石原料利用装载机由砂石原料库运至上料仓，输送带两侧和上部为全封闭结构，上料仓顶部设置洒水抑尘装置；</w:t>
            </w:r>
            <w:r>
              <w:rPr>
                <w:bCs/>
                <w:kern w:val="21"/>
                <w:sz w:val="24"/>
              </w:rPr>
              <w:t>厂区道路</w:t>
            </w:r>
            <w:r>
              <w:rPr>
                <w:rFonts w:hint="eastAsia"/>
                <w:bCs/>
                <w:kern w:val="21"/>
                <w:sz w:val="24"/>
              </w:rPr>
              <w:t>、停车场及其他地面实施</w:t>
            </w:r>
            <w:r>
              <w:rPr>
                <w:bCs/>
                <w:kern w:val="21"/>
                <w:sz w:val="24"/>
              </w:rPr>
              <w:t>硬化</w:t>
            </w:r>
            <w:r>
              <w:rPr>
                <w:rFonts w:hint="eastAsia"/>
                <w:bCs/>
                <w:kern w:val="21"/>
                <w:sz w:val="24"/>
              </w:rPr>
              <w:t>措施，</w:t>
            </w:r>
            <w:r>
              <w:rPr>
                <w:bCs/>
                <w:kern w:val="21"/>
                <w:sz w:val="24"/>
              </w:rPr>
              <w:t>定时洒水</w:t>
            </w:r>
            <w:r>
              <w:rPr>
                <w:rFonts w:hint="eastAsia"/>
                <w:bCs/>
                <w:kern w:val="21"/>
                <w:sz w:val="24"/>
              </w:rPr>
              <w:t>；</w:t>
            </w:r>
            <w:r>
              <w:rPr>
                <w:bCs/>
                <w:kern w:val="21"/>
                <w:sz w:val="24"/>
              </w:rPr>
              <w:t>厂区出入口处已设置</w:t>
            </w:r>
            <w:r>
              <w:rPr>
                <w:rFonts w:hint="eastAsia"/>
                <w:bCs/>
                <w:kern w:val="21"/>
                <w:sz w:val="24"/>
              </w:rPr>
              <w:t>U型槽，并配备高压水枪设备对驶出车辆进行冲洗清洁；厂区有保洁人员及时对散落的物料进行清扫收集。</w:t>
            </w:r>
            <w:r>
              <w:rPr>
                <w:rFonts w:hint="eastAsia"/>
                <w:kern w:val="21"/>
                <w:sz w:val="24"/>
              </w:rPr>
              <w:t>采取</w:t>
            </w:r>
            <w:r>
              <w:rPr>
                <w:kern w:val="21"/>
                <w:sz w:val="24"/>
              </w:rPr>
              <w:t>上述抑尘措施后，</w:t>
            </w:r>
            <w:r>
              <w:rPr>
                <w:rFonts w:hint="eastAsia"/>
                <w:kern w:val="21"/>
                <w:sz w:val="24"/>
              </w:rPr>
              <w:t>颗粒物</w:t>
            </w:r>
            <w:r>
              <w:rPr>
                <w:kern w:val="21"/>
                <w:sz w:val="24"/>
              </w:rPr>
              <w:t>排放满足《水泥工业大气污染物排放标准》（GB4915-2013）无组织排放标准，措施可稳定、有效、可行。</w:t>
            </w:r>
          </w:p>
          <w:p>
            <w:pPr>
              <w:adjustRightInd w:val="0"/>
              <w:snapToGrid w:val="0"/>
              <w:spacing w:line="360" w:lineRule="auto"/>
              <w:rPr>
                <w:b/>
                <w:kern w:val="21"/>
                <w:sz w:val="24"/>
              </w:rPr>
            </w:pPr>
            <w:r>
              <w:rPr>
                <w:b/>
                <w:kern w:val="21"/>
                <w:sz w:val="24"/>
              </w:rPr>
              <w:t>1.</w:t>
            </w:r>
            <w:r>
              <w:rPr>
                <w:rFonts w:hint="eastAsia"/>
                <w:b/>
                <w:kern w:val="21"/>
                <w:sz w:val="24"/>
              </w:rPr>
              <w:t>4</w:t>
            </w:r>
            <w:r>
              <w:rPr>
                <w:b/>
                <w:kern w:val="21"/>
                <w:sz w:val="24"/>
              </w:rPr>
              <w:t xml:space="preserve"> 废气污染物排放环境影响分析</w:t>
            </w:r>
          </w:p>
          <w:p>
            <w:pPr>
              <w:adjustRightInd w:val="0"/>
              <w:snapToGrid w:val="0"/>
              <w:spacing w:line="360" w:lineRule="auto"/>
              <w:ind w:firstLine="480" w:firstLineChars="200"/>
              <w:rPr>
                <w:kern w:val="21"/>
                <w:sz w:val="24"/>
              </w:rPr>
            </w:pPr>
            <w:r>
              <w:rPr>
                <w:kern w:val="21"/>
                <w:sz w:val="24"/>
              </w:rPr>
              <w:t>项目其所在区域为环境空气质量达标区</w:t>
            </w:r>
            <w:r>
              <w:rPr>
                <w:rFonts w:hint="eastAsia"/>
                <w:kern w:val="21"/>
                <w:sz w:val="24"/>
              </w:rPr>
              <w:t>，建设单位对各有组织和无组织粉尘产生环节均采取有效的抑尘措施，正常工况下污染物均能稳定达标排放，对周边大气环境影响较小。此外，当出现重污染天气，企业应错峰运行，根据当地政府要求采取停产、限产等措施，并编制环境风险应急预案等。</w:t>
            </w:r>
          </w:p>
          <w:p>
            <w:pPr>
              <w:adjustRightInd w:val="0"/>
              <w:snapToGrid w:val="0"/>
              <w:spacing w:line="360" w:lineRule="auto"/>
              <w:rPr>
                <w:b/>
                <w:kern w:val="21"/>
                <w:sz w:val="24"/>
              </w:rPr>
            </w:pPr>
            <w:r>
              <w:rPr>
                <w:b/>
                <w:kern w:val="21"/>
                <w:sz w:val="24"/>
              </w:rPr>
              <w:t>2</w:t>
            </w:r>
            <w:r>
              <w:rPr>
                <w:rFonts w:hint="eastAsia"/>
                <w:b/>
                <w:kern w:val="21"/>
                <w:sz w:val="24"/>
              </w:rPr>
              <w:t>、</w:t>
            </w:r>
            <w:r>
              <w:rPr>
                <w:b/>
                <w:kern w:val="21"/>
                <w:sz w:val="24"/>
              </w:rPr>
              <w:t>废水</w:t>
            </w:r>
          </w:p>
          <w:p>
            <w:pPr>
              <w:spacing w:line="360" w:lineRule="auto"/>
              <w:ind w:firstLine="420"/>
              <w:rPr>
                <w:rFonts w:cs="宋体"/>
                <w:bCs/>
                <w:sz w:val="24"/>
              </w:rPr>
            </w:pPr>
            <w:r>
              <w:rPr>
                <w:rFonts w:hint="eastAsia" w:cs="宋体"/>
                <w:bCs/>
                <w:sz w:val="24"/>
              </w:rPr>
              <w:t>搅拌混合用水</w:t>
            </w:r>
            <w:r>
              <w:rPr>
                <w:rFonts w:cs="宋体"/>
                <w:bCs/>
                <w:sz w:val="24"/>
              </w:rPr>
              <w:t>全部进入产品，不外排</w:t>
            </w:r>
            <w:r>
              <w:rPr>
                <w:rFonts w:hint="eastAsia" w:cs="宋体"/>
                <w:bCs/>
                <w:sz w:val="24"/>
              </w:rPr>
              <w:t>；料棚抑尘用水、道路抑尘洒水全部自然蒸发，不外排；搅拌机及</w:t>
            </w:r>
            <w:r>
              <w:rPr>
                <w:rFonts w:cs="宋体"/>
                <w:bCs/>
                <w:sz w:val="24"/>
              </w:rPr>
              <w:t>运输车辆清洗废水</w:t>
            </w:r>
            <w:r>
              <w:rPr>
                <w:rFonts w:hint="eastAsia" w:cs="宋体"/>
                <w:bCs/>
                <w:sz w:val="24"/>
              </w:rPr>
              <w:t>经沉淀后回用于生产，不外排。故本</w:t>
            </w:r>
            <w:r>
              <w:rPr>
                <w:rFonts w:cs="宋体"/>
                <w:bCs/>
                <w:sz w:val="24"/>
              </w:rPr>
              <w:t>项目不产生生产废水</w:t>
            </w:r>
            <w:r>
              <w:rPr>
                <w:rFonts w:hint="eastAsia" w:cs="宋体"/>
                <w:bCs/>
                <w:sz w:val="24"/>
              </w:rPr>
              <w:t>，所排</w:t>
            </w:r>
            <w:r>
              <w:rPr>
                <w:rFonts w:cs="宋体"/>
                <w:bCs/>
                <w:sz w:val="24"/>
              </w:rPr>
              <w:t>废水主要为生活污水。</w:t>
            </w:r>
          </w:p>
          <w:p>
            <w:pPr>
              <w:spacing w:line="360" w:lineRule="auto"/>
              <w:ind w:firstLine="420"/>
              <w:rPr>
                <w:rFonts w:cs="宋体"/>
                <w:bCs/>
                <w:sz w:val="24"/>
              </w:rPr>
            </w:pPr>
            <w:r>
              <w:rPr>
                <w:rFonts w:hint="eastAsia" w:cs="宋体"/>
                <w:bCs/>
                <w:sz w:val="24"/>
              </w:rPr>
              <w:t>（1）</w:t>
            </w:r>
            <w:r>
              <w:rPr>
                <w:rFonts w:cs="宋体"/>
                <w:bCs/>
                <w:sz w:val="24"/>
              </w:rPr>
              <w:t>生产废水</w:t>
            </w:r>
          </w:p>
          <w:p>
            <w:pPr>
              <w:spacing w:line="360" w:lineRule="auto"/>
              <w:ind w:firstLine="420"/>
              <w:rPr>
                <w:rFonts w:cs="宋体"/>
                <w:bCs/>
                <w:sz w:val="24"/>
              </w:rPr>
            </w:pPr>
            <w:r>
              <w:rPr>
                <w:rFonts w:hint="eastAsia" w:cs="宋体"/>
                <w:bCs/>
                <w:sz w:val="24"/>
              </w:rPr>
              <w:t>搅拌机</w:t>
            </w:r>
            <w:r>
              <w:rPr>
                <w:rFonts w:cs="宋体"/>
                <w:bCs/>
                <w:sz w:val="24"/>
              </w:rPr>
              <w:t>清洗用水总量为</w:t>
            </w:r>
            <w:r>
              <w:rPr>
                <w:rFonts w:hint="eastAsia" w:cs="宋体"/>
                <w:bCs/>
                <w:sz w:val="24"/>
              </w:rPr>
              <w:t>1</w:t>
            </w:r>
            <w:r>
              <w:rPr>
                <w:rFonts w:cs="宋体"/>
                <w:bCs/>
                <w:sz w:val="24"/>
              </w:rPr>
              <w:t>.0m</w:t>
            </w:r>
            <w:r>
              <w:rPr>
                <w:rFonts w:cs="宋体"/>
                <w:bCs/>
                <w:sz w:val="24"/>
                <w:vertAlign w:val="superscript"/>
              </w:rPr>
              <w:t>3</w:t>
            </w:r>
            <w:r>
              <w:rPr>
                <w:rFonts w:cs="宋体"/>
                <w:bCs/>
                <w:sz w:val="24"/>
              </w:rPr>
              <w:t>/d</w:t>
            </w:r>
            <w:r>
              <w:rPr>
                <w:rFonts w:hint="eastAsia" w:cs="宋体"/>
                <w:bCs/>
                <w:sz w:val="24"/>
              </w:rPr>
              <w:t>（200</w:t>
            </w:r>
            <w:r>
              <w:rPr>
                <w:rFonts w:cs="宋体"/>
                <w:bCs/>
                <w:sz w:val="24"/>
              </w:rPr>
              <w:t>m</w:t>
            </w:r>
            <w:r>
              <w:rPr>
                <w:rFonts w:cs="宋体"/>
                <w:bCs/>
                <w:sz w:val="24"/>
                <w:vertAlign w:val="superscript"/>
              </w:rPr>
              <w:t>3</w:t>
            </w:r>
            <w:r>
              <w:rPr>
                <w:rFonts w:cs="宋体"/>
                <w:bCs/>
                <w:sz w:val="24"/>
              </w:rPr>
              <w:t>/a</w:t>
            </w:r>
            <w:r>
              <w:rPr>
                <w:rFonts w:hint="eastAsia" w:cs="宋体"/>
                <w:bCs/>
                <w:sz w:val="24"/>
              </w:rPr>
              <w:t>）</w:t>
            </w:r>
            <w:r>
              <w:rPr>
                <w:rFonts w:cs="宋体"/>
                <w:bCs/>
                <w:sz w:val="24"/>
              </w:rPr>
              <w:t>，废水的产生量按用水量的80%计算，则</w:t>
            </w:r>
            <w:r>
              <w:rPr>
                <w:rFonts w:hint="eastAsia" w:cs="宋体"/>
                <w:bCs/>
                <w:sz w:val="24"/>
              </w:rPr>
              <w:t>搅拌机</w:t>
            </w:r>
            <w:r>
              <w:rPr>
                <w:rFonts w:cs="宋体"/>
                <w:bCs/>
                <w:sz w:val="24"/>
              </w:rPr>
              <w:t>清洗废水产生量为</w:t>
            </w:r>
            <w:r>
              <w:rPr>
                <w:rFonts w:hint="eastAsia" w:cs="宋体"/>
                <w:bCs/>
                <w:sz w:val="24"/>
              </w:rPr>
              <w:t>0.8</w:t>
            </w:r>
            <w:r>
              <w:rPr>
                <w:rFonts w:cs="宋体"/>
                <w:bCs/>
                <w:sz w:val="24"/>
              </w:rPr>
              <w:t>m</w:t>
            </w:r>
            <w:r>
              <w:rPr>
                <w:rFonts w:cs="宋体"/>
                <w:bCs/>
                <w:sz w:val="24"/>
                <w:vertAlign w:val="superscript"/>
              </w:rPr>
              <w:t>3</w:t>
            </w:r>
            <w:r>
              <w:rPr>
                <w:rFonts w:cs="宋体"/>
                <w:bCs/>
                <w:sz w:val="24"/>
              </w:rPr>
              <w:t>/d</w:t>
            </w:r>
            <w:r>
              <w:rPr>
                <w:rFonts w:hint="eastAsia" w:cs="宋体"/>
                <w:bCs/>
                <w:sz w:val="24"/>
              </w:rPr>
              <w:t>（160</w:t>
            </w:r>
            <w:r>
              <w:rPr>
                <w:rFonts w:cs="宋体"/>
                <w:bCs/>
                <w:sz w:val="24"/>
              </w:rPr>
              <w:t>m</w:t>
            </w:r>
            <w:r>
              <w:rPr>
                <w:rFonts w:cs="宋体"/>
                <w:bCs/>
                <w:sz w:val="24"/>
                <w:vertAlign w:val="superscript"/>
              </w:rPr>
              <w:t>3</w:t>
            </w:r>
            <w:r>
              <w:rPr>
                <w:rFonts w:cs="宋体"/>
                <w:bCs/>
                <w:sz w:val="24"/>
              </w:rPr>
              <w:t>/a</w:t>
            </w:r>
            <w:r>
              <w:rPr>
                <w:rFonts w:hint="eastAsia" w:cs="宋体"/>
                <w:bCs/>
                <w:sz w:val="24"/>
              </w:rPr>
              <w:t>）；</w:t>
            </w:r>
            <w:r>
              <w:rPr>
                <w:rFonts w:cs="宋体"/>
                <w:bCs/>
                <w:sz w:val="24"/>
              </w:rPr>
              <w:t>运输车辆清洗用水总量为5.0m</w:t>
            </w:r>
            <w:r>
              <w:rPr>
                <w:rFonts w:cs="宋体"/>
                <w:bCs/>
                <w:sz w:val="24"/>
                <w:vertAlign w:val="superscript"/>
              </w:rPr>
              <w:t>3</w:t>
            </w:r>
            <w:r>
              <w:rPr>
                <w:rFonts w:cs="宋体"/>
                <w:bCs/>
                <w:sz w:val="24"/>
              </w:rPr>
              <w:t>/</w:t>
            </w:r>
            <w:r>
              <w:rPr>
                <w:rFonts w:hint="eastAsia" w:cs="宋体"/>
                <w:bCs/>
                <w:sz w:val="24"/>
              </w:rPr>
              <w:t>次（</w:t>
            </w:r>
            <w:r>
              <w:rPr>
                <w:rFonts w:cs="宋体"/>
                <w:bCs/>
                <w:sz w:val="24"/>
              </w:rPr>
              <w:t>2</w:t>
            </w:r>
            <w:r>
              <w:rPr>
                <w:rFonts w:hint="eastAsia" w:cs="宋体"/>
                <w:bCs/>
                <w:sz w:val="24"/>
              </w:rPr>
              <w:t>50</w:t>
            </w:r>
            <w:r>
              <w:rPr>
                <w:rFonts w:cs="宋体"/>
                <w:bCs/>
                <w:sz w:val="24"/>
              </w:rPr>
              <w:t>m</w:t>
            </w:r>
            <w:r>
              <w:rPr>
                <w:rFonts w:cs="宋体"/>
                <w:bCs/>
                <w:sz w:val="24"/>
                <w:vertAlign w:val="superscript"/>
              </w:rPr>
              <w:t>3</w:t>
            </w:r>
            <w:r>
              <w:rPr>
                <w:rFonts w:cs="宋体"/>
                <w:bCs/>
                <w:sz w:val="24"/>
              </w:rPr>
              <w:t>/a</w:t>
            </w:r>
            <w:r>
              <w:rPr>
                <w:rFonts w:hint="eastAsia" w:cs="宋体"/>
                <w:bCs/>
                <w:sz w:val="24"/>
              </w:rPr>
              <w:t>），按照生产天数折算日用水量为</w:t>
            </w:r>
            <w:r>
              <w:rPr>
                <w:rFonts w:cs="宋体"/>
                <w:bCs/>
                <w:sz w:val="24"/>
              </w:rPr>
              <w:t>1.25m</w:t>
            </w:r>
            <w:r>
              <w:rPr>
                <w:rFonts w:cs="宋体"/>
                <w:bCs/>
                <w:sz w:val="24"/>
                <w:vertAlign w:val="superscript"/>
              </w:rPr>
              <w:t>3</w:t>
            </w:r>
            <w:r>
              <w:rPr>
                <w:rFonts w:cs="宋体"/>
                <w:bCs/>
                <w:sz w:val="24"/>
              </w:rPr>
              <w:t>/d</w:t>
            </w:r>
            <w:r>
              <w:rPr>
                <w:rFonts w:hint="eastAsia" w:cs="宋体"/>
                <w:bCs/>
                <w:sz w:val="24"/>
              </w:rPr>
              <w:t>，</w:t>
            </w:r>
            <w:r>
              <w:rPr>
                <w:rFonts w:cs="宋体"/>
                <w:bCs/>
                <w:sz w:val="24"/>
              </w:rPr>
              <w:t>废水的产生量按用水量的</w:t>
            </w:r>
            <w:r>
              <w:rPr>
                <w:rFonts w:hint="eastAsia" w:cs="宋体"/>
                <w:bCs/>
                <w:sz w:val="24"/>
              </w:rPr>
              <w:t>6</w:t>
            </w:r>
            <w:r>
              <w:rPr>
                <w:rFonts w:cs="宋体"/>
                <w:bCs/>
                <w:sz w:val="24"/>
              </w:rPr>
              <w:t>0%计算，则</w:t>
            </w:r>
            <w:r>
              <w:rPr>
                <w:rFonts w:hint="eastAsia" w:cs="宋体"/>
                <w:bCs/>
                <w:sz w:val="24"/>
              </w:rPr>
              <w:t>搅拌机</w:t>
            </w:r>
            <w:r>
              <w:rPr>
                <w:rFonts w:cs="宋体"/>
                <w:bCs/>
                <w:sz w:val="24"/>
              </w:rPr>
              <w:t>清洗废水产生量为3.0m</w:t>
            </w:r>
            <w:r>
              <w:rPr>
                <w:rFonts w:cs="宋体"/>
                <w:bCs/>
                <w:sz w:val="24"/>
                <w:vertAlign w:val="superscript"/>
              </w:rPr>
              <w:t>3</w:t>
            </w:r>
            <w:r>
              <w:rPr>
                <w:rFonts w:cs="宋体"/>
                <w:bCs/>
                <w:sz w:val="24"/>
              </w:rPr>
              <w:t>/</w:t>
            </w:r>
            <w:r>
              <w:rPr>
                <w:rFonts w:hint="eastAsia" w:cs="宋体"/>
                <w:bCs/>
                <w:sz w:val="24"/>
              </w:rPr>
              <w:t>次（</w:t>
            </w:r>
            <w:r>
              <w:rPr>
                <w:rFonts w:cs="宋体"/>
                <w:bCs/>
                <w:sz w:val="24"/>
              </w:rPr>
              <w:t>150m</w:t>
            </w:r>
            <w:r>
              <w:rPr>
                <w:rFonts w:cs="宋体"/>
                <w:bCs/>
                <w:sz w:val="24"/>
                <w:vertAlign w:val="superscript"/>
              </w:rPr>
              <w:t>3</w:t>
            </w:r>
            <w:r>
              <w:rPr>
                <w:rFonts w:cs="宋体"/>
                <w:bCs/>
                <w:sz w:val="24"/>
              </w:rPr>
              <w:t>/a</w:t>
            </w:r>
            <w:r>
              <w:rPr>
                <w:rFonts w:hint="eastAsia" w:cs="宋体"/>
                <w:bCs/>
                <w:sz w:val="24"/>
              </w:rPr>
              <w:t>），按照生产天数折算日排水量为0.</w:t>
            </w:r>
            <w:r>
              <w:rPr>
                <w:rFonts w:cs="宋体"/>
                <w:bCs/>
                <w:sz w:val="24"/>
              </w:rPr>
              <w:t>7</w:t>
            </w:r>
            <w:r>
              <w:rPr>
                <w:rFonts w:hint="eastAsia" w:cs="宋体"/>
                <w:bCs/>
                <w:sz w:val="24"/>
              </w:rPr>
              <w:t>5</w:t>
            </w:r>
            <w:r>
              <w:rPr>
                <w:rFonts w:cs="宋体"/>
                <w:bCs/>
                <w:sz w:val="24"/>
              </w:rPr>
              <w:t>m</w:t>
            </w:r>
            <w:r>
              <w:rPr>
                <w:rFonts w:cs="宋体"/>
                <w:bCs/>
                <w:sz w:val="24"/>
                <w:vertAlign w:val="superscript"/>
              </w:rPr>
              <w:t>3</w:t>
            </w:r>
            <w:r>
              <w:rPr>
                <w:rFonts w:cs="宋体"/>
                <w:bCs/>
                <w:sz w:val="24"/>
              </w:rPr>
              <w:t>/d</w:t>
            </w:r>
            <w:r>
              <w:rPr>
                <w:rFonts w:hint="eastAsia" w:cs="宋体"/>
                <w:bCs/>
                <w:sz w:val="24"/>
              </w:rPr>
              <w:t>；上述废水</w:t>
            </w:r>
            <w:r>
              <w:rPr>
                <w:rFonts w:cs="宋体"/>
                <w:bCs/>
                <w:sz w:val="24"/>
              </w:rPr>
              <w:t>经沉淀池处理取上清液回用生产。</w:t>
            </w:r>
          </w:p>
          <w:p>
            <w:pPr>
              <w:adjustRightInd w:val="0"/>
              <w:snapToGrid w:val="0"/>
              <w:spacing w:line="360" w:lineRule="auto"/>
              <w:ind w:firstLine="480" w:firstLineChars="200"/>
              <w:jc w:val="left"/>
              <w:rPr>
                <w:kern w:val="0"/>
                <w:sz w:val="24"/>
              </w:rPr>
            </w:pPr>
            <w:r>
              <w:rPr>
                <w:rFonts w:hint="eastAsia"/>
                <w:kern w:val="0"/>
                <w:sz w:val="24"/>
              </w:rPr>
              <w:t>搅拌机及运输车辆清洗废水产生后进入三级沉淀池</w:t>
            </w:r>
            <w:r>
              <w:rPr>
                <w:kern w:val="0"/>
                <w:sz w:val="24"/>
              </w:rPr>
              <w:t>，厂区设置三级沉淀池</w:t>
            </w:r>
            <w:r>
              <w:rPr>
                <w:rFonts w:hint="eastAsia"/>
                <w:kern w:val="0"/>
                <w:sz w:val="24"/>
              </w:rPr>
              <w:t>，三</w:t>
            </w:r>
            <w:r>
              <w:rPr>
                <w:kern w:val="0"/>
                <w:sz w:val="24"/>
              </w:rPr>
              <w:t>级沉淀池均为混凝土结构</w:t>
            </w:r>
            <w:r>
              <w:rPr>
                <w:rFonts w:hint="eastAsia"/>
                <w:kern w:val="0"/>
                <w:sz w:val="24"/>
              </w:rPr>
              <w:t>，</w:t>
            </w:r>
            <w:r>
              <w:rPr>
                <w:kern w:val="0"/>
                <w:sz w:val="24"/>
              </w:rPr>
              <w:t>容积均为</w:t>
            </w:r>
            <w:r>
              <w:rPr>
                <w:rFonts w:hint="eastAsia"/>
                <w:kern w:val="0"/>
                <w:sz w:val="24"/>
              </w:rPr>
              <w:t>1</w:t>
            </w:r>
            <w:r>
              <w:rPr>
                <w:kern w:val="0"/>
                <w:sz w:val="24"/>
              </w:rPr>
              <w:t>2</w:t>
            </w:r>
            <w:r>
              <w:rPr>
                <w:rFonts w:hint="eastAsia"/>
                <w:kern w:val="0"/>
                <w:sz w:val="24"/>
              </w:rPr>
              <w:t>5m</w:t>
            </w:r>
            <w:r>
              <w:rPr>
                <w:rFonts w:hint="eastAsia"/>
                <w:kern w:val="0"/>
                <w:sz w:val="24"/>
                <w:vertAlign w:val="superscript"/>
              </w:rPr>
              <w:t>3</w:t>
            </w:r>
            <w:r>
              <w:rPr>
                <w:rFonts w:hint="eastAsia"/>
                <w:kern w:val="0"/>
                <w:sz w:val="24"/>
              </w:rPr>
              <w:t>，厂区的生产废水经三级沉淀池沉淀处理后，全部回用，无外排。</w:t>
            </w:r>
            <w:r>
              <w:rPr>
                <w:kern w:val="0"/>
                <w:sz w:val="24"/>
              </w:rPr>
              <w:t>对沉淀池进行防渗后可实现长期稳定处理状态，对环境影响较小，措施可行。</w:t>
            </w:r>
          </w:p>
          <w:p>
            <w:pPr>
              <w:spacing w:line="360" w:lineRule="auto"/>
              <w:ind w:firstLine="420"/>
              <w:rPr>
                <w:rFonts w:cs="宋体"/>
                <w:bCs/>
                <w:sz w:val="24"/>
              </w:rPr>
            </w:pPr>
            <w:r>
              <w:rPr>
                <w:rFonts w:hint="eastAsia" w:cs="宋体"/>
                <w:bCs/>
                <w:sz w:val="24"/>
              </w:rPr>
              <w:t>（2）生活污水</w:t>
            </w:r>
          </w:p>
          <w:p>
            <w:pPr>
              <w:spacing w:line="360" w:lineRule="auto"/>
              <w:ind w:firstLine="420"/>
              <w:rPr>
                <w:rFonts w:cs="宋体"/>
                <w:bCs/>
                <w:sz w:val="24"/>
              </w:rPr>
            </w:pPr>
            <w:r>
              <w:rPr>
                <w:rFonts w:cs="宋体"/>
                <w:bCs/>
                <w:sz w:val="24"/>
              </w:rPr>
              <w:t>本项目生活污水量为0.128m</w:t>
            </w:r>
            <w:r>
              <w:rPr>
                <w:rFonts w:cs="宋体"/>
                <w:bCs/>
                <w:sz w:val="24"/>
                <w:vertAlign w:val="superscript"/>
              </w:rPr>
              <w:t>3</w:t>
            </w:r>
            <w:r>
              <w:rPr>
                <w:rFonts w:cs="宋体"/>
                <w:bCs/>
                <w:sz w:val="24"/>
              </w:rPr>
              <w:t>/d，25.6m</w:t>
            </w:r>
            <w:r>
              <w:rPr>
                <w:rFonts w:cs="宋体"/>
                <w:bCs/>
                <w:sz w:val="24"/>
                <w:vertAlign w:val="superscript"/>
              </w:rPr>
              <w:t>3</w:t>
            </w:r>
            <w:r>
              <w:rPr>
                <w:rFonts w:cs="宋体"/>
                <w:bCs/>
                <w:sz w:val="24"/>
              </w:rPr>
              <w:t>/a，</w:t>
            </w:r>
            <w:r>
              <w:rPr>
                <w:rFonts w:hint="eastAsia" w:cs="宋体"/>
                <w:bCs/>
                <w:sz w:val="24"/>
              </w:rPr>
              <w:t>污染物产生浓度为</w:t>
            </w:r>
            <w:r>
              <w:rPr>
                <w:rFonts w:cs="宋体"/>
                <w:bCs/>
                <w:sz w:val="24"/>
              </w:rPr>
              <w:t>COD350mg/L</w:t>
            </w:r>
            <w:r>
              <w:rPr>
                <w:rFonts w:hint="eastAsia" w:cs="宋体"/>
                <w:bCs/>
                <w:sz w:val="24"/>
              </w:rPr>
              <w:t>，</w:t>
            </w:r>
            <w:r>
              <w:rPr>
                <w:rFonts w:cs="宋体"/>
                <w:bCs/>
                <w:sz w:val="24"/>
              </w:rPr>
              <w:t>BOD</w:t>
            </w:r>
            <w:r>
              <w:rPr>
                <w:rFonts w:cs="宋体"/>
                <w:bCs/>
                <w:sz w:val="24"/>
                <w:vertAlign w:val="subscript"/>
              </w:rPr>
              <w:t>5</w:t>
            </w:r>
            <w:r>
              <w:rPr>
                <w:rFonts w:cs="宋体"/>
                <w:bCs/>
                <w:sz w:val="24"/>
              </w:rPr>
              <w:t>200mg/L</w:t>
            </w:r>
            <w:r>
              <w:rPr>
                <w:rFonts w:hint="eastAsia" w:cs="宋体"/>
                <w:bCs/>
                <w:sz w:val="24"/>
              </w:rPr>
              <w:t>，</w:t>
            </w:r>
            <w:r>
              <w:rPr>
                <w:rFonts w:cs="宋体"/>
                <w:bCs/>
                <w:sz w:val="24"/>
              </w:rPr>
              <w:t>SS300mg/L</w:t>
            </w:r>
            <w:r>
              <w:rPr>
                <w:rFonts w:hint="eastAsia" w:cs="宋体"/>
                <w:bCs/>
                <w:sz w:val="24"/>
              </w:rPr>
              <w:t>，氨氮</w:t>
            </w:r>
            <w:r>
              <w:rPr>
                <w:rFonts w:cs="宋体"/>
                <w:bCs/>
                <w:sz w:val="24"/>
              </w:rPr>
              <w:t>35mg/L</w:t>
            </w:r>
            <w:r>
              <w:rPr>
                <w:rFonts w:hint="eastAsia" w:cs="宋体"/>
                <w:bCs/>
                <w:sz w:val="24"/>
              </w:rPr>
              <w:t>。</w:t>
            </w:r>
            <w:r>
              <w:rPr>
                <w:rFonts w:cs="宋体"/>
                <w:bCs/>
                <w:sz w:val="24"/>
              </w:rPr>
              <w:t>生活污水</w:t>
            </w:r>
            <w:r>
              <w:rPr>
                <w:rFonts w:hint="eastAsia" w:cs="宋体"/>
                <w:bCs/>
                <w:sz w:val="24"/>
              </w:rPr>
              <w:t>经化粪池收集后，定期拉运至札萨克镇台格办事处污水处理厂处理</w:t>
            </w:r>
            <w:r>
              <w:rPr>
                <w:rFonts w:cs="宋体"/>
                <w:bCs/>
                <w:sz w:val="24"/>
              </w:rPr>
              <w:t>。生活污水</w:t>
            </w:r>
            <w:r>
              <w:rPr>
                <w:rFonts w:hint="eastAsia" w:cs="宋体"/>
                <w:bCs/>
                <w:sz w:val="24"/>
              </w:rPr>
              <w:t>执行</w:t>
            </w:r>
            <w:r>
              <w:rPr>
                <w:rFonts w:cs="宋体"/>
                <w:bCs/>
                <w:sz w:val="24"/>
              </w:rPr>
              <w:t>《污水综合排放标准》（GB8978-1996）三级标准</w:t>
            </w:r>
            <w:r>
              <w:rPr>
                <w:rFonts w:hint="eastAsia" w:cs="宋体"/>
                <w:bCs/>
                <w:sz w:val="24"/>
              </w:rPr>
              <w:t>。</w:t>
            </w:r>
          </w:p>
          <w:p>
            <w:pPr>
              <w:adjustRightInd w:val="0"/>
              <w:snapToGrid w:val="0"/>
              <w:spacing w:line="360" w:lineRule="auto"/>
              <w:ind w:firstLine="480" w:firstLineChars="200"/>
              <w:jc w:val="left"/>
              <w:rPr>
                <w:kern w:val="0"/>
                <w:sz w:val="24"/>
              </w:rPr>
            </w:pPr>
            <w:r>
              <w:rPr>
                <w:rFonts w:hint="eastAsia"/>
                <w:kern w:val="0"/>
                <w:sz w:val="24"/>
              </w:rPr>
              <w:t>札萨克镇台格办事处污水处理厂于2</w:t>
            </w:r>
            <w:r>
              <w:rPr>
                <w:kern w:val="0"/>
                <w:sz w:val="24"/>
              </w:rPr>
              <w:t>020</w:t>
            </w:r>
            <w:r>
              <w:rPr>
                <w:rFonts w:hint="eastAsia"/>
                <w:kern w:val="0"/>
                <w:sz w:val="24"/>
              </w:rPr>
              <w:t>年9月2</w:t>
            </w:r>
            <w:r>
              <w:rPr>
                <w:kern w:val="0"/>
                <w:sz w:val="24"/>
              </w:rPr>
              <w:t>7</w:t>
            </w:r>
            <w:r>
              <w:rPr>
                <w:rFonts w:hint="eastAsia"/>
                <w:kern w:val="0"/>
                <w:sz w:val="24"/>
              </w:rPr>
              <w:t>日，取得《鄂尔多斯市生态环境局伊金霍洛旗分局关于札萨克镇台格办事处污水处理厂项目环境影响报告表的批复》（伊环审字</w:t>
            </w:r>
            <w:r>
              <w:rPr>
                <w:kern w:val="0"/>
                <w:sz w:val="24"/>
              </w:rPr>
              <w:t>[</w:t>
            </w:r>
            <w:r>
              <w:rPr>
                <w:rFonts w:hint="eastAsia"/>
                <w:kern w:val="0"/>
                <w:sz w:val="24"/>
              </w:rPr>
              <w:t>2020</w:t>
            </w:r>
            <w:r>
              <w:rPr>
                <w:kern w:val="0"/>
                <w:sz w:val="24"/>
              </w:rPr>
              <w:t>]</w:t>
            </w:r>
            <w:r>
              <w:rPr>
                <w:rFonts w:hint="eastAsia"/>
                <w:kern w:val="0"/>
                <w:sz w:val="24"/>
              </w:rPr>
              <w:t>57 号），项目采用“A/</w:t>
            </w:r>
            <w:r>
              <w:rPr>
                <w:kern w:val="0"/>
                <w:sz w:val="24"/>
              </w:rPr>
              <w:t>O</w:t>
            </w:r>
            <w:r>
              <w:rPr>
                <w:rFonts w:hint="eastAsia"/>
                <w:kern w:val="0"/>
                <w:sz w:val="24"/>
              </w:rPr>
              <w:t>工艺+MBR”处理工艺，设计处理规模为100m</w:t>
            </w:r>
            <w:r>
              <w:rPr>
                <w:kern w:val="0"/>
                <w:sz w:val="24"/>
                <w:vertAlign w:val="superscript"/>
              </w:rPr>
              <w:t>3</w:t>
            </w:r>
            <w:r>
              <w:rPr>
                <w:rFonts w:hint="eastAsia"/>
                <w:kern w:val="0"/>
                <w:sz w:val="24"/>
              </w:rPr>
              <w:t>/d，目前的规模为6</w:t>
            </w:r>
            <w:r>
              <w:rPr>
                <w:kern w:val="0"/>
                <w:sz w:val="24"/>
              </w:rPr>
              <w:t>2</w:t>
            </w:r>
            <w:r>
              <w:rPr>
                <w:rFonts w:hint="eastAsia"/>
                <w:kern w:val="0"/>
                <w:sz w:val="24"/>
              </w:rPr>
              <w:t>m</w:t>
            </w:r>
            <w:r>
              <w:rPr>
                <w:kern w:val="0"/>
                <w:sz w:val="24"/>
                <w:vertAlign w:val="superscript"/>
              </w:rPr>
              <w:t>3</w:t>
            </w:r>
            <w:r>
              <w:rPr>
                <w:kern w:val="0"/>
                <w:sz w:val="24"/>
              </w:rPr>
              <w:t>/</w:t>
            </w:r>
            <w:r>
              <w:rPr>
                <w:rFonts w:hint="eastAsia"/>
                <w:kern w:val="0"/>
                <w:sz w:val="24"/>
              </w:rPr>
              <w:t>d。污水处理站出水水质满足《城市污水再生利用 城市杂用水水质》（GB18920-2002）相关标准后回用于巴音昌呼格草原牧家乐绿化、及本项目生产用水。</w:t>
            </w:r>
          </w:p>
          <w:p>
            <w:pPr>
              <w:adjustRightInd w:val="0"/>
              <w:snapToGrid w:val="0"/>
              <w:spacing w:line="360" w:lineRule="auto"/>
              <w:ind w:firstLine="480" w:firstLineChars="200"/>
              <w:jc w:val="left"/>
              <w:rPr>
                <w:bCs/>
                <w:sz w:val="24"/>
                <w:lang w:bidi="ar"/>
              </w:rPr>
            </w:pPr>
            <w:r>
              <w:rPr>
                <w:kern w:val="0"/>
                <w:sz w:val="24"/>
              </w:rPr>
              <w:t>项目生活污水产生量较少，污染物单一，浓度低，</w:t>
            </w:r>
            <w:r>
              <w:rPr>
                <w:bCs/>
                <w:sz w:val="24"/>
                <w:lang w:bidi="ar"/>
              </w:rPr>
              <w:t>生活污水</w:t>
            </w:r>
            <w:r>
              <w:rPr>
                <w:rFonts w:hint="eastAsia"/>
                <w:bCs/>
                <w:sz w:val="24"/>
                <w:lang w:bidi="ar"/>
              </w:rPr>
              <w:t>经化粪池收集后，定期拉运至札萨克镇台格办事处污水处理厂处理</w:t>
            </w:r>
            <w:r>
              <w:rPr>
                <w:kern w:val="0"/>
                <w:sz w:val="24"/>
                <w:lang w:bidi="ar"/>
              </w:rPr>
              <w:t>，措施可行。</w:t>
            </w:r>
          </w:p>
          <w:p>
            <w:pPr>
              <w:spacing w:line="360" w:lineRule="auto"/>
              <w:ind w:firstLine="420"/>
              <w:rPr>
                <w:b/>
                <w:sz w:val="24"/>
                <w:lang w:bidi="ar"/>
              </w:rPr>
            </w:pPr>
            <w:r>
              <w:rPr>
                <w:rFonts w:cs="宋体"/>
                <w:bCs/>
                <w:sz w:val="24"/>
              </w:rPr>
              <w:t>因此，本项目对周围水环境影响较小。</w:t>
            </w:r>
          </w:p>
          <w:p>
            <w:pPr>
              <w:adjustRightInd w:val="0"/>
              <w:snapToGrid w:val="0"/>
              <w:spacing w:line="360" w:lineRule="auto"/>
              <w:rPr>
                <w:b/>
                <w:kern w:val="0"/>
                <w:sz w:val="24"/>
              </w:rPr>
            </w:pPr>
            <w:r>
              <w:rPr>
                <w:b/>
                <w:kern w:val="0"/>
                <w:sz w:val="24"/>
              </w:rPr>
              <w:t>3</w:t>
            </w:r>
            <w:r>
              <w:rPr>
                <w:rFonts w:hint="eastAsia"/>
                <w:b/>
                <w:kern w:val="0"/>
                <w:sz w:val="24"/>
              </w:rPr>
              <w:t>、</w:t>
            </w:r>
            <w:r>
              <w:rPr>
                <w:b/>
                <w:kern w:val="0"/>
                <w:sz w:val="24"/>
              </w:rPr>
              <w:t>噪声</w:t>
            </w:r>
          </w:p>
          <w:p>
            <w:pPr>
              <w:adjustRightInd w:val="0"/>
              <w:snapToGrid w:val="0"/>
              <w:spacing w:line="360" w:lineRule="auto"/>
              <w:rPr>
                <w:b/>
                <w:bCs/>
                <w:sz w:val="24"/>
              </w:rPr>
            </w:pPr>
            <w:r>
              <w:rPr>
                <w:rFonts w:hint="eastAsia"/>
                <w:b/>
                <w:bCs/>
                <w:sz w:val="24"/>
              </w:rPr>
              <w:t>3</w:t>
            </w:r>
            <w:r>
              <w:rPr>
                <w:b/>
                <w:bCs/>
                <w:sz w:val="24"/>
              </w:rPr>
              <w:t>.1</w:t>
            </w:r>
            <w:r>
              <w:rPr>
                <w:rFonts w:hint="eastAsia"/>
                <w:b/>
                <w:bCs/>
                <w:sz w:val="24"/>
              </w:rPr>
              <w:t>噪声</w:t>
            </w:r>
            <w:r>
              <w:rPr>
                <w:b/>
                <w:bCs/>
                <w:sz w:val="24"/>
              </w:rPr>
              <w:t>源强及治理措施</w:t>
            </w:r>
          </w:p>
          <w:p>
            <w:pPr>
              <w:spacing w:line="360" w:lineRule="auto"/>
              <w:ind w:firstLine="480" w:firstLineChars="200"/>
              <w:rPr>
                <w:rFonts w:ascii="宋体"/>
                <w:sz w:val="24"/>
              </w:rPr>
            </w:pPr>
            <w:r>
              <w:rPr>
                <w:bCs/>
                <w:sz w:val="24"/>
              </w:rPr>
              <w:t>项目噪声主要来源于搅拌机、装载机、物料传输装置运转过程中产生的噪声。根据设计，项目各噪声设备采取的降噪措施，对噪声有一定衰减，详见表4-2。</w:t>
            </w:r>
          </w:p>
          <w:p>
            <w:pPr>
              <w:pStyle w:val="22"/>
            </w:pPr>
          </w:p>
          <w:p>
            <w:pPr>
              <w:pStyle w:val="22"/>
            </w:pPr>
          </w:p>
          <w:p>
            <w:pPr>
              <w:pStyle w:val="22"/>
            </w:pPr>
          </w:p>
          <w:p>
            <w:pPr>
              <w:pStyle w:val="22"/>
            </w:pPr>
          </w:p>
          <w:p>
            <w:pPr>
              <w:pStyle w:val="22"/>
            </w:pPr>
            <w:r>
              <w:t>表4-2 各声源设备的噪声级</w:t>
            </w:r>
          </w:p>
          <w:tbl>
            <w:tblPr>
              <w:tblStyle w:val="14"/>
              <w:tblW w:w="82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535"/>
              <w:gridCol w:w="3510"/>
              <w:gridCol w:w="17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adjustRightInd w:val="0"/>
                    <w:spacing w:before="80" w:after="80"/>
                    <w:jc w:val="center"/>
                    <w:textAlignment w:val="baseline"/>
                    <w:rPr>
                      <w:kern w:val="0"/>
                      <w:szCs w:val="21"/>
                    </w:rPr>
                  </w:pPr>
                  <w:r>
                    <w:rPr>
                      <w:kern w:val="0"/>
                      <w:szCs w:val="21"/>
                    </w:rPr>
                    <w:t>设备名称</w:t>
                  </w:r>
                </w:p>
              </w:tc>
              <w:tc>
                <w:tcPr>
                  <w:tcW w:w="1535" w:type="dxa"/>
                  <w:vAlign w:val="center"/>
                </w:tcPr>
                <w:p>
                  <w:pPr>
                    <w:adjustRightInd w:val="0"/>
                    <w:spacing w:before="80" w:after="80"/>
                    <w:jc w:val="center"/>
                    <w:textAlignment w:val="baseline"/>
                    <w:rPr>
                      <w:kern w:val="0"/>
                      <w:szCs w:val="21"/>
                    </w:rPr>
                  </w:pPr>
                  <w:r>
                    <w:rPr>
                      <w:kern w:val="0"/>
                      <w:szCs w:val="21"/>
                    </w:rPr>
                    <w:t>声级值</w:t>
                  </w:r>
                </w:p>
                <w:p>
                  <w:pPr>
                    <w:adjustRightInd w:val="0"/>
                    <w:spacing w:before="80" w:after="80"/>
                    <w:jc w:val="center"/>
                    <w:textAlignment w:val="baseline"/>
                    <w:rPr>
                      <w:kern w:val="0"/>
                      <w:szCs w:val="21"/>
                    </w:rPr>
                  </w:pPr>
                  <w:r>
                    <w:rPr>
                      <w:kern w:val="0"/>
                      <w:szCs w:val="21"/>
                    </w:rPr>
                    <w:t>dB（A）</w:t>
                  </w:r>
                </w:p>
              </w:tc>
              <w:tc>
                <w:tcPr>
                  <w:tcW w:w="3510" w:type="dxa"/>
                  <w:vAlign w:val="center"/>
                </w:tcPr>
                <w:p>
                  <w:pPr>
                    <w:adjustRightInd w:val="0"/>
                    <w:spacing w:before="80" w:after="80"/>
                    <w:jc w:val="center"/>
                    <w:textAlignment w:val="baseline"/>
                    <w:rPr>
                      <w:kern w:val="0"/>
                      <w:szCs w:val="21"/>
                    </w:rPr>
                  </w:pPr>
                  <w:r>
                    <w:rPr>
                      <w:kern w:val="0"/>
                      <w:szCs w:val="21"/>
                    </w:rPr>
                    <w:t>降噪措施</w:t>
                  </w:r>
                </w:p>
              </w:tc>
              <w:tc>
                <w:tcPr>
                  <w:tcW w:w="1764" w:type="dxa"/>
                  <w:vAlign w:val="center"/>
                </w:tcPr>
                <w:p>
                  <w:pPr>
                    <w:adjustRightInd w:val="0"/>
                    <w:spacing w:before="80" w:after="80"/>
                    <w:jc w:val="center"/>
                    <w:textAlignment w:val="baseline"/>
                    <w:rPr>
                      <w:kern w:val="0"/>
                      <w:szCs w:val="21"/>
                    </w:rPr>
                  </w:pPr>
                  <w:r>
                    <w:rPr>
                      <w:kern w:val="0"/>
                      <w:szCs w:val="21"/>
                    </w:rPr>
                    <w:t>采取措施后源强dB（A）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snapToGrid w:val="0"/>
                    <w:jc w:val="center"/>
                    <w:rPr>
                      <w:szCs w:val="21"/>
                    </w:rPr>
                  </w:pPr>
                  <w:r>
                    <w:rPr>
                      <w:szCs w:val="21"/>
                    </w:rPr>
                    <w:t>搅拌机</w:t>
                  </w:r>
                </w:p>
              </w:tc>
              <w:tc>
                <w:tcPr>
                  <w:tcW w:w="1535" w:type="dxa"/>
                  <w:vAlign w:val="center"/>
                </w:tcPr>
                <w:p>
                  <w:pPr>
                    <w:snapToGrid w:val="0"/>
                    <w:jc w:val="center"/>
                    <w:rPr>
                      <w:szCs w:val="21"/>
                    </w:rPr>
                  </w:pPr>
                  <w:r>
                    <w:rPr>
                      <w:szCs w:val="21"/>
                    </w:rPr>
                    <w:t>93</w:t>
                  </w:r>
                </w:p>
              </w:tc>
              <w:tc>
                <w:tcPr>
                  <w:tcW w:w="3510" w:type="dxa"/>
                  <w:vAlign w:val="center"/>
                </w:tcPr>
                <w:p>
                  <w:pPr>
                    <w:snapToGrid w:val="0"/>
                    <w:jc w:val="center"/>
                    <w:rPr>
                      <w:szCs w:val="21"/>
                    </w:rPr>
                  </w:pPr>
                  <w:r>
                    <w:rPr>
                      <w:szCs w:val="21"/>
                    </w:rPr>
                    <w:t>隔声、减振，设备置于搅拌车间内</w:t>
                  </w:r>
                </w:p>
              </w:tc>
              <w:tc>
                <w:tcPr>
                  <w:tcW w:w="1764" w:type="dxa"/>
                  <w:vAlign w:val="center"/>
                </w:tcPr>
                <w:p>
                  <w:pPr>
                    <w:snapToGrid w:val="0"/>
                    <w:jc w:val="center"/>
                    <w:rPr>
                      <w:szCs w:val="21"/>
                    </w:rPr>
                  </w:pPr>
                  <w:r>
                    <w:rPr>
                      <w:szCs w:val="21"/>
                    </w:rPr>
                    <w:t>7</w:t>
                  </w:r>
                  <w:r>
                    <w:rPr>
                      <w:rFonts w:hint="eastAsia"/>
                      <w:szCs w:val="21"/>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snapToGrid w:val="0"/>
                    <w:jc w:val="center"/>
                    <w:rPr>
                      <w:szCs w:val="21"/>
                    </w:rPr>
                  </w:pPr>
                  <w:r>
                    <w:rPr>
                      <w:szCs w:val="21"/>
                    </w:rPr>
                    <w:t>输送带</w:t>
                  </w:r>
                </w:p>
              </w:tc>
              <w:tc>
                <w:tcPr>
                  <w:tcW w:w="1535" w:type="dxa"/>
                  <w:vAlign w:val="center"/>
                </w:tcPr>
                <w:p>
                  <w:pPr>
                    <w:snapToGrid w:val="0"/>
                    <w:jc w:val="center"/>
                    <w:rPr>
                      <w:szCs w:val="21"/>
                    </w:rPr>
                  </w:pPr>
                  <w:r>
                    <w:rPr>
                      <w:szCs w:val="21"/>
                    </w:rPr>
                    <w:t>70</w:t>
                  </w:r>
                </w:p>
              </w:tc>
              <w:tc>
                <w:tcPr>
                  <w:tcW w:w="3510" w:type="dxa"/>
                  <w:vAlign w:val="center"/>
                </w:tcPr>
                <w:p>
                  <w:pPr>
                    <w:snapToGrid w:val="0"/>
                    <w:jc w:val="center"/>
                    <w:rPr>
                      <w:szCs w:val="21"/>
                    </w:rPr>
                  </w:pPr>
                  <w:r>
                    <w:rPr>
                      <w:szCs w:val="21"/>
                    </w:rPr>
                    <w:t>减振、密闭运输</w:t>
                  </w:r>
                </w:p>
              </w:tc>
              <w:tc>
                <w:tcPr>
                  <w:tcW w:w="1764" w:type="dxa"/>
                  <w:vAlign w:val="center"/>
                </w:tcPr>
                <w:p>
                  <w:pPr>
                    <w:snapToGrid w:val="0"/>
                    <w:jc w:val="center"/>
                    <w:rPr>
                      <w:szCs w:val="21"/>
                    </w:rPr>
                  </w:pPr>
                  <w:r>
                    <w:rPr>
                      <w:rFonts w:hint="eastAsia"/>
                      <w:szCs w:val="21"/>
                    </w:rPr>
                    <w:t>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snapToGrid w:val="0"/>
                    <w:jc w:val="center"/>
                    <w:rPr>
                      <w:szCs w:val="21"/>
                    </w:rPr>
                  </w:pPr>
                  <w:r>
                    <w:rPr>
                      <w:szCs w:val="21"/>
                    </w:rPr>
                    <w:t>螺旋输送机</w:t>
                  </w:r>
                </w:p>
              </w:tc>
              <w:tc>
                <w:tcPr>
                  <w:tcW w:w="1535" w:type="dxa"/>
                  <w:vAlign w:val="center"/>
                </w:tcPr>
                <w:p>
                  <w:pPr>
                    <w:snapToGrid w:val="0"/>
                    <w:jc w:val="center"/>
                    <w:rPr>
                      <w:szCs w:val="21"/>
                    </w:rPr>
                  </w:pPr>
                  <w:r>
                    <w:rPr>
                      <w:szCs w:val="21"/>
                    </w:rPr>
                    <w:t>85（正常工况）</w:t>
                  </w:r>
                </w:p>
              </w:tc>
              <w:tc>
                <w:tcPr>
                  <w:tcW w:w="3510" w:type="dxa"/>
                  <w:vAlign w:val="center"/>
                </w:tcPr>
                <w:p>
                  <w:pPr>
                    <w:snapToGrid w:val="0"/>
                    <w:jc w:val="center"/>
                    <w:rPr>
                      <w:szCs w:val="21"/>
                    </w:rPr>
                  </w:pPr>
                  <w:r>
                    <w:rPr>
                      <w:szCs w:val="21"/>
                    </w:rPr>
                    <w:t>减振</w:t>
                  </w:r>
                </w:p>
              </w:tc>
              <w:tc>
                <w:tcPr>
                  <w:tcW w:w="1764" w:type="dxa"/>
                  <w:vAlign w:val="center"/>
                </w:tcPr>
                <w:p>
                  <w:pPr>
                    <w:snapToGrid w:val="0"/>
                    <w:jc w:val="center"/>
                    <w:rPr>
                      <w:szCs w:val="21"/>
                    </w:rPr>
                  </w:pPr>
                  <w:r>
                    <w:rPr>
                      <w:szCs w:val="21"/>
                    </w:rPr>
                    <w:t>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snapToGrid w:val="0"/>
                    <w:jc w:val="center"/>
                    <w:rPr>
                      <w:szCs w:val="21"/>
                    </w:rPr>
                  </w:pPr>
                  <w:r>
                    <w:rPr>
                      <w:szCs w:val="21"/>
                    </w:rPr>
                    <w:t>水泵</w:t>
                  </w:r>
                </w:p>
              </w:tc>
              <w:tc>
                <w:tcPr>
                  <w:tcW w:w="1535" w:type="dxa"/>
                  <w:vAlign w:val="center"/>
                </w:tcPr>
                <w:p>
                  <w:pPr>
                    <w:snapToGrid w:val="0"/>
                    <w:jc w:val="center"/>
                    <w:rPr>
                      <w:szCs w:val="21"/>
                    </w:rPr>
                  </w:pPr>
                  <w:r>
                    <w:rPr>
                      <w:szCs w:val="21"/>
                    </w:rPr>
                    <w:t>85</w:t>
                  </w:r>
                </w:p>
              </w:tc>
              <w:tc>
                <w:tcPr>
                  <w:tcW w:w="3510" w:type="dxa"/>
                  <w:vAlign w:val="center"/>
                </w:tcPr>
                <w:p>
                  <w:pPr>
                    <w:snapToGrid w:val="0"/>
                    <w:jc w:val="center"/>
                    <w:rPr>
                      <w:szCs w:val="21"/>
                    </w:rPr>
                  </w:pPr>
                  <w:r>
                    <w:rPr>
                      <w:szCs w:val="21"/>
                    </w:rPr>
                    <w:t>减振、隔声、设备置于搅拌车间内</w:t>
                  </w:r>
                </w:p>
              </w:tc>
              <w:tc>
                <w:tcPr>
                  <w:tcW w:w="1764" w:type="dxa"/>
                  <w:vAlign w:val="center"/>
                </w:tcPr>
                <w:p>
                  <w:pPr>
                    <w:snapToGrid w:val="0"/>
                    <w:jc w:val="center"/>
                    <w:rPr>
                      <w:szCs w:val="21"/>
                    </w:rPr>
                  </w:pPr>
                  <w:r>
                    <w:rPr>
                      <w:szCs w:val="21"/>
                    </w:rPr>
                    <w:t>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snapToGrid w:val="0"/>
                    <w:jc w:val="center"/>
                    <w:rPr>
                      <w:szCs w:val="21"/>
                    </w:rPr>
                  </w:pPr>
                  <w:r>
                    <w:rPr>
                      <w:szCs w:val="21"/>
                    </w:rPr>
                    <w:t>砂石分离机</w:t>
                  </w:r>
                </w:p>
              </w:tc>
              <w:tc>
                <w:tcPr>
                  <w:tcW w:w="1535" w:type="dxa"/>
                  <w:vAlign w:val="center"/>
                </w:tcPr>
                <w:p>
                  <w:pPr>
                    <w:snapToGrid w:val="0"/>
                    <w:jc w:val="center"/>
                    <w:rPr>
                      <w:szCs w:val="21"/>
                    </w:rPr>
                  </w:pPr>
                  <w:r>
                    <w:rPr>
                      <w:szCs w:val="21"/>
                    </w:rPr>
                    <w:t>80</w:t>
                  </w:r>
                </w:p>
              </w:tc>
              <w:tc>
                <w:tcPr>
                  <w:tcW w:w="3510" w:type="dxa"/>
                  <w:vAlign w:val="center"/>
                </w:tcPr>
                <w:p>
                  <w:pPr>
                    <w:snapToGrid w:val="0"/>
                    <w:jc w:val="center"/>
                    <w:rPr>
                      <w:szCs w:val="21"/>
                    </w:rPr>
                  </w:pPr>
                  <w:r>
                    <w:rPr>
                      <w:szCs w:val="21"/>
                    </w:rPr>
                    <w:t>减振</w:t>
                  </w:r>
                </w:p>
              </w:tc>
              <w:tc>
                <w:tcPr>
                  <w:tcW w:w="1764" w:type="dxa"/>
                  <w:vAlign w:val="center"/>
                </w:tcPr>
                <w:p>
                  <w:pPr>
                    <w:snapToGrid w:val="0"/>
                    <w:jc w:val="center"/>
                    <w:rPr>
                      <w:szCs w:val="21"/>
                    </w:rPr>
                  </w:pPr>
                  <w:r>
                    <w:rPr>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3" w:type="dxa"/>
                  <w:vAlign w:val="center"/>
                </w:tcPr>
                <w:p>
                  <w:pPr>
                    <w:snapToGrid w:val="0"/>
                    <w:jc w:val="center"/>
                    <w:rPr>
                      <w:szCs w:val="21"/>
                    </w:rPr>
                  </w:pPr>
                  <w:r>
                    <w:rPr>
                      <w:szCs w:val="21"/>
                    </w:rPr>
                    <w:t>空压机</w:t>
                  </w:r>
                </w:p>
              </w:tc>
              <w:tc>
                <w:tcPr>
                  <w:tcW w:w="1535" w:type="dxa"/>
                  <w:vAlign w:val="center"/>
                </w:tcPr>
                <w:p>
                  <w:pPr>
                    <w:snapToGrid w:val="0"/>
                    <w:jc w:val="center"/>
                    <w:rPr>
                      <w:szCs w:val="21"/>
                    </w:rPr>
                  </w:pPr>
                  <w:r>
                    <w:rPr>
                      <w:szCs w:val="21"/>
                    </w:rPr>
                    <w:t>80</w:t>
                  </w:r>
                </w:p>
              </w:tc>
              <w:tc>
                <w:tcPr>
                  <w:tcW w:w="3510" w:type="dxa"/>
                  <w:vAlign w:val="center"/>
                </w:tcPr>
                <w:p>
                  <w:pPr>
                    <w:snapToGrid w:val="0"/>
                    <w:jc w:val="center"/>
                    <w:rPr>
                      <w:szCs w:val="21"/>
                    </w:rPr>
                  </w:pPr>
                  <w:r>
                    <w:rPr>
                      <w:szCs w:val="21"/>
                    </w:rPr>
                    <w:t>减振、置于搅拌车间内</w:t>
                  </w:r>
                </w:p>
              </w:tc>
              <w:tc>
                <w:tcPr>
                  <w:tcW w:w="1764" w:type="dxa"/>
                  <w:vAlign w:val="center"/>
                </w:tcPr>
                <w:p>
                  <w:pPr>
                    <w:snapToGrid w:val="0"/>
                    <w:jc w:val="center"/>
                    <w:rPr>
                      <w:szCs w:val="21"/>
                    </w:rPr>
                  </w:pPr>
                  <w:r>
                    <w:rPr>
                      <w:szCs w:val="21"/>
                    </w:rPr>
                    <w:t>65</w:t>
                  </w:r>
                </w:p>
              </w:tc>
            </w:tr>
          </w:tbl>
          <w:p>
            <w:pPr>
              <w:spacing w:line="360" w:lineRule="auto"/>
              <w:ind w:firstLine="420" w:firstLineChars="200"/>
              <w:rPr>
                <w:bCs/>
                <w:szCs w:val="21"/>
              </w:rPr>
            </w:pPr>
          </w:p>
          <w:p>
            <w:pPr>
              <w:adjustRightInd w:val="0"/>
              <w:snapToGrid w:val="0"/>
              <w:spacing w:line="360" w:lineRule="auto"/>
              <w:rPr>
                <w:b/>
                <w:bCs/>
                <w:sz w:val="24"/>
              </w:rPr>
            </w:pPr>
            <w:r>
              <w:rPr>
                <w:b/>
                <w:bCs/>
                <w:sz w:val="24"/>
              </w:rPr>
              <w:t>3.2</w:t>
            </w:r>
            <w:r>
              <w:rPr>
                <w:rFonts w:hint="eastAsia"/>
                <w:b/>
                <w:bCs/>
                <w:sz w:val="24"/>
              </w:rPr>
              <w:t>噪声预测及</w:t>
            </w:r>
            <w:r>
              <w:rPr>
                <w:b/>
                <w:bCs/>
                <w:sz w:val="24"/>
              </w:rPr>
              <w:t>达标情况</w:t>
            </w:r>
          </w:p>
          <w:p>
            <w:pPr>
              <w:spacing w:line="360" w:lineRule="auto"/>
              <w:ind w:firstLine="480" w:firstLineChars="200"/>
              <w:rPr>
                <w:bCs/>
                <w:sz w:val="24"/>
              </w:rPr>
            </w:pPr>
            <w:r>
              <w:rPr>
                <w:rFonts w:hint="eastAsia"/>
                <w:bCs/>
                <w:sz w:val="24"/>
              </w:rPr>
              <w:t>根据本项目特点及厂区情况，本评价重点考虑噪声源至受声点的距离衰减和厂房围护结构的屏蔽效应，忽略空气吸收、树木及其它地面效应。声级的计算采用《环境影响评价技术导则 声环境》（HJ2.4-20</w:t>
            </w:r>
            <w:r>
              <w:rPr>
                <w:bCs/>
                <w:sz w:val="24"/>
              </w:rPr>
              <w:t>21</w:t>
            </w:r>
            <w:r>
              <w:rPr>
                <w:rFonts w:hint="eastAsia"/>
                <w:bCs/>
                <w:sz w:val="24"/>
              </w:rPr>
              <w:t>）中点声源几何发散衰减的基本公式，计算公式如下：</w:t>
            </w:r>
          </w:p>
          <w:p>
            <w:pPr>
              <w:spacing w:line="360" w:lineRule="auto"/>
              <w:ind w:firstLine="480" w:firstLineChars="200"/>
              <w:jc w:val="center"/>
              <w:rPr>
                <w:bCs/>
                <w:sz w:val="24"/>
              </w:rPr>
            </w:pPr>
            <w:r>
              <w:rPr>
                <w:rFonts w:hint="eastAsia"/>
                <w:bCs/>
                <w:sz w:val="24"/>
              </w:rPr>
              <w:t>Lp（r）=Lp（r</w:t>
            </w:r>
            <w:r>
              <w:rPr>
                <w:rFonts w:hint="eastAsia"/>
                <w:bCs/>
                <w:sz w:val="24"/>
                <w:vertAlign w:val="subscript"/>
              </w:rPr>
              <w:t>0</w:t>
            </w:r>
            <w:r>
              <w:rPr>
                <w:rFonts w:hint="eastAsia"/>
                <w:bCs/>
                <w:sz w:val="24"/>
              </w:rPr>
              <w:t>）-20lg(r/r</w:t>
            </w:r>
            <w:r>
              <w:rPr>
                <w:rFonts w:hint="eastAsia"/>
                <w:bCs/>
                <w:sz w:val="24"/>
                <w:vertAlign w:val="subscript"/>
              </w:rPr>
              <w:t>0</w:t>
            </w:r>
            <w:r>
              <w:rPr>
                <w:rFonts w:hint="eastAsia"/>
                <w:bCs/>
                <w:sz w:val="24"/>
              </w:rPr>
              <w:t>)</w:t>
            </w:r>
          </w:p>
          <w:p>
            <w:pPr>
              <w:spacing w:line="360" w:lineRule="auto"/>
              <w:ind w:firstLine="480" w:firstLineChars="200"/>
              <w:rPr>
                <w:bCs/>
                <w:sz w:val="24"/>
              </w:rPr>
            </w:pPr>
            <w:r>
              <w:rPr>
                <w:rFonts w:hint="eastAsia"/>
                <w:bCs/>
                <w:sz w:val="24"/>
              </w:rPr>
              <w:t>多个噪声源同时存在时，总声级计算公式为：</w:t>
            </w:r>
          </w:p>
          <w:p>
            <w:pPr>
              <w:spacing w:line="360" w:lineRule="auto"/>
              <w:ind w:firstLine="480" w:firstLineChars="200"/>
              <w:jc w:val="center"/>
              <w:rPr>
                <w:bCs/>
                <w:sz w:val="24"/>
              </w:rPr>
            </w:pPr>
            <w:r>
              <w:rPr>
                <w:bCs/>
                <w:sz w:val="24"/>
              </w:rPr>
              <w:drawing>
                <wp:inline distT="0" distB="0" distL="0" distR="0">
                  <wp:extent cx="1333500" cy="434340"/>
                  <wp:effectExtent l="0" t="0" r="0" b="3810"/>
                  <wp:docPr id="90287669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76699" name="图片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333500" cy="434340"/>
                          </a:xfrm>
                          <a:prstGeom prst="rect">
                            <a:avLst/>
                          </a:prstGeom>
                          <a:noFill/>
                          <a:ln>
                            <a:noFill/>
                          </a:ln>
                        </pic:spPr>
                      </pic:pic>
                    </a:graphicData>
                  </a:graphic>
                </wp:inline>
              </w:drawing>
            </w:r>
          </w:p>
          <w:p>
            <w:pPr>
              <w:spacing w:line="360" w:lineRule="auto"/>
              <w:ind w:firstLine="480" w:firstLineChars="200"/>
              <w:rPr>
                <w:bCs/>
                <w:sz w:val="24"/>
              </w:rPr>
            </w:pPr>
            <w:r>
              <w:rPr>
                <w:rFonts w:hint="eastAsia"/>
                <w:bCs/>
                <w:sz w:val="24"/>
              </w:rPr>
              <w:t>根据以上公式计算，在采取环评提出的降噪措施后，运营期项目主要产噪设备对厂界噪声贡献值的预测结果见表</w:t>
            </w:r>
            <w:r>
              <w:rPr>
                <w:bCs/>
                <w:sz w:val="24"/>
              </w:rPr>
              <w:t>4-3</w:t>
            </w:r>
            <w:r>
              <w:rPr>
                <w:rFonts w:hint="eastAsia"/>
                <w:bCs/>
                <w:sz w:val="24"/>
              </w:rPr>
              <w:t>。</w:t>
            </w:r>
          </w:p>
          <w:p>
            <w:pPr>
              <w:spacing w:line="360" w:lineRule="auto"/>
              <w:jc w:val="center"/>
              <w:rPr>
                <w:b/>
                <w:sz w:val="24"/>
              </w:rPr>
            </w:pPr>
            <w:r>
              <w:rPr>
                <w:rFonts w:hint="eastAsia"/>
                <w:b/>
                <w:sz w:val="24"/>
              </w:rPr>
              <w:t>表4</w:t>
            </w:r>
            <w:r>
              <w:rPr>
                <w:b/>
                <w:sz w:val="24"/>
              </w:rPr>
              <w:t xml:space="preserve">-3 </w:t>
            </w:r>
            <w:r>
              <w:rPr>
                <w:rFonts w:hint="eastAsia"/>
                <w:b/>
                <w:sz w:val="24"/>
              </w:rPr>
              <w:t>主要产噪设备对厂界噪声预测结果一览表</w:t>
            </w:r>
          </w:p>
          <w:tbl>
            <w:tblPr>
              <w:tblStyle w:val="14"/>
              <w:tblW w:w="82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927"/>
              <w:gridCol w:w="1860"/>
              <w:gridCol w:w="2605"/>
              <w:gridCol w:w="18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2" w:type="pct"/>
                  <w:vAlign w:val="center"/>
                </w:tcPr>
                <w:p>
                  <w:pPr>
                    <w:spacing w:line="0" w:lineRule="atLeast"/>
                    <w:jc w:val="center"/>
                    <w:rPr>
                      <w:rFonts w:hAnsi="宋体"/>
                      <w:spacing w:val="-10"/>
                      <w:szCs w:val="21"/>
                    </w:rPr>
                  </w:pPr>
                  <w:r>
                    <w:rPr>
                      <w:rFonts w:hint="eastAsia" w:hAnsi="宋体"/>
                      <w:spacing w:val="-10"/>
                      <w:szCs w:val="21"/>
                    </w:rPr>
                    <w:t>预测点位</w:t>
                  </w:r>
                </w:p>
              </w:tc>
              <w:tc>
                <w:tcPr>
                  <w:tcW w:w="1131" w:type="pct"/>
                  <w:vAlign w:val="center"/>
                </w:tcPr>
                <w:p>
                  <w:pPr>
                    <w:spacing w:line="0" w:lineRule="atLeast"/>
                    <w:jc w:val="center"/>
                    <w:rPr>
                      <w:rFonts w:hAnsi="宋体"/>
                      <w:spacing w:val="-10"/>
                      <w:szCs w:val="21"/>
                    </w:rPr>
                  </w:pPr>
                  <w:r>
                    <w:rPr>
                      <w:rFonts w:hint="eastAsia" w:hAnsi="宋体"/>
                      <w:spacing w:val="-10"/>
                      <w:szCs w:val="21"/>
                    </w:rPr>
                    <w:t>贡献值/d</w:t>
                  </w:r>
                  <w:r>
                    <w:rPr>
                      <w:rFonts w:hAnsi="宋体"/>
                      <w:spacing w:val="-10"/>
                      <w:szCs w:val="21"/>
                    </w:rPr>
                    <w:t>B(A)</w:t>
                  </w:r>
                </w:p>
              </w:tc>
              <w:tc>
                <w:tcPr>
                  <w:tcW w:w="1584" w:type="pct"/>
                  <w:vAlign w:val="center"/>
                </w:tcPr>
                <w:p>
                  <w:pPr>
                    <w:spacing w:line="0" w:lineRule="atLeast"/>
                    <w:jc w:val="center"/>
                    <w:rPr>
                      <w:rFonts w:hAnsi="宋体"/>
                      <w:spacing w:val="-10"/>
                      <w:szCs w:val="21"/>
                    </w:rPr>
                  </w:pPr>
                  <w:r>
                    <w:rPr>
                      <w:rFonts w:hint="eastAsia" w:hAnsi="宋体"/>
                      <w:spacing w:val="-10"/>
                      <w:szCs w:val="21"/>
                    </w:rPr>
                    <w:t>标准值/d</w:t>
                  </w:r>
                  <w:r>
                    <w:rPr>
                      <w:rFonts w:hAnsi="宋体"/>
                      <w:spacing w:val="-10"/>
                      <w:szCs w:val="21"/>
                    </w:rPr>
                    <w:t>B(A)</w:t>
                  </w:r>
                </w:p>
              </w:tc>
              <w:tc>
                <w:tcPr>
                  <w:tcW w:w="1113" w:type="pct"/>
                  <w:vAlign w:val="center"/>
                </w:tcPr>
                <w:p>
                  <w:pPr>
                    <w:spacing w:line="0" w:lineRule="atLeast"/>
                    <w:jc w:val="center"/>
                    <w:rPr>
                      <w:rFonts w:hAnsi="宋体"/>
                      <w:spacing w:val="-10"/>
                      <w:szCs w:val="21"/>
                    </w:rPr>
                  </w:pPr>
                  <w:r>
                    <w:rPr>
                      <w:rFonts w:hint="eastAsia" w:hAnsi="宋体"/>
                      <w:spacing w:val="-10"/>
                      <w:szCs w:val="21"/>
                    </w:rPr>
                    <w:t>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2" w:type="pct"/>
                  <w:vAlign w:val="center"/>
                </w:tcPr>
                <w:p>
                  <w:pPr>
                    <w:spacing w:line="0" w:lineRule="atLeast"/>
                    <w:jc w:val="center"/>
                    <w:rPr>
                      <w:rFonts w:hAnsi="宋体"/>
                      <w:spacing w:val="-10"/>
                      <w:szCs w:val="21"/>
                    </w:rPr>
                  </w:pPr>
                  <w:r>
                    <w:rPr>
                      <w:rFonts w:hint="eastAsia" w:hAnsi="宋体"/>
                      <w:spacing w:val="-10"/>
                      <w:szCs w:val="21"/>
                    </w:rPr>
                    <w:t>东厂界</w:t>
                  </w:r>
                </w:p>
              </w:tc>
              <w:tc>
                <w:tcPr>
                  <w:tcW w:w="1131" w:type="pct"/>
                  <w:vAlign w:val="center"/>
                </w:tcPr>
                <w:p>
                  <w:pPr>
                    <w:spacing w:line="0" w:lineRule="atLeast"/>
                    <w:jc w:val="center"/>
                    <w:rPr>
                      <w:rFonts w:hAnsi="宋体"/>
                      <w:spacing w:val="-10"/>
                      <w:szCs w:val="21"/>
                    </w:rPr>
                  </w:pPr>
                  <w:r>
                    <w:rPr>
                      <w:rFonts w:hAnsi="宋体"/>
                      <w:spacing w:val="-10"/>
                      <w:szCs w:val="21"/>
                    </w:rPr>
                    <w:t>44.4</w:t>
                  </w:r>
                </w:p>
              </w:tc>
              <w:tc>
                <w:tcPr>
                  <w:tcW w:w="1584" w:type="pct"/>
                  <w:vMerge w:val="restart"/>
                  <w:vAlign w:val="center"/>
                </w:tcPr>
                <w:p>
                  <w:pPr>
                    <w:spacing w:line="0" w:lineRule="atLeast"/>
                    <w:jc w:val="center"/>
                    <w:rPr>
                      <w:rFonts w:hAnsi="宋体"/>
                      <w:spacing w:val="-10"/>
                      <w:szCs w:val="21"/>
                    </w:rPr>
                  </w:pPr>
                  <w:r>
                    <w:rPr>
                      <w:rFonts w:hint="eastAsia" w:hAnsi="宋体"/>
                      <w:spacing w:val="-10"/>
                      <w:szCs w:val="21"/>
                    </w:rPr>
                    <w:t>昼间：</w:t>
                  </w:r>
                  <w:r>
                    <w:rPr>
                      <w:rFonts w:hAnsi="宋体"/>
                      <w:spacing w:val="-10"/>
                      <w:szCs w:val="21"/>
                    </w:rPr>
                    <w:t>60</w:t>
                  </w:r>
                </w:p>
                <w:p>
                  <w:pPr>
                    <w:spacing w:line="0" w:lineRule="atLeast"/>
                    <w:jc w:val="center"/>
                    <w:rPr>
                      <w:rFonts w:hAnsi="宋体"/>
                      <w:spacing w:val="-10"/>
                      <w:szCs w:val="21"/>
                    </w:rPr>
                  </w:pPr>
                  <w:r>
                    <w:rPr>
                      <w:rFonts w:hint="eastAsia" w:hAnsi="宋体"/>
                      <w:spacing w:val="-10"/>
                      <w:szCs w:val="21"/>
                    </w:rPr>
                    <w:t>夜间：5</w:t>
                  </w:r>
                  <w:r>
                    <w:rPr>
                      <w:rFonts w:hAnsi="宋体"/>
                      <w:spacing w:val="-10"/>
                      <w:szCs w:val="21"/>
                    </w:rPr>
                    <w:t>0</w:t>
                  </w:r>
                </w:p>
              </w:tc>
              <w:tc>
                <w:tcPr>
                  <w:tcW w:w="1113" w:type="pct"/>
                  <w:vAlign w:val="center"/>
                </w:tcPr>
                <w:p>
                  <w:pPr>
                    <w:spacing w:line="0" w:lineRule="atLeast"/>
                    <w:jc w:val="center"/>
                    <w:rPr>
                      <w:rFonts w:hAnsi="宋体"/>
                      <w:spacing w:val="-10"/>
                      <w:szCs w:val="21"/>
                    </w:rPr>
                  </w:pPr>
                  <w:r>
                    <w:rPr>
                      <w:rFonts w:hint="eastAsia" w:hAnsi="宋体"/>
                      <w:spacing w:val="-10"/>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2" w:type="pct"/>
                  <w:vAlign w:val="center"/>
                </w:tcPr>
                <w:p>
                  <w:pPr>
                    <w:spacing w:line="0" w:lineRule="atLeast"/>
                    <w:jc w:val="center"/>
                    <w:rPr>
                      <w:rFonts w:hAnsi="宋体"/>
                      <w:spacing w:val="-10"/>
                      <w:szCs w:val="21"/>
                    </w:rPr>
                  </w:pPr>
                  <w:r>
                    <w:rPr>
                      <w:rFonts w:hint="eastAsia" w:hAnsi="宋体"/>
                      <w:spacing w:val="-10"/>
                      <w:szCs w:val="21"/>
                    </w:rPr>
                    <w:t>南厂界</w:t>
                  </w:r>
                </w:p>
              </w:tc>
              <w:tc>
                <w:tcPr>
                  <w:tcW w:w="1131" w:type="pct"/>
                  <w:vAlign w:val="center"/>
                </w:tcPr>
                <w:p>
                  <w:pPr>
                    <w:spacing w:line="0" w:lineRule="atLeast"/>
                    <w:jc w:val="center"/>
                    <w:rPr>
                      <w:rFonts w:hAnsi="宋体"/>
                      <w:spacing w:val="-10"/>
                      <w:szCs w:val="21"/>
                    </w:rPr>
                  </w:pPr>
                  <w:r>
                    <w:rPr>
                      <w:rFonts w:hAnsi="宋体"/>
                      <w:spacing w:val="-10"/>
                      <w:szCs w:val="21"/>
                    </w:rPr>
                    <w:t>37.8</w:t>
                  </w:r>
                </w:p>
              </w:tc>
              <w:tc>
                <w:tcPr>
                  <w:tcW w:w="1584" w:type="pct"/>
                  <w:vMerge w:val="continue"/>
                  <w:vAlign w:val="center"/>
                </w:tcPr>
                <w:p>
                  <w:pPr>
                    <w:spacing w:line="0" w:lineRule="atLeast"/>
                    <w:jc w:val="center"/>
                    <w:rPr>
                      <w:rFonts w:hAnsi="宋体"/>
                      <w:spacing w:val="-10"/>
                      <w:szCs w:val="21"/>
                    </w:rPr>
                  </w:pPr>
                </w:p>
              </w:tc>
              <w:tc>
                <w:tcPr>
                  <w:tcW w:w="1113" w:type="pct"/>
                  <w:vAlign w:val="center"/>
                </w:tcPr>
                <w:p>
                  <w:pPr>
                    <w:spacing w:line="0" w:lineRule="atLeast"/>
                    <w:jc w:val="center"/>
                    <w:rPr>
                      <w:rFonts w:hAnsi="宋体"/>
                      <w:spacing w:val="-10"/>
                      <w:szCs w:val="21"/>
                    </w:rPr>
                  </w:pPr>
                  <w:r>
                    <w:rPr>
                      <w:rFonts w:hint="eastAsia" w:hAnsi="宋体"/>
                      <w:spacing w:val="-10"/>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2" w:type="pct"/>
                  <w:vAlign w:val="center"/>
                </w:tcPr>
                <w:p>
                  <w:pPr>
                    <w:spacing w:line="0" w:lineRule="atLeast"/>
                    <w:jc w:val="center"/>
                    <w:rPr>
                      <w:rFonts w:hAnsi="宋体"/>
                      <w:spacing w:val="-10"/>
                      <w:szCs w:val="21"/>
                    </w:rPr>
                  </w:pPr>
                  <w:r>
                    <w:rPr>
                      <w:rFonts w:hint="eastAsia" w:hAnsi="宋体"/>
                      <w:spacing w:val="-10"/>
                      <w:szCs w:val="21"/>
                    </w:rPr>
                    <w:t>西厂界</w:t>
                  </w:r>
                </w:p>
              </w:tc>
              <w:tc>
                <w:tcPr>
                  <w:tcW w:w="1131" w:type="pct"/>
                  <w:vAlign w:val="center"/>
                </w:tcPr>
                <w:p>
                  <w:pPr>
                    <w:spacing w:line="0" w:lineRule="atLeast"/>
                    <w:jc w:val="center"/>
                    <w:rPr>
                      <w:rFonts w:hAnsi="宋体"/>
                      <w:spacing w:val="-10"/>
                      <w:szCs w:val="21"/>
                    </w:rPr>
                  </w:pPr>
                  <w:r>
                    <w:rPr>
                      <w:rFonts w:hAnsi="宋体"/>
                      <w:spacing w:val="-10"/>
                      <w:szCs w:val="21"/>
                    </w:rPr>
                    <w:t>36.5</w:t>
                  </w:r>
                </w:p>
              </w:tc>
              <w:tc>
                <w:tcPr>
                  <w:tcW w:w="1584" w:type="pct"/>
                  <w:vMerge w:val="continue"/>
                  <w:vAlign w:val="center"/>
                </w:tcPr>
                <w:p>
                  <w:pPr>
                    <w:spacing w:line="0" w:lineRule="atLeast"/>
                    <w:jc w:val="center"/>
                    <w:rPr>
                      <w:rFonts w:hAnsi="宋体"/>
                      <w:spacing w:val="-10"/>
                      <w:szCs w:val="21"/>
                    </w:rPr>
                  </w:pPr>
                </w:p>
              </w:tc>
              <w:tc>
                <w:tcPr>
                  <w:tcW w:w="1113" w:type="pct"/>
                  <w:vAlign w:val="center"/>
                </w:tcPr>
                <w:p>
                  <w:pPr>
                    <w:spacing w:line="0" w:lineRule="atLeast"/>
                    <w:jc w:val="center"/>
                    <w:rPr>
                      <w:rFonts w:hAnsi="宋体"/>
                      <w:spacing w:val="-10"/>
                      <w:szCs w:val="21"/>
                    </w:rPr>
                  </w:pPr>
                  <w:r>
                    <w:rPr>
                      <w:rFonts w:hint="eastAsia" w:hAnsi="宋体"/>
                      <w:spacing w:val="-10"/>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2" w:type="pct"/>
                  <w:vAlign w:val="center"/>
                </w:tcPr>
                <w:p>
                  <w:pPr>
                    <w:spacing w:line="0" w:lineRule="atLeast"/>
                    <w:jc w:val="center"/>
                    <w:rPr>
                      <w:rFonts w:hAnsi="宋体"/>
                      <w:spacing w:val="-10"/>
                      <w:szCs w:val="21"/>
                    </w:rPr>
                  </w:pPr>
                  <w:r>
                    <w:rPr>
                      <w:rFonts w:hint="eastAsia" w:hAnsi="宋体"/>
                      <w:spacing w:val="-10"/>
                      <w:szCs w:val="21"/>
                    </w:rPr>
                    <w:t>北厂界</w:t>
                  </w:r>
                </w:p>
              </w:tc>
              <w:tc>
                <w:tcPr>
                  <w:tcW w:w="1131" w:type="pct"/>
                  <w:vAlign w:val="center"/>
                </w:tcPr>
                <w:p>
                  <w:pPr>
                    <w:spacing w:line="0" w:lineRule="atLeast"/>
                    <w:jc w:val="center"/>
                    <w:rPr>
                      <w:rFonts w:hAnsi="宋体"/>
                      <w:spacing w:val="-10"/>
                      <w:szCs w:val="21"/>
                    </w:rPr>
                  </w:pPr>
                  <w:r>
                    <w:rPr>
                      <w:rFonts w:hAnsi="宋体"/>
                      <w:spacing w:val="-10"/>
                      <w:szCs w:val="21"/>
                    </w:rPr>
                    <w:t>39.4</w:t>
                  </w:r>
                </w:p>
              </w:tc>
              <w:tc>
                <w:tcPr>
                  <w:tcW w:w="1584" w:type="pct"/>
                  <w:vMerge w:val="continue"/>
                  <w:vAlign w:val="center"/>
                </w:tcPr>
                <w:p>
                  <w:pPr>
                    <w:spacing w:line="0" w:lineRule="atLeast"/>
                    <w:jc w:val="center"/>
                    <w:rPr>
                      <w:rFonts w:hAnsi="宋体"/>
                      <w:spacing w:val="-10"/>
                      <w:szCs w:val="21"/>
                    </w:rPr>
                  </w:pPr>
                </w:p>
              </w:tc>
              <w:tc>
                <w:tcPr>
                  <w:tcW w:w="1113" w:type="pct"/>
                  <w:vAlign w:val="center"/>
                </w:tcPr>
                <w:p>
                  <w:pPr>
                    <w:spacing w:line="0" w:lineRule="atLeast"/>
                    <w:jc w:val="center"/>
                    <w:rPr>
                      <w:rFonts w:hAnsi="宋体"/>
                      <w:spacing w:val="-10"/>
                      <w:szCs w:val="21"/>
                    </w:rPr>
                  </w:pPr>
                  <w:r>
                    <w:rPr>
                      <w:rFonts w:hint="eastAsia" w:hAnsi="宋体"/>
                      <w:spacing w:val="-10"/>
                      <w:szCs w:val="21"/>
                    </w:rPr>
                    <w:t>达标</w:t>
                  </w:r>
                </w:p>
              </w:tc>
            </w:tr>
          </w:tbl>
          <w:p>
            <w:pPr>
              <w:spacing w:line="360" w:lineRule="auto"/>
              <w:ind w:firstLine="480" w:firstLineChars="200"/>
              <w:rPr>
                <w:bCs/>
                <w:sz w:val="24"/>
              </w:rPr>
            </w:pPr>
          </w:p>
          <w:p>
            <w:pPr>
              <w:spacing w:line="360" w:lineRule="auto"/>
              <w:ind w:firstLine="480" w:firstLineChars="200"/>
              <w:rPr>
                <w:bCs/>
                <w:sz w:val="24"/>
              </w:rPr>
            </w:pPr>
            <w:r>
              <w:rPr>
                <w:bCs/>
                <w:sz w:val="24"/>
              </w:rPr>
              <w:t>设备噪声采取</w:t>
            </w:r>
            <w:r>
              <w:rPr>
                <w:rFonts w:hint="eastAsia"/>
                <w:bCs/>
                <w:sz w:val="24"/>
              </w:rPr>
              <w:t>减振</w:t>
            </w:r>
            <w:r>
              <w:rPr>
                <w:bCs/>
                <w:sz w:val="24"/>
              </w:rPr>
              <w:t>、隔声处理等措施后，</w:t>
            </w:r>
            <w:r>
              <w:rPr>
                <w:rFonts w:hint="eastAsia"/>
                <w:bCs/>
                <w:sz w:val="24"/>
              </w:rPr>
              <w:t>对厂区各厂界噪声贡献值为</w:t>
            </w:r>
            <w:r>
              <w:rPr>
                <w:bCs/>
                <w:sz w:val="24"/>
              </w:rPr>
              <w:t>36.5</w:t>
            </w:r>
            <w:r>
              <w:rPr>
                <w:rFonts w:hint="eastAsia"/>
                <w:bCs/>
                <w:sz w:val="24"/>
              </w:rPr>
              <w:t>～</w:t>
            </w:r>
            <w:r>
              <w:rPr>
                <w:bCs/>
                <w:sz w:val="24"/>
              </w:rPr>
              <w:t>44.4</w:t>
            </w:r>
            <w:r>
              <w:rPr>
                <w:rFonts w:hint="eastAsia"/>
                <w:bCs/>
                <w:sz w:val="24"/>
              </w:rPr>
              <w:t>dB(A)，满足</w:t>
            </w:r>
            <w:r>
              <w:rPr>
                <w:bCs/>
                <w:sz w:val="24"/>
              </w:rPr>
              <w:t>《工业企业厂界环境噪声排放标准》</w:t>
            </w:r>
            <w:r>
              <w:rPr>
                <w:rFonts w:hint="eastAsia"/>
                <w:bCs/>
                <w:sz w:val="24"/>
              </w:rPr>
              <w:t>（</w:t>
            </w:r>
            <w:r>
              <w:rPr>
                <w:bCs/>
                <w:sz w:val="24"/>
              </w:rPr>
              <w:t>GB12348-2008</w:t>
            </w:r>
            <w:r>
              <w:rPr>
                <w:rFonts w:hint="eastAsia"/>
                <w:bCs/>
                <w:sz w:val="24"/>
              </w:rPr>
              <w:t>）</w:t>
            </w:r>
            <w:r>
              <w:rPr>
                <w:bCs/>
                <w:sz w:val="24"/>
              </w:rPr>
              <w:t>2类</w:t>
            </w:r>
            <w:r>
              <w:rPr>
                <w:rFonts w:hint="eastAsia"/>
                <w:bCs/>
                <w:sz w:val="24"/>
              </w:rPr>
              <w:t>标准，</w:t>
            </w:r>
            <w:r>
              <w:rPr>
                <w:bCs/>
                <w:sz w:val="24"/>
              </w:rPr>
              <w:t>对环境产生影响较小。</w:t>
            </w:r>
          </w:p>
          <w:p>
            <w:pPr>
              <w:adjustRightInd w:val="0"/>
              <w:snapToGrid w:val="0"/>
              <w:spacing w:line="360" w:lineRule="auto"/>
              <w:rPr>
                <w:b/>
                <w:bCs/>
                <w:sz w:val="24"/>
              </w:rPr>
            </w:pPr>
            <w:r>
              <w:rPr>
                <w:b/>
                <w:bCs/>
                <w:sz w:val="24"/>
              </w:rPr>
              <w:t>3.3 噪声排放环境监测要求</w:t>
            </w:r>
          </w:p>
          <w:p>
            <w:pPr>
              <w:pStyle w:val="5"/>
              <w:spacing w:after="0" w:line="360" w:lineRule="auto"/>
              <w:ind w:left="0" w:leftChars="0" w:firstLine="480" w:firstLineChars="200"/>
              <w:rPr>
                <w:szCs w:val="24"/>
              </w:rPr>
            </w:pPr>
            <w:r>
              <w:rPr>
                <w:szCs w:val="24"/>
              </w:rPr>
              <w:t xml:space="preserve">根据《排污单位自行监测技术指南 </w:t>
            </w:r>
            <w:r>
              <w:rPr>
                <w:rFonts w:hint="eastAsia"/>
                <w:szCs w:val="24"/>
              </w:rPr>
              <w:t>水泥工业</w:t>
            </w:r>
            <w:r>
              <w:rPr>
                <w:szCs w:val="24"/>
              </w:rPr>
              <w:t>》（HJ819-2017）中相关要求制定了本项目监测计划，具体见下表：</w:t>
            </w:r>
          </w:p>
          <w:p>
            <w:pPr>
              <w:pStyle w:val="22"/>
            </w:pPr>
            <w:r>
              <w:t xml:space="preserve">表4-4 </w:t>
            </w:r>
            <w:r>
              <w:rPr>
                <w:rFonts w:hint="eastAsia"/>
              </w:rPr>
              <w:t>噪声</w:t>
            </w:r>
            <w:r>
              <w:t>环境监测计划一览表</w:t>
            </w:r>
          </w:p>
          <w:tbl>
            <w:tblPr>
              <w:tblStyle w:val="14"/>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121"/>
              <w:gridCol w:w="1462"/>
              <w:gridCol w:w="1343"/>
              <w:gridCol w:w="905"/>
              <w:gridCol w:w="244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25" w:type="pct"/>
                  <w:gridSpan w:val="2"/>
                  <w:vAlign w:val="center"/>
                </w:tcPr>
                <w:p>
                  <w:pPr>
                    <w:adjustRightInd w:val="0"/>
                    <w:snapToGrid w:val="0"/>
                    <w:jc w:val="center"/>
                    <w:rPr>
                      <w:b/>
                      <w:kern w:val="0"/>
                      <w:szCs w:val="21"/>
                    </w:rPr>
                  </w:pPr>
                  <w:r>
                    <w:rPr>
                      <w:b/>
                      <w:kern w:val="0"/>
                      <w:szCs w:val="21"/>
                    </w:rPr>
                    <w:t>类别</w:t>
                  </w:r>
                </w:p>
              </w:tc>
              <w:tc>
                <w:tcPr>
                  <w:tcW w:w="896" w:type="pct"/>
                  <w:vAlign w:val="center"/>
                </w:tcPr>
                <w:p>
                  <w:pPr>
                    <w:adjustRightInd w:val="0"/>
                    <w:snapToGrid w:val="0"/>
                    <w:jc w:val="center"/>
                    <w:rPr>
                      <w:b/>
                      <w:kern w:val="0"/>
                      <w:szCs w:val="21"/>
                    </w:rPr>
                  </w:pPr>
                  <w:r>
                    <w:rPr>
                      <w:b/>
                      <w:kern w:val="0"/>
                      <w:szCs w:val="21"/>
                    </w:rPr>
                    <w:t>监测项目</w:t>
                  </w:r>
                </w:p>
              </w:tc>
              <w:tc>
                <w:tcPr>
                  <w:tcW w:w="823" w:type="pct"/>
                  <w:vAlign w:val="center"/>
                </w:tcPr>
                <w:p>
                  <w:pPr>
                    <w:adjustRightInd w:val="0"/>
                    <w:snapToGrid w:val="0"/>
                    <w:jc w:val="center"/>
                    <w:rPr>
                      <w:b/>
                      <w:kern w:val="0"/>
                      <w:szCs w:val="21"/>
                    </w:rPr>
                  </w:pPr>
                  <w:r>
                    <w:rPr>
                      <w:b/>
                      <w:kern w:val="0"/>
                      <w:szCs w:val="21"/>
                    </w:rPr>
                    <w:t>监测点位置</w:t>
                  </w:r>
                </w:p>
              </w:tc>
              <w:tc>
                <w:tcPr>
                  <w:tcW w:w="555" w:type="pct"/>
                  <w:vAlign w:val="center"/>
                </w:tcPr>
                <w:p>
                  <w:pPr>
                    <w:adjustRightInd w:val="0"/>
                    <w:snapToGrid w:val="0"/>
                    <w:jc w:val="center"/>
                    <w:rPr>
                      <w:b/>
                      <w:kern w:val="0"/>
                      <w:szCs w:val="21"/>
                    </w:rPr>
                  </w:pPr>
                  <w:r>
                    <w:rPr>
                      <w:b/>
                      <w:kern w:val="0"/>
                      <w:szCs w:val="21"/>
                    </w:rPr>
                    <w:t>监测频率</w:t>
                  </w:r>
                </w:p>
              </w:tc>
              <w:tc>
                <w:tcPr>
                  <w:tcW w:w="1501" w:type="pct"/>
                  <w:vAlign w:val="center"/>
                </w:tcPr>
                <w:p>
                  <w:pPr>
                    <w:adjustRightInd w:val="0"/>
                    <w:snapToGrid w:val="0"/>
                    <w:jc w:val="center"/>
                    <w:rPr>
                      <w:b/>
                      <w:kern w:val="0"/>
                      <w:szCs w:val="21"/>
                    </w:rPr>
                  </w:pPr>
                  <w:r>
                    <w:rPr>
                      <w:b/>
                      <w:kern w:val="0"/>
                      <w:szCs w:val="21"/>
                    </w:rPr>
                    <w:t>执行标准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538" w:type="pct"/>
                  <w:vAlign w:val="center"/>
                </w:tcPr>
                <w:p>
                  <w:pPr>
                    <w:adjustRightInd w:val="0"/>
                    <w:snapToGrid w:val="0"/>
                    <w:jc w:val="center"/>
                    <w:rPr>
                      <w:bCs/>
                      <w:kern w:val="0"/>
                      <w:szCs w:val="21"/>
                    </w:rPr>
                  </w:pPr>
                  <w:r>
                    <w:rPr>
                      <w:bCs/>
                      <w:kern w:val="0"/>
                      <w:szCs w:val="21"/>
                    </w:rPr>
                    <w:t>噪声</w:t>
                  </w:r>
                </w:p>
              </w:tc>
              <w:tc>
                <w:tcPr>
                  <w:tcW w:w="687" w:type="pct"/>
                  <w:vAlign w:val="center"/>
                </w:tcPr>
                <w:p>
                  <w:pPr>
                    <w:adjustRightInd w:val="0"/>
                    <w:snapToGrid w:val="0"/>
                    <w:jc w:val="center"/>
                    <w:rPr>
                      <w:bCs/>
                      <w:kern w:val="0"/>
                      <w:szCs w:val="21"/>
                    </w:rPr>
                  </w:pPr>
                  <w:r>
                    <w:rPr>
                      <w:bCs/>
                      <w:kern w:val="0"/>
                      <w:szCs w:val="21"/>
                    </w:rPr>
                    <w:t>厂界</w:t>
                  </w:r>
                </w:p>
              </w:tc>
              <w:tc>
                <w:tcPr>
                  <w:tcW w:w="896" w:type="pct"/>
                  <w:vAlign w:val="center"/>
                </w:tcPr>
                <w:p>
                  <w:pPr>
                    <w:adjustRightInd w:val="0"/>
                    <w:snapToGrid w:val="0"/>
                    <w:jc w:val="center"/>
                    <w:rPr>
                      <w:bCs/>
                      <w:kern w:val="0"/>
                      <w:szCs w:val="21"/>
                    </w:rPr>
                  </w:pPr>
                  <w:r>
                    <w:rPr>
                      <w:bCs/>
                      <w:kern w:val="0"/>
                      <w:szCs w:val="21"/>
                    </w:rPr>
                    <w:t>Leq（A）</w:t>
                  </w:r>
                </w:p>
              </w:tc>
              <w:tc>
                <w:tcPr>
                  <w:tcW w:w="823" w:type="pct"/>
                  <w:vAlign w:val="center"/>
                </w:tcPr>
                <w:p>
                  <w:pPr>
                    <w:adjustRightInd w:val="0"/>
                    <w:snapToGrid w:val="0"/>
                    <w:jc w:val="center"/>
                    <w:rPr>
                      <w:bCs/>
                      <w:kern w:val="0"/>
                      <w:szCs w:val="21"/>
                    </w:rPr>
                  </w:pPr>
                  <w:r>
                    <w:rPr>
                      <w:bCs/>
                      <w:kern w:val="0"/>
                      <w:szCs w:val="21"/>
                    </w:rPr>
                    <w:t>厂界四周</w:t>
                  </w:r>
                </w:p>
              </w:tc>
              <w:tc>
                <w:tcPr>
                  <w:tcW w:w="555" w:type="pct"/>
                  <w:vAlign w:val="center"/>
                </w:tcPr>
                <w:p>
                  <w:pPr>
                    <w:adjustRightInd w:val="0"/>
                    <w:snapToGrid w:val="0"/>
                    <w:jc w:val="center"/>
                    <w:rPr>
                      <w:bCs/>
                      <w:kern w:val="0"/>
                      <w:szCs w:val="21"/>
                    </w:rPr>
                  </w:pPr>
                  <w:r>
                    <w:rPr>
                      <w:bCs/>
                      <w:kern w:val="0"/>
                      <w:szCs w:val="21"/>
                    </w:rPr>
                    <w:t>1次/</w:t>
                  </w:r>
                  <w:r>
                    <w:rPr>
                      <w:rFonts w:hint="eastAsia"/>
                      <w:bCs/>
                      <w:kern w:val="0"/>
                      <w:szCs w:val="21"/>
                    </w:rPr>
                    <w:t>季度</w:t>
                  </w:r>
                </w:p>
              </w:tc>
              <w:tc>
                <w:tcPr>
                  <w:tcW w:w="1501" w:type="pct"/>
                  <w:vAlign w:val="center"/>
                </w:tcPr>
                <w:p>
                  <w:pPr>
                    <w:adjustRightInd w:val="0"/>
                    <w:snapToGrid w:val="0"/>
                    <w:jc w:val="center"/>
                    <w:rPr>
                      <w:bCs/>
                      <w:kern w:val="0"/>
                      <w:szCs w:val="21"/>
                    </w:rPr>
                  </w:pPr>
                  <w:r>
                    <w:rPr>
                      <w:bCs/>
                      <w:kern w:val="0"/>
                      <w:szCs w:val="21"/>
                    </w:rPr>
                    <w:t>《工业企业厂界环境噪声排放标准》</w:t>
                  </w:r>
                  <w:r>
                    <w:rPr>
                      <w:rFonts w:hint="eastAsia"/>
                      <w:bCs/>
                      <w:kern w:val="0"/>
                      <w:szCs w:val="21"/>
                    </w:rPr>
                    <w:t>（GB12348-2008）2</w:t>
                  </w:r>
                  <w:r>
                    <w:rPr>
                      <w:bCs/>
                      <w:kern w:val="0"/>
                      <w:szCs w:val="21"/>
                    </w:rPr>
                    <w:t>类标准</w:t>
                  </w:r>
                </w:p>
              </w:tc>
            </w:tr>
          </w:tbl>
          <w:p>
            <w:pPr>
              <w:spacing w:before="240" w:line="360" w:lineRule="auto"/>
              <w:rPr>
                <w:rFonts w:cs="宋体"/>
                <w:bCs/>
                <w:sz w:val="24"/>
              </w:rPr>
            </w:pPr>
            <w:r>
              <w:rPr>
                <w:rFonts w:hint="eastAsia"/>
                <w:b/>
                <w:kern w:val="0"/>
                <w:sz w:val="24"/>
              </w:rPr>
              <w:t>4、固体</w:t>
            </w:r>
            <w:r>
              <w:rPr>
                <w:b/>
                <w:kern w:val="0"/>
                <w:sz w:val="24"/>
              </w:rPr>
              <w:t>废物</w:t>
            </w:r>
          </w:p>
          <w:p>
            <w:pPr>
              <w:spacing w:line="360" w:lineRule="auto"/>
              <w:ind w:firstLine="480" w:firstLineChars="200"/>
              <w:rPr>
                <w:sz w:val="24"/>
                <w:lang w:bidi="ar"/>
              </w:rPr>
            </w:pPr>
            <w:r>
              <w:rPr>
                <w:sz w:val="24"/>
                <w:lang w:bidi="ar"/>
              </w:rPr>
              <w:t>本项目固体废物主要有：</w:t>
            </w:r>
            <w:r>
              <w:rPr>
                <w:rFonts w:hint="eastAsia"/>
                <w:sz w:val="24"/>
                <w:lang w:bidi="ar"/>
              </w:rPr>
              <w:t>布袋除尘器收集的除尘灰、沉淀池沉渣、</w:t>
            </w:r>
            <w:r>
              <w:rPr>
                <w:sz w:val="24"/>
                <w:lang w:bidi="ar"/>
              </w:rPr>
              <w:t>生活垃圾</w:t>
            </w:r>
            <w:r>
              <w:rPr>
                <w:rFonts w:hint="eastAsia"/>
                <w:sz w:val="24"/>
                <w:lang w:bidi="ar"/>
              </w:rPr>
              <w:t>、废机油</w:t>
            </w:r>
            <w:r>
              <w:rPr>
                <w:sz w:val="24"/>
                <w:lang w:bidi="ar"/>
              </w:rPr>
              <w:t>等</w:t>
            </w:r>
            <w:r>
              <w:rPr>
                <w:rFonts w:hint="eastAsia"/>
                <w:sz w:val="24"/>
                <w:lang w:bidi="ar"/>
              </w:rPr>
              <w:t>。</w:t>
            </w:r>
            <w:r>
              <w:rPr>
                <w:sz w:val="24"/>
              </w:rPr>
              <w:t>各类固体废物产生量及处置措施见表4-5。</w:t>
            </w:r>
          </w:p>
          <w:p>
            <w:pPr>
              <w:pStyle w:val="22"/>
              <w:rPr>
                <w:szCs w:val="21"/>
              </w:rPr>
            </w:pPr>
            <w:r>
              <w:t>表4-5 固体废物产污环节及利用或处置情况一览表</w:t>
            </w:r>
          </w:p>
          <w:tbl>
            <w:tblPr>
              <w:tblStyle w:val="14"/>
              <w:tblW w:w="82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00"/>
              <w:gridCol w:w="901"/>
              <w:gridCol w:w="671"/>
              <w:gridCol w:w="1232"/>
              <w:gridCol w:w="881"/>
              <w:gridCol w:w="1861"/>
              <w:gridCol w:w="177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9" w:hRule="atLeast"/>
                <w:jc w:val="center"/>
              </w:trPr>
              <w:tc>
                <w:tcPr>
                  <w:tcW w:w="547" w:type="pct"/>
                  <w:tcBorders>
                    <w:top w:val="single" w:color="auto" w:sz="12" w:space="0"/>
                    <w:left w:val="nil"/>
                    <w:bottom w:val="single" w:color="auto" w:sz="4" w:space="0"/>
                    <w:right w:val="single" w:color="auto" w:sz="4" w:space="0"/>
                  </w:tcBorders>
                  <w:vAlign w:val="center"/>
                </w:tcPr>
                <w:p>
                  <w:pPr>
                    <w:adjustRightInd w:val="0"/>
                    <w:snapToGrid w:val="0"/>
                    <w:jc w:val="center"/>
                    <w:rPr>
                      <w:b/>
                      <w:szCs w:val="21"/>
                    </w:rPr>
                  </w:pPr>
                  <w:r>
                    <w:rPr>
                      <w:b/>
                      <w:szCs w:val="21"/>
                    </w:rPr>
                    <w:t>产生</w:t>
                  </w:r>
                </w:p>
                <w:p>
                  <w:pPr>
                    <w:adjustRightInd w:val="0"/>
                    <w:snapToGrid w:val="0"/>
                    <w:jc w:val="center"/>
                    <w:rPr>
                      <w:b/>
                      <w:szCs w:val="21"/>
                    </w:rPr>
                  </w:pPr>
                  <w:r>
                    <w:rPr>
                      <w:b/>
                      <w:szCs w:val="21"/>
                    </w:rPr>
                    <w:t>环节</w:t>
                  </w:r>
                </w:p>
              </w:tc>
              <w:tc>
                <w:tcPr>
                  <w:tcW w:w="548" w:type="pct"/>
                  <w:tcBorders>
                    <w:top w:val="single" w:color="auto" w:sz="12" w:space="0"/>
                    <w:left w:val="single" w:color="auto" w:sz="4" w:space="0"/>
                    <w:bottom w:val="single" w:color="auto" w:sz="4" w:space="0"/>
                    <w:right w:val="single" w:color="auto" w:sz="4" w:space="0"/>
                  </w:tcBorders>
                  <w:vAlign w:val="center"/>
                </w:tcPr>
                <w:p>
                  <w:pPr>
                    <w:adjustRightInd w:val="0"/>
                    <w:snapToGrid w:val="0"/>
                    <w:jc w:val="center"/>
                    <w:rPr>
                      <w:b/>
                      <w:szCs w:val="21"/>
                    </w:rPr>
                  </w:pPr>
                  <w:r>
                    <w:rPr>
                      <w:b/>
                      <w:szCs w:val="21"/>
                    </w:rPr>
                    <w:t>固废</w:t>
                  </w:r>
                </w:p>
                <w:p>
                  <w:pPr>
                    <w:adjustRightInd w:val="0"/>
                    <w:snapToGrid w:val="0"/>
                    <w:jc w:val="center"/>
                    <w:rPr>
                      <w:b/>
                      <w:szCs w:val="21"/>
                    </w:rPr>
                  </w:pPr>
                  <w:r>
                    <w:rPr>
                      <w:b/>
                      <w:szCs w:val="21"/>
                    </w:rPr>
                    <w:t>名称</w:t>
                  </w:r>
                </w:p>
              </w:tc>
              <w:tc>
                <w:tcPr>
                  <w:tcW w:w="408" w:type="pct"/>
                  <w:tcBorders>
                    <w:top w:val="single" w:color="auto" w:sz="12" w:space="0"/>
                    <w:left w:val="single" w:color="auto" w:sz="4" w:space="0"/>
                    <w:bottom w:val="single" w:color="auto" w:sz="4" w:space="0"/>
                    <w:right w:val="single" w:color="auto" w:sz="4" w:space="0"/>
                  </w:tcBorders>
                  <w:vAlign w:val="center"/>
                </w:tcPr>
                <w:p>
                  <w:pPr>
                    <w:adjustRightInd w:val="0"/>
                    <w:snapToGrid w:val="0"/>
                    <w:jc w:val="center"/>
                    <w:rPr>
                      <w:b/>
                      <w:szCs w:val="21"/>
                    </w:rPr>
                  </w:pPr>
                  <w:r>
                    <w:rPr>
                      <w:b/>
                      <w:szCs w:val="21"/>
                    </w:rPr>
                    <w:t>固废</w:t>
                  </w:r>
                </w:p>
                <w:p>
                  <w:pPr>
                    <w:adjustRightInd w:val="0"/>
                    <w:snapToGrid w:val="0"/>
                    <w:jc w:val="center"/>
                    <w:rPr>
                      <w:b/>
                      <w:szCs w:val="21"/>
                    </w:rPr>
                  </w:pPr>
                  <w:r>
                    <w:rPr>
                      <w:b/>
                      <w:szCs w:val="21"/>
                    </w:rPr>
                    <w:t>属性</w:t>
                  </w:r>
                </w:p>
              </w:tc>
              <w:tc>
                <w:tcPr>
                  <w:tcW w:w="749" w:type="pct"/>
                  <w:tcBorders>
                    <w:top w:val="single" w:color="auto" w:sz="12" w:space="0"/>
                    <w:left w:val="single" w:color="auto" w:sz="2" w:space="0"/>
                    <w:bottom w:val="single" w:color="auto" w:sz="4" w:space="0"/>
                    <w:right w:val="single" w:color="auto" w:sz="2" w:space="0"/>
                  </w:tcBorders>
                  <w:vAlign w:val="center"/>
                </w:tcPr>
                <w:p>
                  <w:pPr>
                    <w:adjustRightInd w:val="0"/>
                    <w:snapToGrid w:val="0"/>
                    <w:jc w:val="center"/>
                    <w:rPr>
                      <w:b/>
                      <w:bCs/>
                      <w:szCs w:val="21"/>
                    </w:rPr>
                  </w:pPr>
                  <w:r>
                    <w:rPr>
                      <w:b/>
                      <w:bCs/>
                      <w:szCs w:val="21"/>
                    </w:rPr>
                    <w:t>年度产生量</w:t>
                  </w:r>
                  <w:r>
                    <w:rPr>
                      <w:rFonts w:hint="eastAsia"/>
                      <w:b/>
                      <w:bCs/>
                      <w:szCs w:val="21"/>
                    </w:rPr>
                    <w:t>（t/a）</w:t>
                  </w:r>
                </w:p>
              </w:tc>
              <w:tc>
                <w:tcPr>
                  <w:tcW w:w="536" w:type="pct"/>
                  <w:tcBorders>
                    <w:top w:val="single" w:color="auto" w:sz="12"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贮存方式</w:t>
                  </w:r>
                </w:p>
              </w:tc>
              <w:tc>
                <w:tcPr>
                  <w:tcW w:w="1132" w:type="pct"/>
                  <w:tcBorders>
                    <w:top w:val="single" w:color="auto" w:sz="12" w:space="0"/>
                    <w:left w:val="single" w:color="auto" w:sz="4" w:space="0"/>
                    <w:bottom w:val="single" w:color="auto" w:sz="4" w:space="0"/>
                    <w:right w:val="single" w:color="auto" w:sz="4" w:space="0"/>
                  </w:tcBorders>
                  <w:vAlign w:val="center"/>
                </w:tcPr>
                <w:p>
                  <w:pPr>
                    <w:adjustRightInd w:val="0"/>
                    <w:snapToGrid w:val="0"/>
                    <w:jc w:val="center"/>
                    <w:rPr>
                      <w:b/>
                      <w:bCs/>
                      <w:szCs w:val="21"/>
                    </w:rPr>
                  </w:pPr>
                  <w:r>
                    <w:rPr>
                      <w:b/>
                      <w:bCs/>
                      <w:szCs w:val="21"/>
                    </w:rPr>
                    <w:t>利用方式或去向</w:t>
                  </w:r>
                </w:p>
              </w:tc>
              <w:tc>
                <w:tcPr>
                  <w:tcW w:w="1080" w:type="pct"/>
                  <w:tcBorders>
                    <w:top w:val="single" w:color="auto" w:sz="12" w:space="0"/>
                    <w:left w:val="single" w:color="auto" w:sz="4" w:space="0"/>
                    <w:bottom w:val="single" w:color="auto" w:sz="4" w:space="0"/>
                    <w:right w:val="nil"/>
                  </w:tcBorders>
                  <w:vAlign w:val="center"/>
                </w:tcPr>
                <w:p>
                  <w:pPr>
                    <w:adjustRightInd w:val="0"/>
                    <w:snapToGrid w:val="0"/>
                    <w:jc w:val="center"/>
                    <w:rPr>
                      <w:b/>
                      <w:szCs w:val="21"/>
                    </w:rPr>
                  </w:pPr>
                  <w:r>
                    <w:rPr>
                      <w:b/>
                      <w:szCs w:val="21"/>
                    </w:rPr>
                    <w:t>环境管理要求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53" w:hRule="atLeast"/>
                <w:jc w:val="center"/>
              </w:trPr>
              <w:tc>
                <w:tcPr>
                  <w:tcW w:w="547" w:type="pct"/>
                  <w:tcBorders>
                    <w:top w:val="single" w:color="auto" w:sz="4" w:space="0"/>
                    <w:left w:val="nil"/>
                    <w:bottom w:val="single" w:color="auto" w:sz="4" w:space="0"/>
                    <w:right w:val="single" w:color="auto" w:sz="4" w:space="0"/>
                  </w:tcBorders>
                  <w:vAlign w:val="center"/>
                </w:tcPr>
                <w:p>
                  <w:pPr>
                    <w:adjustRightInd w:val="0"/>
                    <w:snapToGrid w:val="0"/>
                    <w:jc w:val="center"/>
                    <w:rPr>
                      <w:bCs/>
                      <w:szCs w:val="21"/>
                    </w:rPr>
                  </w:pPr>
                  <w:r>
                    <w:rPr>
                      <w:bCs/>
                      <w:szCs w:val="21"/>
                    </w:rPr>
                    <w:t>布袋除尘器</w:t>
                  </w:r>
                </w:p>
              </w:tc>
              <w:tc>
                <w:tcPr>
                  <w:tcW w:w="548"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Cs w:val="21"/>
                    </w:rPr>
                  </w:pPr>
                  <w:r>
                    <w:rPr>
                      <w:bCs/>
                      <w:szCs w:val="21"/>
                    </w:rPr>
                    <w:t>除尘灰</w:t>
                  </w:r>
                </w:p>
              </w:tc>
              <w:tc>
                <w:tcPr>
                  <w:tcW w:w="408"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Cs w:val="21"/>
                    </w:rPr>
                  </w:pPr>
                  <w:r>
                    <w:rPr>
                      <w:bCs/>
                      <w:szCs w:val="21"/>
                    </w:rPr>
                    <w:t>一般</w:t>
                  </w:r>
                </w:p>
                <w:p>
                  <w:pPr>
                    <w:adjustRightInd w:val="0"/>
                    <w:snapToGrid w:val="0"/>
                    <w:jc w:val="center"/>
                    <w:rPr>
                      <w:bCs/>
                      <w:szCs w:val="21"/>
                    </w:rPr>
                  </w:pPr>
                  <w:r>
                    <w:rPr>
                      <w:bCs/>
                      <w:szCs w:val="21"/>
                    </w:rPr>
                    <w:t>固废</w:t>
                  </w:r>
                </w:p>
              </w:tc>
              <w:tc>
                <w:tcPr>
                  <w:tcW w:w="749" w:type="pct"/>
                  <w:tcBorders>
                    <w:top w:val="single" w:color="auto" w:sz="4" w:space="0"/>
                    <w:left w:val="single" w:color="auto" w:sz="2" w:space="0"/>
                    <w:bottom w:val="single" w:color="auto" w:sz="4" w:space="0"/>
                    <w:right w:val="single" w:color="auto" w:sz="2" w:space="0"/>
                  </w:tcBorders>
                  <w:vAlign w:val="center"/>
                </w:tcPr>
                <w:p>
                  <w:pPr>
                    <w:adjustRightInd w:val="0"/>
                    <w:snapToGrid w:val="0"/>
                    <w:jc w:val="center"/>
                    <w:rPr>
                      <w:szCs w:val="21"/>
                    </w:rPr>
                  </w:pPr>
                  <w:r>
                    <w:rPr>
                      <w:szCs w:val="21"/>
                    </w:rPr>
                    <w:t>179.46</w:t>
                  </w:r>
                </w:p>
              </w:tc>
              <w:tc>
                <w:tcPr>
                  <w:tcW w:w="53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szCs w:val="21"/>
                    </w:rPr>
                    <w:t>布袋</w:t>
                  </w:r>
                </w:p>
              </w:tc>
              <w:tc>
                <w:tcPr>
                  <w:tcW w:w="1132"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szCs w:val="21"/>
                    </w:rPr>
                    <w:t>直接回用于生产</w:t>
                  </w:r>
                </w:p>
              </w:tc>
              <w:tc>
                <w:tcPr>
                  <w:tcW w:w="1080" w:type="pct"/>
                  <w:vMerge w:val="restart"/>
                  <w:tcBorders>
                    <w:top w:val="single" w:color="auto" w:sz="4" w:space="0"/>
                    <w:left w:val="single" w:color="auto" w:sz="4" w:space="0"/>
                    <w:right w:val="nil"/>
                  </w:tcBorders>
                  <w:vAlign w:val="center"/>
                </w:tcPr>
                <w:p>
                  <w:pPr>
                    <w:adjustRightInd w:val="0"/>
                    <w:snapToGrid w:val="0"/>
                    <w:jc w:val="center"/>
                    <w:rPr>
                      <w:szCs w:val="21"/>
                    </w:rPr>
                  </w:pPr>
                  <w:r>
                    <w:rPr>
                      <w:szCs w:val="21"/>
                    </w:rPr>
                    <w:t>执行《一般工业固体废物贮存和填埋污染控制标准》(GB18599-2020)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53" w:hRule="atLeast"/>
                <w:jc w:val="center"/>
              </w:trPr>
              <w:tc>
                <w:tcPr>
                  <w:tcW w:w="547" w:type="pct"/>
                  <w:tcBorders>
                    <w:top w:val="single" w:color="auto" w:sz="4" w:space="0"/>
                    <w:left w:val="nil"/>
                    <w:bottom w:val="single" w:color="auto" w:sz="4" w:space="0"/>
                    <w:right w:val="single" w:color="auto" w:sz="4" w:space="0"/>
                  </w:tcBorders>
                  <w:vAlign w:val="center"/>
                </w:tcPr>
                <w:p>
                  <w:pPr>
                    <w:adjustRightInd w:val="0"/>
                    <w:snapToGrid w:val="0"/>
                    <w:jc w:val="center"/>
                    <w:rPr>
                      <w:bCs/>
                      <w:szCs w:val="21"/>
                    </w:rPr>
                  </w:pPr>
                  <w:r>
                    <w:rPr>
                      <w:bCs/>
                      <w:szCs w:val="21"/>
                    </w:rPr>
                    <w:t>沉淀池</w:t>
                  </w:r>
                </w:p>
              </w:tc>
              <w:tc>
                <w:tcPr>
                  <w:tcW w:w="548"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Cs w:val="21"/>
                    </w:rPr>
                  </w:pPr>
                  <w:r>
                    <w:rPr>
                      <w:bCs/>
                      <w:szCs w:val="21"/>
                    </w:rPr>
                    <w:t>沉淀池沉渣</w:t>
                  </w:r>
                </w:p>
              </w:tc>
              <w:tc>
                <w:tcPr>
                  <w:tcW w:w="408"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Cs w:val="21"/>
                    </w:rPr>
                  </w:pPr>
                  <w:r>
                    <w:rPr>
                      <w:bCs/>
                      <w:szCs w:val="21"/>
                    </w:rPr>
                    <w:t>一般</w:t>
                  </w:r>
                </w:p>
                <w:p>
                  <w:pPr>
                    <w:adjustRightInd w:val="0"/>
                    <w:snapToGrid w:val="0"/>
                    <w:jc w:val="center"/>
                    <w:rPr>
                      <w:bCs/>
                      <w:szCs w:val="21"/>
                    </w:rPr>
                  </w:pPr>
                  <w:r>
                    <w:rPr>
                      <w:bCs/>
                      <w:szCs w:val="21"/>
                    </w:rPr>
                    <w:t>固废</w:t>
                  </w:r>
                </w:p>
              </w:tc>
              <w:tc>
                <w:tcPr>
                  <w:tcW w:w="749" w:type="pct"/>
                  <w:tcBorders>
                    <w:top w:val="single" w:color="auto" w:sz="4" w:space="0"/>
                    <w:left w:val="single" w:color="auto" w:sz="2" w:space="0"/>
                    <w:bottom w:val="single" w:color="auto" w:sz="4" w:space="0"/>
                    <w:right w:val="single" w:color="auto" w:sz="2" w:space="0"/>
                  </w:tcBorders>
                  <w:vAlign w:val="center"/>
                </w:tcPr>
                <w:p>
                  <w:pPr>
                    <w:adjustRightInd w:val="0"/>
                    <w:snapToGrid w:val="0"/>
                    <w:jc w:val="center"/>
                    <w:rPr>
                      <w:szCs w:val="21"/>
                    </w:rPr>
                  </w:pPr>
                  <w:r>
                    <w:rPr>
                      <w:szCs w:val="21"/>
                    </w:rPr>
                    <w:t>3</w:t>
                  </w:r>
                </w:p>
              </w:tc>
              <w:tc>
                <w:tcPr>
                  <w:tcW w:w="53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szCs w:val="21"/>
                    </w:rPr>
                    <w:t>原料库暂存</w:t>
                  </w:r>
                </w:p>
              </w:tc>
              <w:tc>
                <w:tcPr>
                  <w:tcW w:w="1132"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szCs w:val="21"/>
                    </w:rPr>
                    <w:t>回用于生产</w:t>
                  </w:r>
                </w:p>
              </w:tc>
              <w:tc>
                <w:tcPr>
                  <w:tcW w:w="1080" w:type="pct"/>
                  <w:vMerge w:val="continue"/>
                  <w:tcBorders>
                    <w:left w:val="single" w:color="auto" w:sz="4" w:space="0"/>
                    <w:right w:val="nil"/>
                  </w:tcBorders>
                  <w:vAlign w:val="center"/>
                </w:tcPr>
                <w:p>
                  <w:pPr>
                    <w:adjustRightInd w:val="0"/>
                    <w:snapToGrid w:val="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77" w:hRule="atLeast"/>
                <w:jc w:val="center"/>
              </w:trPr>
              <w:tc>
                <w:tcPr>
                  <w:tcW w:w="547" w:type="pct"/>
                  <w:tcBorders>
                    <w:top w:val="single" w:color="auto" w:sz="4" w:space="0"/>
                    <w:left w:val="nil"/>
                    <w:bottom w:val="single" w:color="auto" w:sz="4" w:space="0"/>
                    <w:right w:val="single" w:color="auto" w:sz="4" w:space="0"/>
                  </w:tcBorders>
                  <w:vAlign w:val="center"/>
                </w:tcPr>
                <w:p>
                  <w:pPr>
                    <w:adjustRightInd w:val="0"/>
                    <w:snapToGrid w:val="0"/>
                    <w:jc w:val="center"/>
                    <w:rPr>
                      <w:bCs/>
                      <w:szCs w:val="21"/>
                    </w:rPr>
                  </w:pPr>
                  <w:r>
                    <w:rPr>
                      <w:bCs/>
                      <w:szCs w:val="21"/>
                    </w:rPr>
                    <w:t>员工</w:t>
                  </w:r>
                </w:p>
              </w:tc>
              <w:tc>
                <w:tcPr>
                  <w:tcW w:w="548"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Cs w:val="21"/>
                    </w:rPr>
                  </w:pPr>
                  <w:r>
                    <w:rPr>
                      <w:bCs/>
                      <w:szCs w:val="21"/>
                    </w:rPr>
                    <w:t>生活垃圾</w:t>
                  </w:r>
                </w:p>
              </w:tc>
              <w:tc>
                <w:tcPr>
                  <w:tcW w:w="408"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Cs w:val="21"/>
                    </w:rPr>
                  </w:pPr>
                  <w:r>
                    <w:rPr>
                      <w:bCs/>
                      <w:szCs w:val="21"/>
                    </w:rPr>
                    <w:t>生活</w:t>
                  </w:r>
                </w:p>
                <w:p>
                  <w:pPr>
                    <w:adjustRightInd w:val="0"/>
                    <w:snapToGrid w:val="0"/>
                    <w:jc w:val="center"/>
                    <w:rPr>
                      <w:bCs/>
                      <w:szCs w:val="21"/>
                    </w:rPr>
                  </w:pPr>
                  <w:r>
                    <w:rPr>
                      <w:bCs/>
                      <w:szCs w:val="21"/>
                    </w:rPr>
                    <w:t>垃圾</w:t>
                  </w:r>
                </w:p>
              </w:tc>
              <w:tc>
                <w:tcPr>
                  <w:tcW w:w="749" w:type="pct"/>
                  <w:tcBorders>
                    <w:top w:val="single" w:color="auto" w:sz="4" w:space="0"/>
                    <w:left w:val="single" w:color="auto" w:sz="2" w:space="0"/>
                    <w:bottom w:val="single" w:color="auto" w:sz="4" w:space="0"/>
                    <w:right w:val="single" w:color="auto" w:sz="2" w:space="0"/>
                  </w:tcBorders>
                  <w:vAlign w:val="center"/>
                </w:tcPr>
                <w:p>
                  <w:pPr>
                    <w:adjustRightInd w:val="0"/>
                    <w:snapToGrid w:val="0"/>
                    <w:jc w:val="center"/>
                    <w:rPr>
                      <w:bCs/>
                      <w:szCs w:val="21"/>
                    </w:rPr>
                  </w:pPr>
                  <w:r>
                    <w:rPr>
                      <w:szCs w:val="21"/>
                    </w:rPr>
                    <w:t>0.4</w:t>
                  </w:r>
                </w:p>
              </w:tc>
              <w:tc>
                <w:tcPr>
                  <w:tcW w:w="536"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szCs w:val="21"/>
                    </w:rPr>
                  </w:pPr>
                  <w:r>
                    <w:rPr>
                      <w:szCs w:val="21"/>
                    </w:rPr>
                    <w:t>垃圾桶</w:t>
                  </w:r>
                </w:p>
              </w:tc>
              <w:tc>
                <w:tcPr>
                  <w:tcW w:w="1132" w:type="pc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bCs/>
                      <w:szCs w:val="21"/>
                    </w:rPr>
                  </w:pPr>
                  <w:r>
                    <w:rPr>
                      <w:szCs w:val="21"/>
                    </w:rPr>
                    <w:t>统一收集于有盖垃圾箱</w:t>
                  </w:r>
                  <w:r>
                    <w:rPr>
                      <w:rFonts w:hint="eastAsia"/>
                      <w:szCs w:val="21"/>
                    </w:rPr>
                    <w:t>收集</w:t>
                  </w:r>
                  <w:r>
                    <w:rPr>
                      <w:szCs w:val="21"/>
                    </w:rPr>
                    <w:t>，委托环卫部门定期处理。</w:t>
                  </w:r>
                </w:p>
              </w:tc>
              <w:tc>
                <w:tcPr>
                  <w:tcW w:w="1080" w:type="pct"/>
                  <w:tcBorders>
                    <w:top w:val="single" w:color="auto" w:sz="4" w:space="0"/>
                    <w:left w:val="single" w:color="auto" w:sz="4" w:space="0"/>
                    <w:bottom w:val="single" w:color="auto" w:sz="4" w:space="0"/>
                    <w:right w:val="nil"/>
                  </w:tcBorders>
                  <w:vAlign w:val="center"/>
                </w:tcPr>
                <w:p>
                  <w:pPr>
                    <w:adjustRightInd w:val="0"/>
                    <w:snapToGrid w:val="0"/>
                    <w:jc w:val="center"/>
                    <w:rPr>
                      <w:bCs/>
                      <w:szCs w:val="21"/>
                    </w:rPr>
                  </w:pPr>
                  <w:r>
                    <w:rPr>
                      <w:bCs/>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677" w:hRule="atLeast"/>
                <w:jc w:val="center"/>
              </w:trPr>
              <w:tc>
                <w:tcPr>
                  <w:tcW w:w="547" w:type="pct"/>
                  <w:tcBorders>
                    <w:top w:val="single" w:color="auto" w:sz="4" w:space="0"/>
                    <w:left w:val="nil"/>
                    <w:bottom w:val="single" w:color="auto" w:sz="12" w:space="0"/>
                    <w:right w:val="single" w:color="auto" w:sz="4" w:space="0"/>
                  </w:tcBorders>
                  <w:vAlign w:val="center"/>
                </w:tcPr>
                <w:p>
                  <w:pPr>
                    <w:adjustRightInd w:val="0"/>
                    <w:snapToGrid w:val="0"/>
                    <w:jc w:val="center"/>
                    <w:rPr>
                      <w:bCs/>
                      <w:szCs w:val="21"/>
                    </w:rPr>
                  </w:pPr>
                  <w:r>
                    <w:rPr>
                      <w:rFonts w:hint="eastAsia"/>
                      <w:bCs/>
                      <w:szCs w:val="21"/>
                    </w:rPr>
                    <w:t>设备</w:t>
                  </w:r>
                </w:p>
              </w:tc>
              <w:tc>
                <w:tcPr>
                  <w:tcW w:w="548" w:type="pct"/>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bCs/>
                      <w:szCs w:val="21"/>
                    </w:rPr>
                  </w:pPr>
                  <w:r>
                    <w:rPr>
                      <w:rFonts w:hint="eastAsia"/>
                      <w:bCs/>
                      <w:szCs w:val="21"/>
                    </w:rPr>
                    <w:t>废机油</w:t>
                  </w:r>
                </w:p>
              </w:tc>
              <w:tc>
                <w:tcPr>
                  <w:tcW w:w="408" w:type="pct"/>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bCs/>
                      <w:szCs w:val="21"/>
                    </w:rPr>
                  </w:pPr>
                  <w:r>
                    <w:rPr>
                      <w:rFonts w:hint="eastAsia"/>
                      <w:bCs/>
                      <w:szCs w:val="21"/>
                    </w:rPr>
                    <w:t>危险废物</w:t>
                  </w:r>
                </w:p>
              </w:tc>
              <w:tc>
                <w:tcPr>
                  <w:tcW w:w="749" w:type="pct"/>
                  <w:tcBorders>
                    <w:top w:val="single" w:color="auto" w:sz="4" w:space="0"/>
                    <w:left w:val="single" w:color="auto" w:sz="2" w:space="0"/>
                    <w:bottom w:val="single" w:color="auto" w:sz="12" w:space="0"/>
                    <w:right w:val="single" w:color="auto" w:sz="2" w:space="0"/>
                  </w:tcBorders>
                  <w:vAlign w:val="center"/>
                </w:tcPr>
                <w:p>
                  <w:pPr>
                    <w:adjustRightInd w:val="0"/>
                    <w:snapToGrid w:val="0"/>
                    <w:jc w:val="center"/>
                    <w:rPr>
                      <w:szCs w:val="21"/>
                    </w:rPr>
                  </w:pPr>
                  <w:r>
                    <w:rPr>
                      <w:rFonts w:hint="eastAsia"/>
                      <w:szCs w:val="21"/>
                    </w:rPr>
                    <w:t>0</w:t>
                  </w:r>
                  <w:r>
                    <w:rPr>
                      <w:szCs w:val="21"/>
                    </w:rPr>
                    <w:t>.01</w:t>
                  </w:r>
                </w:p>
              </w:tc>
              <w:tc>
                <w:tcPr>
                  <w:tcW w:w="536" w:type="pct"/>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szCs w:val="21"/>
                    </w:rPr>
                  </w:pPr>
                  <w:r>
                    <w:rPr>
                      <w:rFonts w:hint="eastAsia"/>
                      <w:szCs w:val="21"/>
                    </w:rPr>
                    <w:t>不在厂区贮存</w:t>
                  </w:r>
                </w:p>
              </w:tc>
              <w:tc>
                <w:tcPr>
                  <w:tcW w:w="1132" w:type="pct"/>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szCs w:val="21"/>
                    </w:rPr>
                  </w:pPr>
                  <w:r>
                    <w:rPr>
                      <w:szCs w:val="21"/>
                    </w:rPr>
                    <w:t>设备</w:t>
                  </w:r>
                  <w:r>
                    <w:rPr>
                      <w:rFonts w:hint="eastAsia"/>
                      <w:szCs w:val="21"/>
                    </w:rPr>
                    <w:t>由厂家定期维护，更换的废机油由厂家处置，不在厂区内暂存</w:t>
                  </w:r>
                </w:p>
              </w:tc>
              <w:tc>
                <w:tcPr>
                  <w:tcW w:w="1080" w:type="pct"/>
                  <w:tcBorders>
                    <w:top w:val="single" w:color="auto" w:sz="4" w:space="0"/>
                    <w:left w:val="single" w:color="auto" w:sz="4" w:space="0"/>
                    <w:bottom w:val="single" w:color="auto" w:sz="12" w:space="0"/>
                    <w:right w:val="nil"/>
                  </w:tcBorders>
                  <w:vAlign w:val="center"/>
                </w:tcPr>
                <w:p>
                  <w:pPr>
                    <w:adjustRightInd w:val="0"/>
                    <w:snapToGrid w:val="0"/>
                    <w:jc w:val="center"/>
                    <w:rPr>
                      <w:bCs/>
                      <w:szCs w:val="21"/>
                    </w:rPr>
                  </w:pPr>
                  <w:r>
                    <w:rPr>
                      <w:bCs/>
                      <w:szCs w:val="21"/>
                    </w:rPr>
                    <w:t>《危险废物贮存污染控制标准》（GB18597-2023）</w:t>
                  </w:r>
                </w:p>
              </w:tc>
            </w:tr>
          </w:tbl>
          <w:p>
            <w:pPr>
              <w:adjustRightInd w:val="0"/>
              <w:snapToGrid w:val="0"/>
              <w:spacing w:before="240" w:line="360" w:lineRule="auto"/>
              <w:rPr>
                <w:b/>
                <w:bCs/>
                <w:sz w:val="24"/>
              </w:rPr>
            </w:pPr>
            <w:r>
              <w:rPr>
                <w:b/>
                <w:bCs/>
                <w:sz w:val="24"/>
              </w:rPr>
              <w:t>5</w:t>
            </w:r>
            <w:r>
              <w:rPr>
                <w:rFonts w:hint="eastAsia"/>
                <w:b/>
                <w:bCs/>
                <w:sz w:val="24"/>
              </w:rPr>
              <w:t>、</w:t>
            </w:r>
            <w:r>
              <w:rPr>
                <w:b/>
                <w:bCs/>
                <w:sz w:val="24"/>
              </w:rPr>
              <w:t>地下水及土壤环境</w:t>
            </w:r>
          </w:p>
          <w:p>
            <w:pPr>
              <w:spacing w:line="360" w:lineRule="auto"/>
              <w:ind w:firstLine="480" w:firstLineChars="200"/>
              <w:rPr>
                <w:bCs/>
                <w:kern w:val="28"/>
                <w:sz w:val="24"/>
              </w:rPr>
            </w:pPr>
            <w:r>
              <w:rPr>
                <w:bCs/>
                <w:kern w:val="28"/>
                <w:sz w:val="24"/>
              </w:rPr>
              <w:t>项目营运期产生的大气污染物主要为生产过程中产</w:t>
            </w:r>
            <w:r>
              <w:rPr>
                <w:rFonts w:hint="eastAsia"/>
                <w:bCs/>
                <w:kern w:val="28"/>
                <w:sz w:val="24"/>
              </w:rPr>
              <w:t>生</w:t>
            </w:r>
            <w:r>
              <w:rPr>
                <w:bCs/>
                <w:kern w:val="28"/>
                <w:sz w:val="24"/>
              </w:rPr>
              <w:t>的粉尘。产生的生产废水沉淀后回用不外排，其主要污染物为悬浮物。生活污水</w:t>
            </w:r>
            <w:r>
              <w:rPr>
                <w:rFonts w:hint="eastAsia"/>
                <w:bCs/>
                <w:kern w:val="28"/>
                <w:sz w:val="24"/>
              </w:rPr>
              <w:t>经化粪池收集后，定期拉运至札萨克镇台格办事处污水处理厂处理</w:t>
            </w:r>
            <w:r>
              <w:rPr>
                <w:bCs/>
                <w:kern w:val="28"/>
                <w:sz w:val="24"/>
              </w:rPr>
              <w:t>。</w:t>
            </w:r>
          </w:p>
          <w:p>
            <w:pPr>
              <w:spacing w:line="360" w:lineRule="auto"/>
              <w:ind w:firstLine="480" w:firstLineChars="200"/>
              <w:rPr>
                <w:bCs/>
                <w:sz w:val="24"/>
              </w:rPr>
            </w:pPr>
            <w:r>
              <w:rPr>
                <w:bCs/>
                <w:sz w:val="24"/>
              </w:rPr>
              <w:t>为有效规避土壤/地下水环境污染的风险，应做好地下水污染预防措施，应按照“源头控制、分区控制、污染监控、应急响应”的主动与被动防渗相结合的防渗原则。</w:t>
            </w:r>
          </w:p>
          <w:p>
            <w:pPr>
              <w:spacing w:line="360" w:lineRule="auto"/>
              <w:ind w:firstLine="480" w:firstLineChars="200"/>
              <w:rPr>
                <w:sz w:val="24"/>
                <w:szCs w:val="20"/>
              </w:rPr>
            </w:pPr>
            <w:r>
              <w:rPr>
                <w:bCs/>
                <w:sz w:val="24"/>
              </w:rPr>
              <w:t>根据生产装置、辅助设施及公用工程可能泄漏</w:t>
            </w:r>
            <w:r>
              <w:rPr>
                <w:rFonts w:hint="eastAsia"/>
                <w:bCs/>
                <w:sz w:val="24"/>
                <w:lang w:val="en-US" w:eastAsia="zh-CN"/>
              </w:rPr>
              <w:t>的</w:t>
            </w:r>
            <w:r>
              <w:rPr>
                <w:bCs/>
                <w:sz w:val="24"/>
              </w:rPr>
              <w:t>特殊性质将项目区分为重点污染防治区、一般污染防治区和非污染防治区。为防止场区废水对地下水造成污染，在工程设计中，将分区对场区内防渗漏设施进行建设</w:t>
            </w:r>
            <w:r>
              <w:rPr>
                <w:sz w:val="24"/>
              </w:rPr>
              <w:t>。</w:t>
            </w:r>
          </w:p>
          <w:p>
            <w:pPr>
              <w:spacing w:line="360" w:lineRule="auto"/>
              <w:ind w:firstLine="480" w:firstLineChars="200"/>
              <w:rPr>
                <w:bCs/>
                <w:sz w:val="24"/>
              </w:rPr>
            </w:pPr>
            <w:r>
              <w:rPr>
                <w:sz w:val="24"/>
                <w:szCs w:val="20"/>
              </w:rPr>
              <w:t>项目防渗分区情况见表4-6。</w:t>
            </w:r>
          </w:p>
          <w:p>
            <w:pPr>
              <w:adjustRightInd w:val="0"/>
              <w:snapToGrid w:val="0"/>
              <w:spacing w:line="360" w:lineRule="auto"/>
              <w:jc w:val="center"/>
              <w:rPr>
                <w:b/>
                <w:bCs/>
                <w:sz w:val="24"/>
              </w:rPr>
            </w:pPr>
            <w:r>
              <w:rPr>
                <w:b/>
                <w:bCs/>
                <w:sz w:val="24"/>
              </w:rPr>
              <w:t>表4-6项目分区防渗要求表</w:t>
            </w:r>
          </w:p>
          <w:tbl>
            <w:tblPr>
              <w:tblStyle w:val="14"/>
              <w:tblW w:w="7817" w:type="dxa"/>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1134"/>
              <w:gridCol w:w="55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0" w:type="dxa"/>
                  <w:tcBorders>
                    <w:left w:val="nil"/>
                  </w:tcBorders>
                  <w:vAlign w:val="center"/>
                </w:tcPr>
                <w:p>
                  <w:pPr>
                    <w:jc w:val="center"/>
                    <w:rPr>
                      <w:b/>
                      <w:bCs/>
                      <w:kern w:val="0"/>
                      <w:szCs w:val="21"/>
                    </w:rPr>
                  </w:pPr>
                  <w:r>
                    <w:rPr>
                      <w:b/>
                      <w:bCs/>
                      <w:kern w:val="0"/>
                      <w:szCs w:val="21"/>
                    </w:rPr>
                    <w:t>防渗区域</w:t>
                  </w:r>
                </w:p>
              </w:tc>
              <w:tc>
                <w:tcPr>
                  <w:tcW w:w="1134" w:type="dxa"/>
                  <w:vAlign w:val="center"/>
                </w:tcPr>
                <w:p>
                  <w:pPr>
                    <w:jc w:val="center"/>
                    <w:rPr>
                      <w:b/>
                      <w:bCs/>
                      <w:kern w:val="0"/>
                      <w:szCs w:val="21"/>
                    </w:rPr>
                  </w:pPr>
                  <w:r>
                    <w:rPr>
                      <w:b/>
                      <w:bCs/>
                      <w:kern w:val="0"/>
                      <w:szCs w:val="21"/>
                    </w:rPr>
                    <w:t>防渗等级</w:t>
                  </w:r>
                </w:p>
              </w:tc>
              <w:tc>
                <w:tcPr>
                  <w:tcW w:w="5523" w:type="dxa"/>
                  <w:tcBorders>
                    <w:right w:val="nil"/>
                  </w:tcBorders>
                  <w:vAlign w:val="center"/>
                </w:tcPr>
                <w:p>
                  <w:pPr>
                    <w:jc w:val="center"/>
                    <w:rPr>
                      <w:b/>
                      <w:bCs/>
                      <w:kern w:val="0"/>
                      <w:szCs w:val="21"/>
                    </w:rPr>
                  </w:pPr>
                  <w:r>
                    <w:rPr>
                      <w:b/>
                      <w:bCs/>
                      <w:kern w:val="0"/>
                      <w:szCs w:val="21"/>
                    </w:rPr>
                    <w:t>防渗技术要求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0" w:type="dxa"/>
                  <w:tcBorders>
                    <w:left w:val="nil"/>
                  </w:tcBorders>
                  <w:vAlign w:val="center"/>
                </w:tcPr>
                <w:p>
                  <w:pPr>
                    <w:jc w:val="center"/>
                    <w:rPr>
                      <w:szCs w:val="21"/>
                    </w:rPr>
                  </w:pPr>
                  <w:r>
                    <w:rPr>
                      <w:szCs w:val="21"/>
                    </w:rPr>
                    <w:t>化粪池</w:t>
                  </w:r>
                </w:p>
                <w:p>
                  <w:pPr>
                    <w:jc w:val="center"/>
                    <w:rPr>
                      <w:szCs w:val="21"/>
                    </w:rPr>
                  </w:pPr>
                  <w:r>
                    <w:rPr>
                      <w:szCs w:val="21"/>
                    </w:rPr>
                    <w:t>沉淀池</w:t>
                  </w:r>
                </w:p>
              </w:tc>
              <w:tc>
                <w:tcPr>
                  <w:tcW w:w="1134" w:type="dxa"/>
                  <w:vAlign w:val="center"/>
                </w:tcPr>
                <w:p>
                  <w:pPr>
                    <w:jc w:val="center"/>
                    <w:rPr>
                      <w:kern w:val="0"/>
                      <w:szCs w:val="21"/>
                    </w:rPr>
                  </w:pPr>
                  <w:r>
                    <w:rPr>
                      <w:kern w:val="0"/>
                      <w:szCs w:val="21"/>
                    </w:rPr>
                    <w:t>一般防渗区</w:t>
                  </w:r>
                </w:p>
              </w:tc>
              <w:tc>
                <w:tcPr>
                  <w:tcW w:w="5523" w:type="dxa"/>
                  <w:tcBorders>
                    <w:right w:val="nil"/>
                  </w:tcBorders>
                  <w:vAlign w:val="center"/>
                </w:tcPr>
                <w:p>
                  <w:pPr>
                    <w:jc w:val="left"/>
                    <w:rPr>
                      <w:kern w:val="0"/>
                      <w:szCs w:val="21"/>
                    </w:rPr>
                  </w:pPr>
                  <w:r>
                    <w:rPr>
                      <w:kern w:val="0"/>
                      <w:szCs w:val="21"/>
                    </w:rPr>
                    <w:t>池体混凝土抗渗等级S6，防渗性能应不低于1.5m 厚渗透系数≤1.0×10</w:t>
                  </w:r>
                  <w:r>
                    <w:rPr>
                      <w:kern w:val="0"/>
                      <w:szCs w:val="21"/>
                      <w:vertAlign w:val="superscript"/>
                    </w:rPr>
                    <w:t>-7</w:t>
                  </w:r>
                  <w:r>
                    <w:rPr>
                      <w:kern w:val="0"/>
                      <w:szCs w:val="21"/>
                    </w:rPr>
                    <w:t>cm/s 的黏土层的防渗性能。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0" w:type="dxa"/>
                  <w:tcBorders>
                    <w:left w:val="nil"/>
                  </w:tcBorders>
                  <w:vAlign w:val="center"/>
                </w:tcPr>
                <w:p>
                  <w:pPr>
                    <w:jc w:val="center"/>
                    <w:rPr>
                      <w:szCs w:val="21"/>
                    </w:rPr>
                  </w:pPr>
                  <w:r>
                    <w:rPr>
                      <w:szCs w:val="21"/>
                    </w:rPr>
                    <w:t>生产区</w:t>
                  </w:r>
                </w:p>
                <w:p>
                  <w:pPr>
                    <w:jc w:val="center"/>
                    <w:rPr>
                      <w:szCs w:val="21"/>
                    </w:rPr>
                  </w:pPr>
                  <w:r>
                    <w:rPr>
                      <w:szCs w:val="21"/>
                    </w:rPr>
                    <w:t>储料棚</w:t>
                  </w:r>
                </w:p>
                <w:p>
                  <w:pPr>
                    <w:jc w:val="center"/>
                    <w:rPr>
                      <w:szCs w:val="21"/>
                    </w:rPr>
                  </w:pPr>
                  <w:r>
                    <w:rPr>
                      <w:szCs w:val="21"/>
                    </w:rPr>
                    <w:t>办公区</w:t>
                  </w:r>
                </w:p>
              </w:tc>
              <w:tc>
                <w:tcPr>
                  <w:tcW w:w="1134" w:type="dxa"/>
                  <w:vAlign w:val="center"/>
                </w:tcPr>
                <w:p>
                  <w:pPr>
                    <w:jc w:val="center"/>
                    <w:rPr>
                      <w:kern w:val="0"/>
                      <w:szCs w:val="21"/>
                    </w:rPr>
                  </w:pPr>
                  <w:r>
                    <w:rPr>
                      <w:kern w:val="0"/>
                      <w:szCs w:val="21"/>
                    </w:rPr>
                    <w:t>简单防渗区</w:t>
                  </w:r>
                </w:p>
              </w:tc>
              <w:tc>
                <w:tcPr>
                  <w:tcW w:w="5523" w:type="dxa"/>
                  <w:tcBorders>
                    <w:right w:val="nil"/>
                  </w:tcBorders>
                  <w:vAlign w:val="center"/>
                </w:tcPr>
                <w:p>
                  <w:pPr>
                    <w:jc w:val="left"/>
                    <w:rPr>
                      <w:kern w:val="0"/>
                      <w:szCs w:val="21"/>
                    </w:rPr>
                  </w:pPr>
                  <w:r>
                    <w:rPr>
                      <w:kern w:val="0"/>
                      <w:szCs w:val="21"/>
                    </w:rPr>
                    <w:t>采取地面硬化</w:t>
                  </w:r>
                </w:p>
              </w:tc>
            </w:tr>
          </w:tbl>
          <w:p>
            <w:pPr>
              <w:spacing w:before="240" w:line="360" w:lineRule="auto"/>
              <w:ind w:firstLine="480" w:firstLineChars="200"/>
              <w:rPr>
                <w:sz w:val="24"/>
                <w:szCs w:val="20"/>
              </w:rPr>
            </w:pPr>
            <w:r>
              <w:rPr>
                <w:sz w:val="24"/>
                <w:szCs w:val="20"/>
              </w:rPr>
              <w:t>综上所述，在采取必要的地下水污染防治措施后，该项目的运营对地下水和土壤环境影响是可以接受的。</w:t>
            </w:r>
          </w:p>
          <w:p>
            <w:pPr>
              <w:adjustRightInd w:val="0"/>
              <w:snapToGrid w:val="0"/>
              <w:spacing w:line="360" w:lineRule="auto"/>
              <w:rPr>
                <w:b/>
                <w:bCs/>
                <w:sz w:val="24"/>
              </w:rPr>
            </w:pPr>
            <w:r>
              <w:rPr>
                <w:rFonts w:hint="eastAsia"/>
                <w:b/>
                <w:bCs/>
                <w:sz w:val="24"/>
              </w:rPr>
              <w:t>6、生态</w:t>
            </w:r>
            <w:r>
              <w:rPr>
                <w:b/>
                <w:bCs/>
                <w:sz w:val="24"/>
              </w:rPr>
              <w:t>环境影响分析</w:t>
            </w:r>
          </w:p>
          <w:p>
            <w:pPr>
              <w:autoSpaceDE w:val="0"/>
              <w:autoSpaceDN w:val="0"/>
              <w:adjustRightInd w:val="0"/>
              <w:snapToGrid w:val="0"/>
              <w:spacing w:line="360" w:lineRule="auto"/>
              <w:ind w:firstLine="480" w:firstLineChars="200"/>
              <w:rPr>
                <w:bCs/>
                <w:kern w:val="0"/>
                <w:sz w:val="24"/>
              </w:rPr>
            </w:pPr>
            <w:r>
              <w:rPr>
                <w:rFonts w:hint="eastAsia"/>
                <w:bCs/>
                <w:kern w:val="0"/>
                <w:sz w:val="24"/>
              </w:rPr>
              <w:t>本项目总占地面积</w:t>
            </w:r>
            <w:r>
              <w:rPr>
                <w:rFonts w:hint="eastAsia" w:eastAsia="仿宋_GB2312"/>
                <w:kern w:val="0"/>
                <w:sz w:val="24"/>
              </w:rPr>
              <w:t>7538</w:t>
            </w:r>
            <w:r>
              <w:rPr>
                <w:rFonts w:hint="eastAsia"/>
                <w:bCs/>
                <w:kern w:val="0"/>
                <w:sz w:val="24"/>
              </w:rPr>
              <w:t>m</w:t>
            </w:r>
            <w:r>
              <w:rPr>
                <w:rFonts w:hint="eastAsia"/>
                <w:bCs/>
                <w:kern w:val="0"/>
                <w:sz w:val="24"/>
                <w:vertAlign w:val="superscript"/>
              </w:rPr>
              <w:t>2</w:t>
            </w:r>
            <w:r>
              <w:rPr>
                <w:rFonts w:hint="eastAsia"/>
                <w:bCs/>
                <w:kern w:val="0"/>
                <w:sz w:val="24"/>
              </w:rPr>
              <w:t>，原有地块植被覆盖率较低，动物稀少。项目不涉及生态保护红线、不涉及各类自然保护地。</w:t>
            </w:r>
            <w:r>
              <w:rPr>
                <w:bCs/>
                <w:kern w:val="0"/>
                <w:sz w:val="24"/>
              </w:rPr>
              <w:t>项目周边无生态环境敏感目标，故不对生态环境影响进行分析。</w:t>
            </w:r>
          </w:p>
          <w:p>
            <w:pPr>
              <w:pStyle w:val="24"/>
              <w:ind w:firstLine="0" w:firstLineChars="0"/>
              <w:rPr>
                <w:b/>
                <w:bCs/>
                <w:color w:val="auto"/>
              </w:rPr>
            </w:pPr>
            <w:r>
              <w:rPr>
                <w:b/>
                <w:bCs/>
                <w:color w:val="auto"/>
              </w:rPr>
              <w:t>7、环境风险分析</w:t>
            </w:r>
          </w:p>
          <w:p>
            <w:pPr>
              <w:widowControl/>
              <w:adjustRightInd w:val="0"/>
              <w:snapToGrid w:val="0"/>
              <w:spacing w:line="360" w:lineRule="auto"/>
              <w:ind w:firstLine="480" w:firstLineChars="200"/>
              <w:rPr>
                <w:kern w:val="1"/>
                <w:sz w:val="24"/>
              </w:rPr>
            </w:pPr>
            <w:r>
              <w:rPr>
                <w:kern w:val="1"/>
                <w:sz w:val="24"/>
              </w:rPr>
              <w:t>按照《建设项目环境风险评价技术导则》（HI/T169-2018）的要求，本项目不涉及环境风险物质，故不开展环境风险分析。</w:t>
            </w:r>
          </w:p>
          <w:p>
            <w:pPr>
              <w:spacing w:line="360" w:lineRule="auto"/>
              <w:rPr>
                <w:rFonts w:cs="宋体"/>
                <w:b/>
                <w:bCs/>
                <w:sz w:val="24"/>
              </w:rPr>
            </w:pPr>
          </w:p>
          <w:p>
            <w:pPr>
              <w:spacing w:line="360" w:lineRule="auto"/>
              <w:rPr>
                <w:rFonts w:cs="宋体"/>
                <w:b/>
                <w:bCs/>
                <w:sz w:val="24"/>
              </w:rPr>
            </w:pPr>
            <w:r>
              <w:rPr>
                <w:rFonts w:cs="宋体"/>
                <w:b/>
                <w:bCs/>
                <w:sz w:val="24"/>
              </w:rPr>
              <w:t>8</w:t>
            </w:r>
            <w:r>
              <w:rPr>
                <w:rFonts w:hint="eastAsia" w:cs="宋体"/>
                <w:b/>
                <w:bCs/>
                <w:sz w:val="24"/>
              </w:rPr>
              <w:t>、</w:t>
            </w:r>
            <w:r>
              <w:rPr>
                <w:rFonts w:cs="宋体"/>
                <w:b/>
                <w:bCs/>
                <w:sz w:val="24"/>
              </w:rPr>
              <w:t>环保治理措施及投资估算</w:t>
            </w:r>
          </w:p>
          <w:p>
            <w:pPr>
              <w:snapToGrid w:val="0"/>
              <w:spacing w:line="360" w:lineRule="auto"/>
              <w:ind w:firstLine="480" w:firstLineChars="200"/>
              <w:jc w:val="left"/>
              <w:rPr>
                <w:sz w:val="24"/>
              </w:rPr>
            </w:pPr>
            <w:r>
              <w:rPr>
                <w:rFonts w:hint="eastAsia"/>
                <w:sz w:val="24"/>
              </w:rPr>
              <w:t>本期工程</w:t>
            </w:r>
            <w:r>
              <w:rPr>
                <w:sz w:val="24"/>
              </w:rPr>
              <w:t>环保投资57</w:t>
            </w:r>
            <w:r>
              <w:rPr>
                <w:rFonts w:hint="eastAsia"/>
                <w:sz w:val="24"/>
              </w:rPr>
              <w:t>.5</w:t>
            </w:r>
            <w:r>
              <w:rPr>
                <w:sz w:val="24"/>
              </w:rPr>
              <w:t>万元，占总投资</w:t>
            </w:r>
            <w:r>
              <w:rPr>
                <w:rFonts w:hint="eastAsia"/>
                <w:sz w:val="24"/>
              </w:rPr>
              <w:t>200</w:t>
            </w:r>
            <w:r>
              <w:rPr>
                <w:sz w:val="24"/>
              </w:rPr>
              <w:t>万元的28.8%。环保投资估算明细见表4-6。</w:t>
            </w:r>
          </w:p>
          <w:p>
            <w:pPr>
              <w:pStyle w:val="22"/>
              <w:jc w:val="right"/>
            </w:pPr>
            <w:r>
              <w:rPr>
                <w:rFonts w:hint="eastAsia"/>
              </w:rPr>
              <w:t>表</w:t>
            </w:r>
            <w:r>
              <w:t>4-6</w:t>
            </w:r>
            <w:r>
              <w:rPr>
                <w:rFonts w:hint="eastAsia"/>
              </w:rPr>
              <w:t xml:space="preserve"> </w:t>
            </w:r>
            <w:r>
              <w:t>拟建工程环境保护投资估算一览表             单位：万元</w:t>
            </w:r>
          </w:p>
          <w:tbl>
            <w:tblPr>
              <w:tblStyle w:val="14"/>
              <w:tblW w:w="8222" w:type="dxa"/>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574"/>
              <w:gridCol w:w="2274"/>
              <w:gridCol w:w="4434"/>
              <w:gridCol w:w="940"/>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shd w:val="clear" w:color="auto" w:fill="auto"/>
                  <w:vAlign w:val="center"/>
                </w:tcPr>
                <w:p>
                  <w:pPr>
                    <w:widowControl/>
                    <w:jc w:val="center"/>
                    <w:rPr>
                      <w:kern w:val="0"/>
                      <w:szCs w:val="21"/>
                    </w:rPr>
                  </w:pPr>
                  <w:bookmarkStart w:id="4" w:name="_Hlk81554350"/>
                  <w:r>
                    <w:rPr>
                      <w:rFonts w:hint="eastAsia"/>
                      <w:kern w:val="0"/>
                      <w:szCs w:val="21"/>
                    </w:rPr>
                    <w:t>类别</w:t>
                  </w:r>
                </w:p>
              </w:tc>
              <w:tc>
                <w:tcPr>
                  <w:tcW w:w="2274" w:type="dxa"/>
                  <w:shd w:val="clear" w:color="auto" w:fill="auto"/>
                  <w:vAlign w:val="center"/>
                </w:tcPr>
                <w:p>
                  <w:pPr>
                    <w:widowControl/>
                    <w:jc w:val="center"/>
                    <w:rPr>
                      <w:kern w:val="0"/>
                      <w:szCs w:val="21"/>
                    </w:rPr>
                  </w:pPr>
                  <w:r>
                    <w:rPr>
                      <w:rFonts w:hint="eastAsia"/>
                      <w:kern w:val="0"/>
                      <w:szCs w:val="21"/>
                    </w:rPr>
                    <w:t>污染源</w:t>
                  </w:r>
                </w:p>
              </w:tc>
              <w:tc>
                <w:tcPr>
                  <w:tcW w:w="4434" w:type="dxa"/>
                  <w:shd w:val="clear" w:color="auto" w:fill="auto"/>
                  <w:vAlign w:val="center"/>
                </w:tcPr>
                <w:p>
                  <w:pPr>
                    <w:widowControl/>
                    <w:jc w:val="center"/>
                    <w:rPr>
                      <w:kern w:val="0"/>
                      <w:szCs w:val="21"/>
                    </w:rPr>
                  </w:pPr>
                  <w:r>
                    <w:rPr>
                      <w:rFonts w:hint="eastAsia"/>
                      <w:kern w:val="0"/>
                      <w:szCs w:val="21"/>
                    </w:rPr>
                    <w:t>治理措施</w:t>
                  </w:r>
                </w:p>
              </w:tc>
              <w:tc>
                <w:tcPr>
                  <w:tcW w:w="940" w:type="dxa"/>
                  <w:shd w:val="clear" w:color="auto" w:fill="auto"/>
                  <w:vAlign w:val="center"/>
                </w:tcPr>
                <w:p>
                  <w:pPr>
                    <w:widowControl/>
                    <w:jc w:val="center"/>
                    <w:rPr>
                      <w:kern w:val="0"/>
                      <w:szCs w:val="21"/>
                    </w:rPr>
                  </w:pPr>
                  <w:r>
                    <w:rPr>
                      <w:rFonts w:hint="eastAsia"/>
                      <w:kern w:val="0"/>
                      <w:szCs w:val="21"/>
                    </w:rPr>
                    <w:t>环保投资（万元）</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restart"/>
                  <w:shd w:val="clear" w:color="auto" w:fill="auto"/>
                  <w:vAlign w:val="center"/>
                </w:tcPr>
                <w:p>
                  <w:pPr>
                    <w:widowControl/>
                    <w:jc w:val="center"/>
                    <w:rPr>
                      <w:kern w:val="0"/>
                      <w:szCs w:val="21"/>
                    </w:rPr>
                  </w:pPr>
                  <w:r>
                    <w:rPr>
                      <w:rFonts w:hint="eastAsia"/>
                      <w:kern w:val="0"/>
                      <w:szCs w:val="21"/>
                    </w:rPr>
                    <w:t>废气</w:t>
                  </w:r>
                </w:p>
              </w:tc>
              <w:tc>
                <w:tcPr>
                  <w:tcW w:w="2274" w:type="dxa"/>
                  <w:shd w:val="clear" w:color="auto" w:fill="auto"/>
                  <w:vAlign w:val="center"/>
                </w:tcPr>
                <w:p>
                  <w:pPr>
                    <w:widowControl/>
                    <w:jc w:val="center"/>
                    <w:rPr>
                      <w:kern w:val="0"/>
                      <w:szCs w:val="21"/>
                    </w:rPr>
                  </w:pPr>
                  <w:r>
                    <w:rPr>
                      <w:rFonts w:hint="eastAsia"/>
                      <w:bCs/>
                      <w:kern w:val="0"/>
                      <w:szCs w:val="21"/>
                    </w:rPr>
                    <w:t>砂石储料棚装卸堆存粉尘</w:t>
                  </w:r>
                </w:p>
              </w:tc>
              <w:tc>
                <w:tcPr>
                  <w:tcW w:w="4434" w:type="dxa"/>
                  <w:shd w:val="clear" w:color="auto" w:fill="auto"/>
                  <w:vAlign w:val="center"/>
                </w:tcPr>
                <w:p>
                  <w:pPr>
                    <w:widowControl/>
                    <w:jc w:val="center"/>
                    <w:rPr>
                      <w:kern w:val="0"/>
                      <w:szCs w:val="21"/>
                    </w:rPr>
                  </w:pPr>
                  <w:r>
                    <w:rPr>
                      <w:rFonts w:hint="eastAsia"/>
                      <w:kern w:val="0"/>
                      <w:szCs w:val="21"/>
                    </w:rPr>
                    <w:t>全封闭储料库、全封闭式输送带、封闭上料仓，安装</w:t>
                  </w:r>
                  <w:r>
                    <w:rPr>
                      <w:kern w:val="0"/>
                      <w:szCs w:val="21"/>
                    </w:rPr>
                    <w:t>1</w:t>
                  </w:r>
                  <w:r>
                    <w:rPr>
                      <w:rFonts w:hint="eastAsia"/>
                      <w:kern w:val="0"/>
                      <w:szCs w:val="21"/>
                    </w:rPr>
                    <w:t>套喷淋抑尘装置</w:t>
                  </w:r>
                </w:p>
              </w:tc>
              <w:tc>
                <w:tcPr>
                  <w:tcW w:w="940" w:type="dxa"/>
                  <w:shd w:val="clear" w:color="auto" w:fill="auto"/>
                  <w:vAlign w:val="center"/>
                </w:tcPr>
                <w:p>
                  <w:pPr>
                    <w:widowControl/>
                    <w:jc w:val="center"/>
                    <w:rPr>
                      <w:kern w:val="0"/>
                      <w:szCs w:val="21"/>
                    </w:rPr>
                  </w:pPr>
                  <w:r>
                    <w:rPr>
                      <w:kern w:val="0"/>
                      <w:szCs w:val="21"/>
                    </w:rPr>
                    <w:t>15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continue"/>
                  <w:shd w:val="clear" w:color="auto" w:fill="auto"/>
                  <w:vAlign w:val="center"/>
                </w:tcPr>
                <w:p>
                  <w:pPr>
                    <w:widowControl/>
                    <w:jc w:val="center"/>
                    <w:rPr>
                      <w:kern w:val="0"/>
                      <w:szCs w:val="21"/>
                    </w:rPr>
                  </w:pPr>
                </w:p>
              </w:tc>
              <w:tc>
                <w:tcPr>
                  <w:tcW w:w="2274" w:type="dxa"/>
                  <w:shd w:val="clear" w:color="auto" w:fill="auto"/>
                  <w:vAlign w:val="center"/>
                </w:tcPr>
                <w:p>
                  <w:pPr>
                    <w:widowControl/>
                    <w:jc w:val="center"/>
                    <w:rPr>
                      <w:kern w:val="0"/>
                      <w:szCs w:val="21"/>
                    </w:rPr>
                  </w:pPr>
                  <w:r>
                    <w:rPr>
                      <w:rFonts w:hint="eastAsia"/>
                      <w:kern w:val="0"/>
                      <w:szCs w:val="21"/>
                    </w:rPr>
                    <w:t>水泥、粉煤灰存储</w:t>
                  </w:r>
                </w:p>
              </w:tc>
              <w:tc>
                <w:tcPr>
                  <w:tcW w:w="4434" w:type="dxa"/>
                  <w:shd w:val="clear" w:color="auto" w:fill="auto"/>
                  <w:vAlign w:val="center"/>
                </w:tcPr>
                <w:p>
                  <w:pPr>
                    <w:widowControl/>
                    <w:jc w:val="center"/>
                    <w:rPr>
                      <w:kern w:val="0"/>
                      <w:szCs w:val="21"/>
                    </w:rPr>
                  </w:pPr>
                  <w:r>
                    <w:rPr>
                      <w:rFonts w:hint="eastAsia"/>
                      <w:kern w:val="0"/>
                      <w:szCs w:val="21"/>
                    </w:rPr>
                    <w:t>全封闭筒仓，仓顶共各设置1套仓顶除尘器（共4套）+</w:t>
                  </w:r>
                  <w:r>
                    <w:rPr>
                      <w:kern w:val="0"/>
                      <w:szCs w:val="21"/>
                    </w:rPr>
                    <w:t>仓顶除尘器</w:t>
                  </w:r>
                  <w:r>
                    <w:rPr>
                      <w:rFonts w:hint="eastAsia"/>
                      <w:kern w:val="0"/>
                      <w:szCs w:val="21"/>
                    </w:rPr>
                    <w:t>高排气筒</w:t>
                  </w:r>
                </w:p>
              </w:tc>
              <w:tc>
                <w:tcPr>
                  <w:tcW w:w="940" w:type="dxa"/>
                  <w:shd w:val="clear" w:color="auto" w:fill="auto"/>
                  <w:vAlign w:val="center"/>
                </w:tcPr>
                <w:p>
                  <w:pPr>
                    <w:widowControl/>
                    <w:jc w:val="center"/>
                    <w:rPr>
                      <w:kern w:val="0"/>
                      <w:szCs w:val="21"/>
                    </w:rPr>
                  </w:pPr>
                  <w:r>
                    <w:rPr>
                      <w:kern w:val="0"/>
                      <w:szCs w:val="21"/>
                    </w:rPr>
                    <w:t>20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continue"/>
                  <w:shd w:val="clear" w:color="auto" w:fill="auto"/>
                  <w:vAlign w:val="center"/>
                </w:tcPr>
                <w:p>
                  <w:pPr>
                    <w:widowControl/>
                    <w:jc w:val="center"/>
                    <w:rPr>
                      <w:kern w:val="0"/>
                      <w:szCs w:val="21"/>
                    </w:rPr>
                  </w:pPr>
                </w:p>
              </w:tc>
              <w:tc>
                <w:tcPr>
                  <w:tcW w:w="2274" w:type="dxa"/>
                  <w:shd w:val="clear" w:color="auto" w:fill="auto"/>
                  <w:vAlign w:val="center"/>
                </w:tcPr>
                <w:p>
                  <w:pPr>
                    <w:widowControl/>
                    <w:jc w:val="center"/>
                    <w:rPr>
                      <w:kern w:val="0"/>
                      <w:szCs w:val="21"/>
                    </w:rPr>
                  </w:pPr>
                  <w:r>
                    <w:rPr>
                      <w:rFonts w:hint="eastAsia"/>
                      <w:kern w:val="0"/>
                      <w:szCs w:val="21"/>
                    </w:rPr>
                    <w:t>混凝土搅拌</w:t>
                  </w:r>
                </w:p>
              </w:tc>
              <w:tc>
                <w:tcPr>
                  <w:tcW w:w="4434" w:type="dxa"/>
                  <w:shd w:val="clear" w:color="auto" w:fill="auto"/>
                  <w:vAlign w:val="center"/>
                </w:tcPr>
                <w:p>
                  <w:pPr>
                    <w:widowControl/>
                    <w:jc w:val="center"/>
                    <w:rPr>
                      <w:kern w:val="0"/>
                      <w:szCs w:val="21"/>
                    </w:rPr>
                  </w:pPr>
                  <w:r>
                    <w:rPr>
                      <w:rFonts w:hint="eastAsia"/>
                      <w:kern w:val="0"/>
                      <w:szCs w:val="21"/>
                    </w:rPr>
                    <w:t>全封闭站房，搅拌机设置1套袋式除尘器</w:t>
                  </w:r>
                </w:p>
              </w:tc>
              <w:tc>
                <w:tcPr>
                  <w:tcW w:w="940" w:type="dxa"/>
                  <w:shd w:val="clear" w:color="auto" w:fill="auto"/>
                  <w:vAlign w:val="center"/>
                </w:tcPr>
                <w:p>
                  <w:pPr>
                    <w:widowControl/>
                    <w:jc w:val="center"/>
                    <w:rPr>
                      <w:kern w:val="0"/>
                      <w:szCs w:val="21"/>
                    </w:rPr>
                  </w:pPr>
                  <w:r>
                    <w:rPr>
                      <w:kern w:val="0"/>
                      <w:szCs w:val="21"/>
                    </w:rPr>
                    <w:t>10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continue"/>
                  <w:shd w:val="clear" w:color="auto" w:fill="auto"/>
                  <w:vAlign w:val="center"/>
                </w:tcPr>
                <w:p>
                  <w:pPr>
                    <w:widowControl/>
                    <w:jc w:val="center"/>
                    <w:rPr>
                      <w:kern w:val="0"/>
                      <w:szCs w:val="21"/>
                    </w:rPr>
                  </w:pPr>
                </w:p>
              </w:tc>
              <w:tc>
                <w:tcPr>
                  <w:tcW w:w="2274" w:type="dxa"/>
                  <w:tcBorders>
                    <w:bottom w:val="single" w:color="auto" w:sz="4" w:space="0"/>
                  </w:tcBorders>
                  <w:shd w:val="clear" w:color="auto" w:fill="auto"/>
                  <w:vAlign w:val="center"/>
                </w:tcPr>
                <w:p>
                  <w:pPr>
                    <w:widowControl/>
                    <w:jc w:val="center"/>
                    <w:rPr>
                      <w:kern w:val="0"/>
                      <w:szCs w:val="21"/>
                    </w:rPr>
                  </w:pPr>
                  <w:r>
                    <w:rPr>
                      <w:rFonts w:hint="eastAsia"/>
                      <w:kern w:val="0"/>
                      <w:szCs w:val="21"/>
                    </w:rPr>
                    <w:t>厂区</w:t>
                  </w:r>
                </w:p>
              </w:tc>
              <w:tc>
                <w:tcPr>
                  <w:tcW w:w="4434" w:type="dxa"/>
                  <w:tcBorders>
                    <w:bottom w:val="single" w:color="auto" w:sz="4" w:space="0"/>
                  </w:tcBorders>
                  <w:shd w:val="clear" w:color="auto" w:fill="auto"/>
                  <w:vAlign w:val="center"/>
                </w:tcPr>
                <w:p>
                  <w:pPr>
                    <w:widowControl/>
                    <w:jc w:val="center"/>
                    <w:rPr>
                      <w:kern w:val="0"/>
                      <w:szCs w:val="21"/>
                    </w:rPr>
                  </w:pPr>
                  <w:r>
                    <w:rPr>
                      <w:rFonts w:hint="eastAsia"/>
                      <w:kern w:val="0"/>
                      <w:szCs w:val="21"/>
                    </w:rPr>
                    <w:t>地面硬化、洒水抑尘</w:t>
                  </w:r>
                </w:p>
              </w:tc>
              <w:tc>
                <w:tcPr>
                  <w:tcW w:w="940" w:type="dxa"/>
                  <w:tcBorders>
                    <w:bottom w:val="single" w:color="auto" w:sz="4" w:space="0"/>
                  </w:tcBorders>
                  <w:shd w:val="clear" w:color="auto" w:fill="auto"/>
                  <w:vAlign w:val="center"/>
                </w:tcPr>
                <w:p>
                  <w:pPr>
                    <w:widowControl/>
                    <w:jc w:val="center"/>
                    <w:rPr>
                      <w:kern w:val="0"/>
                      <w:szCs w:val="21"/>
                    </w:rPr>
                  </w:pPr>
                  <w:r>
                    <w:rPr>
                      <w:kern w:val="0"/>
                      <w:szCs w:val="21"/>
                    </w:rPr>
                    <w:t>2</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restart"/>
                  <w:shd w:val="clear" w:color="auto" w:fill="auto"/>
                  <w:vAlign w:val="center"/>
                </w:tcPr>
                <w:p>
                  <w:pPr>
                    <w:widowControl/>
                    <w:jc w:val="center"/>
                    <w:rPr>
                      <w:kern w:val="0"/>
                      <w:szCs w:val="21"/>
                    </w:rPr>
                  </w:pPr>
                  <w:r>
                    <w:rPr>
                      <w:rFonts w:hint="eastAsia"/>
                      <w:kern w:val="0"/>
                      <w:szCs w:val="21"/>
                    </w:rPr>
                    <w:t>废水</w:t>
                  </w:r>
                </w:p>
              </w:tc>
              <w:tc>
                <w:tcPr>
                  <w:tcW w:w="2274" w:type="dxa"/>
                  <w:shd w:val="clear" w:color="auto" w:fill="auto"/>
                  <w:vAlign w:val="center"/>
                </w:tcPr>
                <w:p>
                  <w:pPr>
                    <w:widowControl/>
                    <w:jc w:val="center"/>
                    <w:rPr>
                      <w:kern w:val="0"/>
                      <w:szCs w:val="21"/>
                    </w:rPr>
                  </w:pPr>
                  <w:r>
                    <w:rPr>
                      <w:rFonts w:hint="eastAsia"/>
                      <w:kern w:val="0"/>
                      <w:szCs w:val="21"/>
                    </w:rPr>
                    <w:t>生产废水</w:t>
                  </w:r>
                </w:p>
              </w:tc>
              <w:tc>
                <w:tcPr>
                  <w:tcW w:w="4434" w:type="dxa"/>
                  <w:shd w:val="clear" w:color="auto" w:fill="auto"/>
                  <w:vAlign w:val="center"/>
                </w:tcPr>
                <w:p>
                  <w:pPr>
                    <w:widowControl/>
                    <w:jc w:val="center"/>
                    <w:rPr>
                      <w:kern w:val="0"/>
                      <w:szCs w:val="21"/>
                    </w:rPr>
                  </w:pPr>
                  <w:r>
                    <w:rPr>
                      <w:rFonts w:hint="eastAsia"/>
                      <w:kern w:val="0"/>
                      <w:szCs w:val="21"/>
                    </w:rPr>
                    <w:t>搅拌混合用水全部进入产品，料棚抑尘废水全部蒸发；设置三级沉淀池（</w:t>
                  </w:r>
                  <w:r>
                    <w:rPr>
                      <w:kern w:val="0"/>
                      <w:szCs w:val="21"/>
                    </w:rPr>
                    <w:t>容积均</w:t>
                  </w:r>
                  <w:r>
                    <w:rPr>
                      <w:rFonts w:hint="eastAsia"/>
                      <w:kern w:val="0"/>
                      <w:szCs w:val="21"/>
                    </w:rPr>
                    <w:t>为1</w:t>
                  </w:r>
                  <w:r>
                    <w:rPr>
                      <w:kern w:val="0"/>
                      <w:szCs w:val="21"/>
                    </w:rPr>
                    <w:t>2</w:t>
                  </w:r>
                  <w:r>
                    <w:rPr>
                      <w:rFonts w:hint="eastAsia"/>
                      <w:kern w:val="0"/>
                      <w:szCs w:val="21"/>
                    </w:rPr>
                    <w:t>5m</w:t>
                  </w:r>
                  <w:r>
                    <w:rPr>
                      <w:rFonts w:hint="eastAsia"/>
                      <w:kern w:val="0"/>
                      <w:szCs w:val="21"/>
                      <w:vertAlign w:val="superscript"/>
                    </w:rPr>
                    <w:t>3</w:t>
                  </w:r>
                  <w:r>
                    <w:rPr>
                      <w:rFonts w:hint="eastAsia"/>
                      <w:kern w:val="0"/>
                      <w:szCs w:val="21"/>
                    </w:rPr>
                    <w:t>），搅拌机、运输车辆冲洗废水沉淀后回用，沉淀池进行防渗。</w:t>
                  </w:r>
                </w:p>
              </w:tc>
              <w:tc>
                <w:tcPr>
                  <w:tcW w:w="940" w:type="dxa"/>
                  <w:shd w:val="clear" w:color="auto" w:fill="auto"/>
                  <w:vAlign w:val="center"/>
                </w:tcPr>
                <w:p>
                  <w:pPr>
                    <w:widowControl/>
                    <w:jc w:val="center"/>
                    <w:rPr>
                      <w:kern w:val="0"/>
                      <w:szCs w:val="21"/>
                    </w:rPr>
                  </w:pPr>
                  <w:r>
                    <w:rPr>
                      <w:kern w:val="0"/>
                      <w:szCs w:val="21"/>
                    </w:rPr>
                    <w:t>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continue"/>
                  <w:shd w:val="clear" w:color="auto" w:fill="auto"/>
                  <w:vAlign w:val="center"/>
                </w:tcPr>
                <w:p>
                  <w:pPr>
                    <w:widowControl/>
                    <w:jc w:val="center"/>
                    <w:rPr>
                      <w:kern w:val="0"/>
                      <w:szCs w:val="21"/>
                    </w:rPr>
                  </w:pPr>
                </w:p>
              </w:tc>
              <w:tc>
                <w:tcPr>
                  <w:tcW w:w="2274" w:type="dxa"/>
                  <w:shd w:val="clear" w:color="auto" w:fill="auto"/>
                  <w:vAlign w:val="center"/>
                </w:tcPr>
                <w:p>
                  <w:pPr>
                    <w:widowControl/>
                    <w:jc w:val="center"/>
                    <w:rPr>
                      <w:kern w:val="0"/>
                      <w:szCs w:val="21"/>
                    </w:rPr>
                  </w:pPr>
                  <w:r>
                    <w:rPr>
                      <w:rFonts w:hint="eastAsia"/>
                      <w:kern w:val="0"/>
                      <w:szCs w:val="21"/>
                    </w:rPr>
                    <w:t>生活污水</w:t>
                  </w:r>
                </w:p>
              </w:tc>
              <w:tc>
                <w:tcPr>
                  <w:tcW w:w="4434" w:type="dxa"/>
                  <w:shd w:val="clear" w:color="auto" w:fill="auto"/>
                  <w:vAlign w:val="center"/>
                </w:tcPr>
                <w:p>
                  <w:pPr>
                    <w:widowControl/>
                    <w:jc w:val="center"/>
                    <w:rPr>
                      <w:kern w:val="0"/>
                      <w:szCs w:val="21"/>
                    </w:rPr>
                  </w:pPr>
                  <w:r>
                    <w:rPr>
                      <w:rFonts w:hint="eastAsia"/>
                      <w:kern w:val="0"/>
                      <w:szCs w:val="21"/>
                    </w:rPr>
                    <w:t>经化粪池收集后，定期拉运至札萨克镇台格办事处污水处理厂处理</w:t>
                  </w:r>
                </w:p>
              </w:tc>
              <w:tc>
                <w:tcPr>
                  <w:tcW w:w="940" w:type="dxa"/>
                  <w:shd w:val="clear" w:color="auto" w:fill="auto"/>
                  <w:vAlign w:val="center"/>
                </w:tcPr>
                <w:p>
                  <w:pPr>
                    <w:widowControl/>
                    <w:jc w:val="center"/>
                    <w:rPr>
                      <w:kern w:val="0"/>
                      <w:szCs w:val="21"/>
                    </w:rPr>
                  </w:pPr>
                  <w:r>
                    <w:rPr>
                      <w:kern w:val="0"/>
                      <w:szCs w:val="21"/>
                    </w:rPr>
                    <w:t>1</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restart"/>
                  <w:shd w:val="clear" w:color="auto" w:fill="auto"/>
                  <w:vAlign w:val="center"/>
                </w:tcPr>
                <w:p>
                  <w:pPr>
                    <w:widowControl/>
                    <w:jc w:val="center"/>
                    <w:rPr>
                      <w:kern w:val="0"/>
                      <w:szCs w:val="21"/>
                    </w:rPr>
                  </w:pPr>
                  <w:r>
                    <w:rPr>
                      <w:rFonts w:hint="eastAsia"/>
                      <w:kern w:val="0"/>
                      <w:szCs w:val="21"/>
                    </w:rPr>
                    <w:t>固废</w:t>
                  </w:r>
                </w:p>
              </w:tc>
              <w:tc>
                <w:tcPr>
                  <w:tcW w:w="2274" w:type="dxa"/>
                  <w:shd w:val="clear" w:color="auto" w:fill="auto"/>
                  <w:vAlign w:val="center"/>
                </w:tcPr>
                <w:p>
                  <w:pPr>
                    <w:widowControl/>
                    <w:jc w:val="center"/>
                    <w:rPr>
                      <w:kern w:val="0"/>
                      <w:szCs w:val="21"/>
                    </w:rPr>
                  </w:pPr>
                  <w:r>
                    <w:rPr>
                      <w:rFonts w:hint="eastAsia"/>
                      <w:kern w:val="0"/>
                      <w:szCs w:val="21"/>
                    </w:rPr>
                    <w:t>一般固废</w:t>
                  </w:r>
                </w:p>
              </w:tc>
              <w:tc>
                <w:tcPr>
                  <w:tcW w:w="4434" w:type="dxa"/>
                  <w:shd w:val="clear" w:color="auto" w:fill="auto"/>
                  <w:vAlign w:val="center"/>
                </w:tcPr>
                <w:p>
                  <w:pPr>
                    <w:widowControl/>
                    <w:jc w:val="center"/>
                    <w:rPr>
                      <w:kern w:val="0"/>
                      <w:szCs w:val="21"/>
                    </w:rPr>
                  </w:pPr>
                  <w:r>
                    <w:rPr>
                      <w:rFonts w:hint="eastAsia"/>
                      <w:kern w:val="0"/>
                      <w:szCs w:val="21"/>
                    </w:rPr>
                    <w:t>除尘器粉尘返回生产利用；沉淀池沉淀渣定期捞出回用于混凝土生产</w:t>
                  </w:r>
                </w:p>
              </w:tc>
              <w:tc>
                <w:tcPr>
                  <w:tcW w:w="940" w:type="dxa"/>
                  <w:shd w:val="clear" w:color="auto" w:fill="auto"/>
                  <w:vAlign w:val="center"/>
                </w:tcPr>
                <w:p>
                  <w:pPr>
                    <w:widowControl/>
                    <w:jc w:val="center"/>
                    <w:rPr>
                      <w:kern w:val="0"/>
                      <w:szCs w:val="21"/>
                    </w:rPr>
                  </w:pPr>
                  <w:r>
                    <w:rPr>
                      <w:kern w:val="0"/>
                      <w:szCs w:val="21"/>
                    </w:rPr>
                    <w:t>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continue"/>
                  <w:shd w:val="clear" w:color="auto" w:fill="auto"/>
                  <w:vAlign w:val="center"/>
                </w:tcPr>
                <w:p>
                  <w:pPr>
                    <w:widowControl/>
                    <w:jc w:val="center"/>
                    <w:rPr>
                      <w:kern w:val="0"/>
                      <w:szCs w:val="21"/>
                    </w:rPr>
                  </w:pPr>
                </w:p>
              </w:tc>
              <w:tc>
                <w:tcPr>
                  <w:tcW w:w="2274" w:type="dxa"/>
                  <w:shd w:val="clear" w:color="auto" w:fill="auto"/>
                  <w:vAlign w:val="center"/>
                </w:tcPr>
                <w:p>
                  <w:pPr>
                    <w:widowControl/>
                    <w:jc w:val="center"/>
                    <w:rPr>
                      <w:kern w:val="0"/>
                      <w:szCs w:val="21"/>
                    </w:rPr>
                  </w:pPr>
                  <w:r>
                    <w:rPr>
                      <w:rFonts w:hint="eastAsia"/>
                      <w:kern w:val="0"/>
                      <w:szCs w:val="21"/>
                    </w:rPr>
                    <w:t>生活垃圾</w:t>
                  </w:r>
                </w:p>
              </w:tc>
              <w:tc>
                <w:tcPr>
                  <w:tcW w:w="4434" w:type="dxa"/>
                  <w:shd w:val="clear" w:color="auto" w:fill="auto"/>
                  <w:vAlign w:val="center"/>
                </w:tcPr>
                <w:p>
                  <w:pPr>
                    <w:widowControl/>
                    <w:jc w:val="center"/>
                    <w:rPr>
                      <w:kern w:val="0"/>
                      <w:szCs w:val="21"/>
                    </w:rPr>
                  </w:pPr>
                  <w:r>
                    <w:rPr>
                      <w:rFonts w:hint="eastAsia"/>
                      <w:kern w:val="0"/>
                      <w:szCs w:val="21"/>
                    </w:rPr>
                    <w:t>厂区设置垃圾箱收集，环卫部门统一收集处理</w:t>
                  </w:r>
                </w:p>
              </w:tc>
              <w:tc>
                <w:tcPr>
                  <w:tcW w:w="940" w:type="dxa"/>
                  <w:shd w:val="clear" w:color="auto" w:fill="auto"/>
                  <w:vAlign w:val="center"/>
                </w:tcPr>
                <w:p>
                  <w:pPr>
                    <w:widowControl/>
                    <w:jc w:val="center"/>
                    <w:rPr>
                      <w:kern w:val="0"/>
                      <w:szCs w:val="21"/>
                    </w:rPr>
                  </w:pPr>
                  <w:r>
                    <w:rPr>
                      <w:rFonts w:hint="eastAsia"/>
                      <w:kern w:val="0"/>
                      <w:szCs w:val="21"/>
                    </w:rPr>
                    <w:t>0</w:t>
                  </w:r>
                  <w:r>
                    <w:rPr>
                      <w:kern w:val="0"/>
                      <w:szCs w:val="21"/>
                    </w:rPr>
                    <w:t>.5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vMerge w:val="continue"/>
                  <w:shd w:val="clear" w:color="auto" w:fill="auto"/>
                  <w:vAlign w:val="center"/>
                </w:tcPr>
                <w:p>
                  <w:pPr>
                    <w:widowControl/>
                    <w:jc w:val="center"/>
                    <w:rPr>
                      <w:kern w:val="0"/>
                      <w:szCs w:val="21"/>
                    </w:rPr>
                  </w:pPr>
                </w:p>
              </w:tc>
              <w:tc>
                <w:tcPr>
                  <w:tcW w:w="2274" w:type="dxa"/>
                  <w:shd w:val="clear" w:color="auto" w:fill="auto"/>
                  <w:vAlign w:val="center"/>
                </w:tcPr>
                <w:p>
                  <w:pPr>
                    <w:widowControl/>
                    <w:jc w:val="center"/>
                    <w:rPr>
                      <w:kern w:val="0"/>
                      <w:szCs w:val="21"/>
                    </w:rPr>
                  </w:pPr>
                  <w:r>
                    <w:rPr>
                      <w:rFonts w:hint="eastAsia"/>
                      <w:kern w:val="0"/>
                      <w:szCs w:val="21"/>
                    </w:rPr>
                    <w:t>危险废物</w:t>
                  </w:r>
                </w:p>
              </w:tc>
              <w:tc>
                <w:tcPr>
                  <w:tcW w:w="4434" w:type="dxa"/>
                  <w:shd w:val="clear" w:color="auto" w:fill="auto"/>
                  <w:vAlign w:val="center"/>
                </w:tcPr>
                <w:p>
                  <w:pPr>
                    <w:widowControl/>
                    <w:jc w:val="center"/>
                    <w:rPr>
                      <w:kern w:val="0"/>
                      <w:szCs w:val="21"/>
                    </w:rPr>
                  </w:pPr>
                  <w:r>
                    <w:rPr>
                      <w:kern w:val="0"/>
                      <w:szCs w:val="21"/>
                    </w:rPr>
                    <w:t>设备</w:t>
                  </w:r>
                  <w:r>
                    <w:rPr>
                      <w:rFonts w:hint="eastAsia"/>
                      <w:kern w:val="0"/>
                      <w:szCs w:val="21"/>
                    </w:rPr>
                    <w:t>由厂家定期维护，更换的废机油由厂家处置，不在厂区内暂存</w:t>
                  </w:r>
                </w:p>
              </w:tc>
              <w:tc>
                <w:tcPr>
                  <w:tcW w:w="940" w:type="dxa"/>
                  <w:shd w:val="clear" w:color="auto" w:fill="auto"/>
                  <w:vAlign w:val="center"/>
                </w:tcPr>
                <w:p>
                  <w:pPr>
                    <w:widowControl/>
                    <w:jc w:val="center"/>
                    <w:rPr>
                      <w:kern w:val="0"/>
                      <w:szCs w:val="21"/>
                    </w:rPr>
                  </w:pPr>
                  <w:r>
                    <w:rPr>
                      <w:rFonts w:hint="eastAsia"/>
                      <w:kern w:val="0"/>
                      <w:szCs w:val="21"/>
                    </w:rPr>
                    <w:t>1</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574" w:type="dxa"/>
                  <w:shd w:val="clear" w:color="auto" w:fill="auto"/>
                  <w:vAlign w:val="center"/>
                </w:tcPr>
                <w:p>
                  <w:pPr>
                    <w:widowControl/>
                    <w:jc w:val="center"/>
                    <w:rPr>
                      <w:kern w:val="0"/>
                      <w:szCs w:val="21"/>
                    </w:rPr>
                  </w:pPr>
                  <w:r>
                    <w:rPr>
                      <w:rFonts w:hint="eastAsia"/>
                      <w:kern w:val="0"/>
                      <w:szCs w:val="21"/>
                    </w:rPr>
                    <w:t>噪声</w:t>
                  </w:r>
                </w:p>
              </w:tc>
              <w:tc>
                <w:tcPr>
                  <w:tcW w:w="2274" w:type="dxa"/>
                  <w:shd w:val="clear" w:color="auto" w:fill="auto"/>
                  <w:vAlign w:val="center"/>
                </w:tcPr>
                <w:p>
                  <w:pPr>
                    <w:widowControl/>
                    <w:jc w:val="center"/>
                    <w:rPr>
                      <w:kern w:val="0"/>
                      <w:szCs w:val="21"/>
                    </w:rPr>
                  </w:pPr>
                  <w:r>
                    <w:rPr>
                      <w:rFonts w:hint="eastAsia"/>
                      <w:kern w:val="0"/>
                      <w:szCs w:val="21"/>
                    </w:rPr>
                    <w:t>设备运转、运输噪声等</w:t>
                  </w:r>
                </w:p>
              </w:tc>
              <w:tc>
                <w:tcPr>
                  <w:tcW w:w="4434" w:type="dxa"/>
                  <w:shd w:val="clear" w:color="auto" w:fill="auto"/>
                  <w:vAlign w:val="center"/>
                </w:tcPr>
                <w:p>
                  <w:pPr>
                    <w:widowControl/>
                    <w:jc w:val="center"/>
                    <w:rPr>
                      <w:kern w:val="0"/>
                      <w:szCs w:val="21"/>
                    </w:rPr>
                  </w:pPr>
                  <w:r>
                    <w:rPr>
                      <w:rFonts w:hint="eastAsia"/>
                      <w:kern w:val="0"/>
                      <w:szCs w:val="21"/>
                    </w:rPr>
                    <w:t>采用隔声、减振及置于封闭车间内等措施。</w:t>
                  </w:r>
                </w:p>
              </w:tc>
              <w:tc>
                <w:tcPr>
                  <w:tcW w:w="940" w:type="dxa"/>
                  <w:shd w:val="clear" w:color="auto" w:fill="auto"/>
                  <w:vAlign w:val="center"/>
                </w:tcPr>
                <w:p>
                  <w:pPr>
                    <w:widowControl/>
                    <w:jc w:val="center"/>
                    <w:rPr>
                      <w:kern w:val="0"/>
                      <w:szCs w:val="21"/>
                    </w:rPr>
                  </w:pPr>
                  <w:r>
                    <w:rPr>
                      <w:rFonts w:hint="eastAsia"/>
                      <w:kern w:val="0"/>
                      <w:szCs w:val="21"/>
                    </w:rPr>
                    <w:t>3</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7282" w:type="dxa"/>
                  <w:gridSpan w:val="3"/>
                  <w:shd w:val="clear" w:color="auto" w:fill="auto"/>
                  <w:vAlign w:val="center"/>
                </w:tcPr>
                <w:p>
                  <w:pPr>
                    <w:widowControl/>
                    <w:jc w:val="center"/>
                    <w:rPr>
                      <w:kern w:val="0"/>
                      <w:szCs w:val="21"/>
                    </w:rPr>
                  </w:pPr>
                  <w:r>
                    <w:rPr>
                      <w:rFonts w:hint="eastAsia"/>
                      <w:kern w:val="0"/>
                      <w:szCs w:val="21"/>
                    </w:rPr>
                    <w:t>合计</w:t>
                  </w:r>
                </w:p>
              </w:tc>
              <w:tc>
                <w:tcPr>
                  <w:tcW w:w="940" w:type="dxa"/>
                  <w:shd w:val="clear" w:color="auto" w:fill="auto"/>
                  <w:vAlign w:val="center"/>
                </w:tcPr>
                <w:p>
                  <w:pPr>
                    <w:widowControl/>
                    <w:jc w:val="center"/>
                    <w:rPr>
                      <w:kern w:val="0"/>
                      <w:szCs w:val="21"/>
                    </w:rPr>
                  </w:pPr>
                  <w:r>
                    <w:rPr>
                      <w:kern w:val="0"/>
                      <w:szCs w:val="21"/>
                    </w:rPr>
                    <w:fldChar w:fldCharType="begin"/>
                  </w:r>
                  <w:r>
                    <w:rPr>
                      <w:kern w:val="0"/>
                      <w:szCs w:val="21"/>
                    </w:rPr>
                    <w:instrText xml:space="preserve"> =SUM(ABOVE) </w:instrText>
                  </w:r>
                  <w:r>
                    <w:rPr>
                      <w:kern w:val="0"/>
                      <w:szCs w:val="21"/>
                    </w:rPr>
                    <w:fldChar w:fldCharType="separate"/>
                  </w:r>
                  <w:r>
                    <w:rPr>
                      <w:kern w:val="0"/>
                      <w:szCs w:val="21"/>
                    </w:rPr>
                    <w:t>57.5</w:t>
                  </w:r>
                  <w:r>
                    <w:rPr>
                      <w:kern w:val="0"/>
                      <w:szCs w:val="21"/>
                    </w:rPr>
                    <w:fldChar w:fldCharType="end"/>
                  </w:r>
                </w:p>
              </w:tc>
            </w:tr>
            <w:bookmarkEnd w:id="4"/>
          </w:tbl>
          <w:p>
            <w:pPr>
              <w:pStyle w:val="3"/>
            </w:pPr>
          </w:p>
          <w:p>
            <w:pPr>
              <w:rPr>
                <w:rFonts w:cs="宋体"/>
                <w:szCs w:val="21"/>
              </w:rPr>
            </w:pPr>
          </w:p>
        </w:tc>
      </w:tr>
    </w:tbl>
    <w:p>
      <w:pPr>
        <w:adjustRightInd w:val="0"/>
        <w:snapToGrid w:val="0"/>
        <w:spacing w:line="360" w:lineRule="auto"/>
        <w:rPr>
          <w:rFonts w:cs="宋体"/>
          <w:b/>
          <w:kern w:val="0"/>
          <w:sz w:val="28"/>
          <w:szCs w:val="28"/>
        </w:rPr>
        <w:sectPr>
          <w:pgSz w:w="11907" w:h="16840"/>
          <w:pgMar w:top="1701" w:right="1531" w:bottom="2127" w:left="1531" w:header="851" w:footer="851" w:gutter="0"/>
          <w:cols w:space="720" w:num="1"/>
          <w:docGrid w:linePitch="312" w:charSpace="0"/>
        </w:sectPr>
      </w:pPr>
    </w:p>
    <w:p>
      <w:pPr>
        <w:pStyle w:val="13"/>
        <w:jc w:val="center"/>
        <w:outlineLvl w:val="0"/>
        <w:rPr>
          <w:rFonts w:ascii="Times New Roman" w:hAnsi="Times New Roman" w:eastAsia="黑体"/>
          <w:snapToGrid w:val="0"/>
          <w:sz w:val="30"/>
          <w:szCs w:val="30"/>
        </w:rPr>
      </w:pPr>
      <w:r>
        <w:rPr>
          <w:rFonts w:hint="eastAsia" w:ascii="Times New Roman" w:hAnsi="Times New Roman" w:eastAsia="黑体"/>
          <w:snapToGrid w:val="0"/>
          <w:sz w:val="30"/>
          <w:szCs w:val="30"/>
        </w:rPr>
        <w:t>五、</w:t>
      </w:r>
      <w:bookmarkStart w:id="5" w:name="_Hlk54167917"/>
      <w:r>
        <w:rPr>
          <w:rFonts w:hint="eastAsia" w:ascii="Times New Roman" w:hAnsi="Times New Roman" w:eastAsia="黑体"/>
          <w:snapToGrid w:val="0"/>
          <w:sz w:val="30"/>
          <w:szCs w:val="30"/>
        </w:rPr>
        <w:t>环境保护措施监督检查清单</w:t>
      </w:r>
      <w:bookmarkEnd w:id="5"/>
    </w:p>
    <w:tbl>
      <w:tblPr>
        <w:tblStyle w:val="14"/>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1701"/>
        <w:gridCol w:w="1275"/>
        <w:gridCol w:w="2536"/>
        <w:gridCol w:w="15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tcBorders>
              <w:tl2br w:val="single" w:color="auto" w:sz="4" w:space="0"/>
            </w:tcBorders>
          </w:tcPr>
          <w:p>
            <w:pPr>
              <w:adjustRightInd w:val="0"/>
              <w:snapToGrid w:val="0"/>
              <w:ind w:firstLine="840"/>
              <w:rPr>
                <w:b/>
                <w:bCs/>
                <w:szCs w:val="21"/>
              </w:rPr>
            </w:pPr>
            <w:r>
              <w:rPr>
                <w:b/>
                <w:bCs/>
                <w:szCs w:val="21"/>
              </w:rPr>
              <w:t>内容</w:t>
            </w:r>
          </w:p>
          <w:p>
            <w:pPr>
              <w:adjustRightInd w:val="0"/>
              <w:snapToGrid w:val="0"/>
              <w:rPr>
                <w:b/>
                <w:bCs/>
                <w:szCs w:val="21"/>
              </w:rPr>
            </w:pPr>
            <w:r>
              <w:rPr>
                <w:b/>
                <w:bCs/>
                <w:szCs w:val="21"/>
              </w:rPr>
              <w:t>要素</w:t>
            </w:r>
          </w:p>
        </w:tc>
        <w:tc>
          <w:tcPr>
            <w:tcW w:w="1701" w:type="dxa"/>
            <w:vAlign w:val="center"/>
          </w:tcPr>
          <w:p>
            <w:pPr>
              <w:adjustRightInd w:val="0"/>
              <w:snapToGrid w:val="0"/>
              <w:jc w:val="center"/>
              <w:rPr>
                <w:b/>
                <w:bCs/>
                <w:szCs w:val="21"/>
              </w:rPr>
            </w:pPr>
            <w:r>
              <w:rPr>
                <w:b/>
                <w:bCs/>
                <w:szCs w:val="21"/>
              </w:rPr>
              <w:t>排放口(编号、</w:t>
            </w:r>
          </w:p>
          <w:p>
            <w:pPr>
              <w:adjustRightInd w:val="0"/>
              <w:snapToGrid w:val="0"/>
              <w:jc w:val="center"/>
              <w:rPr>
                <w:b/>
                <w:bCs/>
                <w:szCs w:val="21"/>
              </w:rPr>
            </w:pPr>
            <w:r>
              <w:rPr>
                <w:b/>
                <w:bCs/>
                <w:szCs w:val="21"/>
              </w:rPr>
              <w:t>名称)/污染源</w:t>
            </w:r>
          </w:p>
        </w:tc>
        <w:tc>
          <w:tcPr>
            <w:tcW w:w="1275" w:type="dxa"/>
            <w:vAlign w:val="center"/>
          </w:tcPr>
          <w:p>
            <w:pPr>
              <w:adjustRightInd w:val="0"/>
              <w:snapToGrid w:val="0"/>
              <w:jc w:val="center"/>
              <w:rPr>
                <w:b/>
                <w:bCs/>
                <w:szCs w:val="21"/>
              </w:rPr>
            </w:pPr>
            <w:r>
              <w:rPr>
                <w:b/>
                <w:bCs/>
                <w:szCs w:val="21"/>
              </w:rPr>
              <w:t>污染物项目</w:t>
            </w:r>
          </w:p>
        </w:tc>
        <w:tc>
          <w:tcPr>
            <w:tcW w:w="2536" w:type="dxa"/>
            <w:vAlign w:val="center"/>
          </w:tcPr>
          <w:p>
            <w:pPr>
              <w:adjustRightInd w:val="0"/>
              <w:snapToGrid w:val="0"/>
              <w:jc w:val="center"/>
              <w:rPr>
                <w:b/>
                <w:bCs/>
                <w:szCs w:val="21"/>
              </w:rPr>
            </w:pPr>
            <w:r>
              <w:rPr>
                <w:b/>
                <w:bCs/>
                <w:szCs w:val="21"/>
              </w:rPr>
              <w:t>环境保护措施</w:t>
            </w:r>
          </w:p>
        </w:tc>
        <w:tc>
          <w:tcPr>
            <w:tcW w:w="1580" w:type="dxa"/>
            <w:vAlign w:val="center"/>
          </w:tcPr>
          <w:p>
            <w:pPr>
              <w:adjustRightInd w:val="0"/>
              <w:snapToGrid w:val="0"/>
              <w:jc w:val="center"/>
              <w:rPr>
                <w:b/>
                <w:bCs/>
                <w:szCs w:val="21"/>
              </w:rPr>
            </w:pPr>
            <w:r>
              <w:rPr>
                <w:b/>
                <w:bCs/>
                <w:szCs w:val="21"/>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restart"/>
            <w:vAlign w:val="center"/>
          </w:tcPr>
          <w:p>
            <w:pPr>
              <w:adjustRightInd w:val="0"/>
              <w:snapToGrid w:val="0"/>
              <w:jc w:val="center"/>
              <w:rPr>
                <w:b/>
                <w:bCs/>
                <w:szCs w:val="21"/>
              </w:rPr>
            </w:pPr>
            <w:r>
              <w:rPr>
                <w:rFonts w:hint="eastAsia"/>
                <w:b/>
                <w:bCs/>
                <w:szCs w:val="21"/>
              </w:rPr>
              <w:t>大气环境</w:t>
            </w:r>
          </w:p>
        </w:tc>
        <w:tc>
          <w:tcPr>
            <w:tcW w:w="1701" w:type="dxa"/>
            <w:vAlign w:val="center"/>
          </w:tcPr>
          <w:p>
            <w:pPr>
              <w:jc w:val="center"/>
              <w:rPr>
                <w:szCs w:val="21"/>
              </w:rPr>
            </w:pPr>
            <w:r>
              <w:rPr>
                <w:rFonts w:hint="eastAsia"/>
                <w:szCs w:val="21"/>
              </w:rPr>
              <w:t>1#</w:t>
            </w:r>
            <w:r>
              <w:rPr>
                <w:szCs w:val="21"/>
              </w:rPr>
              <w:t>水泥筒仓仓顶排口</w:t>
            </w:r>
            <w:r>
              <w:rPr>
                <w:rFonts w:hint="eastAsia"/>
                <w:szCs w:val="21"/>
              </w:rPr>
              <w:t>DA001</w:t>
            </w:r>
          </w:p>
        </w:tc>
        <w:tc>
          <w:tcPr>
            <w:tcW w:w="1275" w:type="dxa"/>
            <w:vAlign w:val="center"/>
          </w:tcPr>
          <w:p>
            <w:pPr>
              <w:adjustRightInd w:val="0"/>
              <w:snapToGrid w:val="0"/>
              <w:jc w:val="center"/>
              <w:rPr>
                <w:szCs w:val="21"/>
              </w:rPr>
            </w:pPr>
            <w:r>
              <w:rPr>
                <w:szCs w:val="21"/>
              </w:rPr>
              <w:t>颗粒物</w:t>
            </w:r>
          </w:p>
        </w:tc>
        <w:tc>
          <w:tcPr>
            <w:tcW w:w="2536" w:type="dxa"/>
            <w:vAlign w:val="center"/>
          </w:tcPr>
          <w:p>
            <w:pPr>
              <w:adjustRightInd w:val="0"/>
              <w:snapToGrid w:val="0"/>
              <w:jc w:val="center"/>
              <w:rPr>
                <w:lang w:bidi="ar"/>
              </w:rPr>
            </w:pPr>
            <w:r>
              <w:rPr>
                <w:lang w:bidi="ar"/>
              </w:rPr>
              <w:t>仓顶部排气孔处安装有仓顶滤芯除尘器</w:t>
            </w:r>
          </w:p>
        </w:tc>
        <w:tc>
          <w:tcPr>
            <w:tcW w:w="1580" w:type="dxa"/>
            <w:vMerge w:val="restart"/>
            <w:vAlign w:val="center"/>
          </w:tcPr>
          <w:p>
            <w:pPr>
              <w:adjustRightInd w:val="0"/>
              <w:snapToGrid w:val="0"/>
              <w:jc w:val="center"/>
              <w:rPr>
                <w:szCs w:val="21"/>
              </w:rPr>
            </w:pPr>
            <w:r>
              <w:rPr>
                <w:szCs w:val="21"/>
              </w:rPr>
              <w:t>《水泥工业大气污染物排放标准》（GB4915-2013）</w:t>
            </w:r>
            <w:r>
              <w:rPr>
                <w:rFonts w:hint="eastAsia"/>
                <w:snapToGrid w:val="0"/>
                <w:szCs w:val="21"/>
              </w:rPr>
              <w:t>表</w:t>
            </w:r>
            <w:r>
              <w:rPr>
                <w:snapToGrid w:val="0"/>
                <w:szCs w:val="21"/>
              </w:rPr>
              <w:t>2</w:t>
            </w:r>
            <w:r>
              <w:rPr>
                <w:rFonts w:hint="eastAsia"/>
                <w:snapToGrid w:val="0"/>
                <w:szCs w:val="21"/>
              </w:rPr>
              <w:t>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jc w:val="center"/>
              <w:rPr>
                <w:szCs w:val="21"/>
              </w:rPr>
            </w:pPr>
            <w:r>
              <w:rPr>
                <w:rFonts w:hint="eastAsia"/>
                <w:szCs w:val="21"/>
              </w:rPr>
              <w:t>2#</w:t>
            </w:r>
            <w:r>
              <w:rPr>
                <w:szCs w:val="21"/>
              </w:rPr>
              <w:t>水泥筒仓仓顶排口</w:t>
            </w:r>
            <w:r>
              <w:rPr>
                <w:rFonts w:hint="eastAsia"/>
                <w:szCs w:val="21"/>
              </w:rPr>
              <w:t>DA002</w:t>
            </w:r>
          </w:p>
        </w:tc>
        <w:tc>
          <w:tcPr>
            <w:tcW w:w="1275" w:type="dxa"/>
            <w:vAlign w:val="center"/>
          </w:tcPr>
          <w:p>
            <w:pPr>
              <w:adjustRightInd w:val="0"/>
              <w:snapToGrid w:val="0"/>
              <w:jc w:val="center"/>
              <w:rPr>
                <w:szCs w:val="21"/>
              </w:rPr>
            </w:pPr>
            <w:r>
              <w:rPr>
                <w:szCs w:val="21"/>
              </w:rPr>
              <w:t>颗粒物</w:t>
            </w:r>
          </w:p>
        </w:tc>
        <w:tc>
          <w:tcPr>
            <w:tcW w:w="2536" w:type="dxa"/>
            <w:vAlign w:val="center"/>
          </w:tcPr>
          <w:p>
            <w:pPr>
              <w:adjustRightInd w:val="0"/>
              <w:snapToGrid w:val="0"/>
              <w:jc w:val="center"/>
              <w:rPr>
                <w:lang w:bidi="ar"/>
              </w:rPr>
            </w:pPr>
            <w:r>
              <w:rPr>
                <w:lang w:bidi="ar"/>
              </w:rPr>
              <w:t>仓顶部排气孔处安装有仓顶滤芯除尘器</w:t>
            </w:r>
          </w:p>
        </w:tc>
        <w:tc>
          <w:tcPr>
            <w:tcW w:w="1580" w:type="dxa"/>
            <w:vMerge w:val="continue"/>
            <w:vAlign w:val="center"/>
          </w:tcPr>
          <w:p>
            <w:pPr>
              <w:adjustRightInd w:val="0"/>
              <w:snapToGrid w:val="0"/>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jc w:val="center"/>
              <w:rPr>
                <w:szCs w:val="21"/>
              </w:rPr>
            </w:pPr>
            <w:r>
              <w:rPr>
                <w:rFonts w:hint="eastAsia"/>
                <w:szCs w:val="21"/>
              </w:rPr>
              <w:t>1#粉煤灰</w:t>
            </w:r>
            <w:r>
              <w:rPr>
                <w:szCs w:val="21"/>
              </w:rPr>
              <w:t>筒仓仓顶排口</w:t>
            </w:r>
            <w:r>
              <w:rPr>
                <w:rFonts w:hint="eastAsia"/>
                <w:szCs w:val="21"/>
              </w:rPr>
              <w:t>DA003</w:t>
            </w:r>
          </w:p>
        </w:tc>
        <w:tc>
          <w:tcPr>
            <w:tcW w:w="1275" w:type="dxa"/>
            <w:vAlign w:val="center"/>
          </w:tcPr>
          <w:p>
            <w:pPr>
              <w:adjustRightInd w:val="0"/>
              <w:snapToGrid w:val="0"/>
              <w:jc w:val="center"/>
              <w:rPr>
                <w:szCs w:val="21"/>
              </w:rPr>
            </w:pPr>
            <w:r>
              <w:rPr>
                <w:szCs w:val="21"/>
              </w:rPr>
              <w:t>颗粒物</w:t>
            </w:r>
          </w:p>
        </w:tc>
        <w:tc>
          <w:tcPr>
            <w:tcW w:w="2536" w:type="dxa"/>
            <w:vAlign w:val="center"/>
          </w:tcPr>
          <w:p>
            <w:pPr>
              <w:adjustRightInd w:val="0"/>
              <w:snapToGrid w:val="0"/>
              <w:jc w:val="center"/>
              <w:rPr>
                <w:lang w:bidi="ar"/>
              </w:rPr>
            </w:pPr>
            <w:r>
              <w:rPr>
                <w:lang w:bidi="ar"/>
              </w:rPr>
              <w:t>仓顶部排气孔处安装有仓顶滤芯除尘器</w:t>
            </w:r>
          </w:p>
        </w:tc>
        <w:tc>
          <w:tcPr>
            <w:tcW w:w="1580" w:type="dxa"/>
            <w:vMerge w:val="continue"/>
            <w:vAlign w:val="center"/>
          </w:tcPr>
          <w:p>
            <w:pPr>
              <w:adjustRightInd w:val="0"/>
              <w:snapToGrid w:val="0"/>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jc w:val="center"/>
              <w:rPr>
                <w:szCs w:val="21"/>
              </w:rPr>
            </w:pPr>
            <w:r>
              <w:rPr>
                <w:rFonts w:hint="eastAsia"/>
                <w:szCs w:val="21"/>
              </w:rPr>
              <w:t>2#粉煤灰</w:t>
            </w:r>
            <w:r>
              <w:rPr>
                <w:szCs w:val="21"/>
              </w:rPr>
              <w:t>筒仓仓顶排口</w:t>
            </w:r>
            <w:r>
              <w:rPr>
                <w:rFonts w:hint="eastAsia"/>
                <w:szCs w:val="21"/>
              </w:rPr>
              <w:t>DA004</w:t>
            </w:r>
          </w:p>
        </w:tc>
        <w:tc>
          <w:tcPr>
            <w:tcW w:w="1275" w:type="dxa"/>
            <w:vAlign w:val="center"/>
          </w:tcPr>
          <w:p>
            <w:pPr>
              <w:adjustRightInd w:val="0"/>
              <w:snapToGrid w:val="0"/>
              <w:jc w:val="center"/>
              <w:rPr>
                <w:szCs w:val="21"/>
              </w:rPr>
            </w:pPr>
            <w:r>
              <w:rPr>
                <w:szCs w:val="21"/>
              </w:rPr>
              <w:t>颗粒物</w:t>
            </w:r>
          </w:p>
        </w:tc>
        <w:tc>
          <w:tcPr>
            <w:tcW w:w="2536" w:type="dxa"/>
            <w:vAlign w:val="center"/>
          </w:tcPr>
          <w:p>
            <w:pPr>
              <w:adjustRightInd w:val="0"/>
              <w:snapToGrid w:val="0"/>
              <w:jc w:val="center"/>
              <w:rPr>
                <w:lang w:bidi="ar"/>
              </w:rPr>
            </w:pPr>
            <w:r>
              <w:rPr>
                <w:lang w:bidi="ar"/>
              </w:rPr>
              <w:t>仓顶部排气孔处安装有仓顶滤芯除尘器</w:t>
            </w:r>
          </w:p>
        </w:tc>
        <w:tc>
          <w:tcPr>
            <w:tcW w:w="1580" w:type="dxa"/>
            <w:vMerge w:val="continue"/>
            <w:vAlign w:val="center"/>
          </w:tcPr>
          <w:p>
            <w:pPr>
              <w:adjustRightInd w:val="0"/>
              <w:snapToGrid w:val="0"/>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adjustRightInd w:val="0"/>
              <w:snapToGrid w:val="0"/>
              <w:jc w:val="center"/>
              <w:rPr>
                <w:szCs w:val="21"/>
              </w:rPr>
            </w:pPr>
            <w:r>
              <w:rPr>
                <w:rFonts w:hint="eastAsia"/>
                <w:szCs w:val="21"/>
              </w:rPr>
              <w:t>砂石储料棚装卸堆存粉尘</w:t>
            </w:r>
          </w:p>
        </w:tc>
        <w:tc>
          <w:tcPr>
            <w:tcW w:w="1275" w:type="dxa"/>
            <w:vAlign w:val="center"/>
          </w:tcPr>
          <w:p>
            <w:pPr>
              <w:adjustRightInd w:val="0"/>
              <w:snapToGrid w:val="0"/>
              <w:jc w:val="center"/>
              <w:rPr>
                <w:szCs w:val="21"/>
              </w:rPr>
            </w:pPr>
            <w:r>
              <w:rPr>
                <w:szCs w:val="21"/>
              </w:rPr>
              <w:t>颗粒物</w:t>
            </w:r>
          </w:p>
        </w:tc>
        <w:tc>
          <w:tcPr>
            <w:tcW w:w="2536" w:type="dxa"/>
            <w:vAlign w:val="center"/>
          </w:tcPr>
          <w:p>
            <w:pPr>
              <w:adjustRightInd w:val="0"/>
              <w:snapToGrid w:val="0"/>
              <w:jc w:val="center"/>
              <w:rPr>
                <w:szCs w:val="21"/>
              </w:rPr>
            </w:pPr>
            <w:r>
              <w:rPr>
                <w:rFonts w:hint="eastAsia"/>
                <w:bCs/>
                <w:lang w:bidi="ar"/>
              </w:rPr>
              <w:t>砂子、碎石堆放在密闭原料储库内，装卸也在封闭的储库内进行，砂石堆放区上方设置喷淋设施，</w:t>
            </w:r>
            <w:r>
              <w:rPr>
                <w:bCs/>
                <w:lang w:bidi="ar"/>
              </w:rPr>
              <w:t>原料装卸过程尽量减小卸料落差</w:t>
            </w:r>
            <w:r>
              <w:rPr>
                <w:rFonts w:hint="eastAsia"/>
                <w:bCs/>
                <w:lang w:bidi="ar"/>
              </w:rPr>
              <w:t>。</w:t>
            </w:r>
          </w:p>
        </w:tc>
        <w:tc>
          <w:tcPr>
            <w:tcW w:w="1580" w:type="dxa"/>
            <w:vMerge w:val="restart"/>
            <w:vAlign w:val="center"/>
          </w:tcPr>
          <w:p>
            <w:pPr>
              <w:adjustRightInd w:val="0"/>
              <w:snapToGrid w:val="0"/>
              <w:jc w:val="center"/>
              <w:rPr>
                <w:szCs w:val="21"/>
              </w:rPr>
            </w:pPr>
            <w:r>
              <w:rPr>
                <w:szCs w:val="21"/>
              </w:rPr>
              <w:t>《水泥工业大气污染物排放标准》（GB4915-2013）</w:t>
            </w:r>
            <w:r>
              <w:rPr>
                <w:snapToGrid w:val="0"/>
                <w:szCs w:val="21"/>
              </w:rPr>
              <w:t>无组织排放限值要求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adjustRightInd w:val="0"/>
              <w:snapToGrid w:val="0"/>
              <w:jc w:val="center"/>
              <w:rPr>
                <w:szCs w:val="21"/>
              </w:rPr>
            </w:pPr>
            <w:r>
              <w:rPr>
                <w:rFonts w:hint="eastAsia"/>
                <w:szCs w:val="21"/>
              </w:rPr>
              <w:t>上料</w:t>
            </w:r>
          </w:p>
        </w:tc>
        <w:tc>
          <w:tcPr>
            <w:tcW w:w="1275" w:type="dxa"/>
            <w:vAlign w:val="center"/>
          </w:tcPr>
          <w:p>
            <w:pPr>
              <w:adjustRightInd w:val="0"/>
              <w:snapToGrid w:val="0"/>
              <w:jc w:val="center"/>
              <w:rPr>
                <w:szCs w:val="21"/>
              </w:rPr>
            </w:pPr>
            <w:r>
              <w:rPr>
                <w:szCs w:val="21"/>
              </w:rPr>
              <w:t>颗粒物</w:t>
            </w:r>
          </w:p>
        </w:tc>
        <w:tc>
          <w:tcPr>
            <w:tcW w:w="2536" w:type="dxa"/>
            <w:vAlign w:val="center"/>
          </w:tcPr>
          <w:p>
            <w:pPr>
              <w:adjustRightInd w:val="0"/>
              <w:snapToGrid w:val="0"/>
              <w:jc w:val="center"/>
              <w:rPr>
                <w:lang w:bidi="ar"/>
              </w:rPr>
            </w:pPr>
            <w:r>
              <w:rPr>
                <w:rFonts w:hint="eastAsia"/>
                <w:bCs/>
                <w:lang w:bidi="ar"/>
              </w:rPr>
              <w:t>砂石原料利用装载机由砂石原料库运至上料仓，输送带两侧和上部为封闭结构，上料仓顶部设置洒水抑尘装置。</w:t>
            </w:r>
          </w:p>
        </w:tc>
        <w:tc>
          <w:tcPr>
            <w:tcW w:w="1580" w:type="dxa"/>
            <w:vMerge w:val="continue"/>
            <w:vAlign w:val="center"/>
          </w:tcPr>
          <w:p>
            <w:pPr>
              <w:adjustRightInd w:val="0"/>
              <w:snapToGrid w:val="0"/>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adjustRightInd w:val="0"/>
              <w:snapToGrid w:val="0"/>
              <w:jc w:val="center"/>
              <w:rPr>
                <w:szCs w:val="21"/>
              </w:rPr>
            </w:pPr>
            <w:r>
              <w:rPr>
                <w:szCs w:val="21"/>
              </w:rPr>
              <w:t>搅拌站</w:t>
            </w:r>
          </w:p>
        </w:tc>
        <w:tc>
          <w:tcPr>
            <w:tcW w:w="1275" w:type="dxa"/>
            <w:vAlign w:val="center"/>
          </w:tcPr>
          <w:p>
            <w:pPr>
              <w:adjustRightInd w:val="0"/>
              <w:snapToGrid w:val="0"/>
              <w:jc w:val="center"/>
              <w:rPr>
                <w:szCs w:val="21"/>
              </w:rPr>
            </w:pPr>
            <w:r>
              <w:rPr>
                <w:szCs w:val="21"/>
              </w:rPr>
              <w:t>颗粒物</w:t>
            </w:r>
          </w:p>
        </w:tc>
        <w:tc>
          <w:tcPr>
            <w:tcW w:w="2536" w:type="dxa"/>
            <w:vAlign w:val="center"/>
          </w:tcPr>
          <w:p>
            <w:pPr>
              <w:adjustRightInd w:val="0"/>
              <w:snapToGrid w:val="0"/>
              <w:jc w:val="center"/>
              <w:rPr>
                <w:lang w:bidi="ar"/>
              </w:rPr>
            </w:pPr>
            <w:r>
              <w:rPr>
                <w:rFonts w:hint="eastAsia"/>
                <w:bCs/>
                <w:lang w:bidi="ar"/>
              </w:rPr>
              <w:t>搅拌主机采用钢结构厂房进行全封闭，输送带和搅拌主机之间用帆布软连接，</w:t>
            </w:r>
            <w:r>
              <w:rPr>
                <w:bCs/>
                <w:lang w:bidi="ar"/>
              </w:rPr>
              <w:t>搅拌机</w:t>
            </w:r>
            <w:r>
              <w:rPr>
                <w:rFonts w:hint="eastAsia"/>
                <w:bCs/>
                <w:lang w:bidi="ar"/>
              </w:rPr>
              <w:t>配有一套</w:t>
            </w:r>
            <w:r>
              <w:rPr>
                <w:bCs/>
                <w:lang w:bidi="ar"/>
              </w:rPr>
              <w:t>脉冲布袋除尘器</w:t>
            </w:r>
            <w:r>
              <w:rPr>
                <w:rFonts w:hint="eastAsia"/>
                <w:bCs/>
                <w:lang w:bidi="ar"/>
              </w:rPr>
              <w:t>。</w:t>
            </w:r>
          </w:p>
        </w:tc>
        <w:tc>
          <w:tcPr>
            <w:tcW w:w="1580" w:type="dxa"/>
            <w:vMerge w:val="continue"/>
            <w:vAlign w:val="center"/>
          </w:tcPr>
          <w:p>
            <w:pPr>
              <w:adjustRightInd w:val="0"/>
              <w:snapToGrid w:val="0"/>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adjustRightInd w:val="0"/>
              <w:snapToGrid w:val="0"/>
              <w:jc w:val="center"/>
              <w:rPr>
                <w:szCs w:val="21"/>
              </w:rPr>
            </w:pPr>
            <w:r>
              <w:rPr>
                <w:szCs w:val="21"/>
              </w:rPr>
              <w:t>车辆运输</w:t>
            </w:r>
          </w:p>
        </w:tc>
        <w:tc>
          <w:tcPr>
            <w:tcW w:w="1275" w:type="dxa"/>
            <w:vAlign w:val="center"/>
          </w:tcPr>
          <w:p>
            <w:pPr>
              <w:adjustRightInd w:val="0"/>
              <w:snapToGrid w:val="0"/>
              <w:jc w:val="center"/>
              <w:rPr>
                <w:szCs w:val="21"/>
              </w:rPr>
            </w:pPr>
            <w:r>
              <w:rPr>
                <w:szCs w:val="21"/>
              </w:rPr>
              <w:t>颗粒物</w:t>
            </w:r>
          </w:p>
        </w:tc>
        <w:tc>
          <w:tcPr>
            <w:tcW w:w="2536" w:type="dxa"/>
            <w:vAlign w:val="center"/>
          </w:tcPr>
          <w:p>
            <w:pPr>
              <w:adjustRightInd w:val="0"/>
              <w:snapToGrid w:val="0"/>
              <w:jc w:val="center"/>
              <w:rPr>
                <w:lang w:bidi="ar"/>
              </w:rPr>
            </w:pPr>
            <w:r>
              <w:rPr>
                <w:bCs/>
                <w:lang w:bidi="ar"/>
              </w:rPr>
              <w:t>厂区道路</w:t>
            </w:r>
            <w:r>
              <w:rPr>
                <w:rFonts w:hint="eastAsia"/>
                <w:bCs/>
                <w:lang w:bidi="ar"/>
              </w:rPr>
              <w:t>、停车场及其他地面实施</w:t>
            </w:r>
            <w:r>
              <w:rPr>
                <w:bCs/>
                <w:lang w:bidi="ar"/>
              </w:rPr>
              <w:t>硬化措施</w:t>
            </w:r>
            <w:r>
              <w:rPr>
                <w:rFonts w:hint="eastAsia"/>
                <w:bCs/>
                <w:lang w:bidi="ar"/>
              </w:rPr>
              <w:t>，</w:t>
            </w:r>
            <w:r>
              <w:rPr>
                <w:bCs/>
                <w:lang w:bidi="ar"/>
              </w:rPr>
              <w:t>定时洒水</w:t>
            </w:r>
            <w:r>
              <w:rPr>
                <w:rFonts w:hint="eastAsia"/>
                <w:bCs/>
                <w:lang w:bidi="ar"/>
              </w:rPr>
              <w:t>；</w:t>
            </w:r>
            <w:r>
              <w:rPr>
                <w:bCs/>
                <w:lang w:bidi="ar"/>
              </w:rPr>
              <w:t>厂区出入口处已设置</w:t>
            </w:r>
            <w:r>
              <w:rPr>
                <w:rFonts w:hint="eastAsia"/>
                <w:bCs/>
                <w:lang w:bidi="ar"/>
              </w:rPr>
              <w:t>U型槽，并配备高压水枪设备对驶出车辆进行冲洗清洁；厂区有保洁人员及时对散落的物料进行清扫收集。</w:t>
            </w:r>
          </w:p>
        </w:tc>
        <w:tc>
          <w:tcPr>
            <w:tcW w:w="1580" w:type="dxa"/>
            <w:vMerge w:val="continue"/>
            <w:vAlign w:val="center"/>
          </w:tcPr>
          <w:p>
            <w:pPr>
              <w:adjustRightInd w:val="0"/>
              <w:snapToGrid w:val="0"/>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restart"/>
            <w:vAlign w:val="center"/>
          </w:tcPr>
          <w:p>
            <w:pPr>
              <w:adjustRightInd w:val="0"/>
              <w:snapToGrid w:val="0"/>
              <w:jc w:val="center"/>
              <w:rPr>
                <w:b/>
                <w:bCs/>
                <w:szCs w:val="21"/>
              </w:rPr>
            </w:pPr>
            <w:r>
              <w:rPr>
                <w:b/>
                <w:bCs/>
                <w:szCs w:val="21"/>
              </w:rPr>
              <w:t>地表水环境</w:t>
            </w:r>
          </w:p>
        </w:tc>
        <w:tc>
          <w:tcPr>
            <w:tcW w:w="1701" w:type="dxa"/>
            <w:vAlign w:val="center"/>
          </w:tcPr>
          <w:p>
            <w:pPr>
              <w:adjustRightInd w:val="0"/>
              <w:snapToGrid w:val="0"/>
              <w:jc w:val="center"/>
              <w:rPr>
                <w:lang w:bidi="ar"/>
              </w:rPr>
            </w:pPr>
            <w:r>
              <w:rPr>
                <w:rFonts w:hint="eastAsia"/>
                <w:lang w:bidi="ar"/>
              </w:rPr>
              <w:t>搅拌机及运输车辆清洗废水</w:t>
            </w:r>
          </w:p>
        </w:tc>
        <w:tc>
          <w:tcPr>
            <w:tcW w:w="1275" w:type="dxa"/>
            <w:vAlign w:val="center"/>
          </w:tcPr>
          <w:p>
            <w:pPr>
              <w:adjustRightInd w:val="0"/>
              <w:snapToGrid w:val="0"/>
              <w:jc w:val="center"/>
            </w:pPr>
            <w:r>
              <w:t>SS</w:t>
            </w:r>
          </w:p>
        </w:tc>
        <w:tc>
          <w:tcPr>
            <w:tcW w:w="2536" w:type="dxa"/>
            <w:vAlign w:val="center"/>
          </w:tcPr>
          <w:p>
            <w:pPr>
              <w:adjustRightInd w:val="0"/>
              <w:snapToGrid w:val="0"/>
              <w:jc w:val="center"/>
            </w:pPr>
            <w:r>
              <w:rPr>
                <w:rFonts w:hint="eastAsia"/>
              </w:rPr>
              <w:t>经三级沉淀池沉淀处理后，全部回用，无外排</w:t>
            </w:r>
          </w:p>
        </w:tc>
        <w:tc>
          <w:tcPr>
            <w:tcW w:w="1580" w:type="dxa"/>
            <w:vAlign w:val="center"/>
          </w:tcPr>
          <w:p>
            <w:pPr>
              <w:adjustRightInd w:val="0"/>
              <w:snapToGrid w:val="0"/>
              <w:jc w:val="center"/>
            </w:pP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adjustRightInd w:val="0"/>
              <w:snapToGrid w:val="0"/>
              <w:jc w:val="center"/>
              <w:rPr>
                <w:lang w:bidi="ar"/>
              </w:rPr>
            </w:pPr>
            <w:r>
              <w:rPr>
                <w:rFonts w:hint="eastAsia"/>
                <w:lang w:bidi="ar"/>
              </w:rPr>
              <w:t>料棚抑尘用水、道路抑尘用水</w:t>
            </w:r>
          </w:p>
        </w:tc>
        <w:tc>
          <w:tcPr>
            <w:tcW w:w="1275" w:type="dxa"/>
            <w:vAlign w:val="center"/>
          </w:tcPr>
          <w:p>
            <w:pPr>
              <w:adjustRightInd w:val="0"/>
              <w:snapToGrid w:val="0"/>
              <w:jc w:val="center"/>
            </w:pPr>
            <w:r>
              <w:rPr>
                <w:rFonts w:hint="eastAsia"/>
              </w:rPr>
              <w:t>S</w:t>
            </w:r>
            <w:r>
              <w:t>S</w:t>
            </w:r>
          </w:p>
        </w:tc>
        <w:tc>
          <w:tcPr>
            <w:tcW w:w="2536" w:type="dxa"/>
            <w:vAlign w:val="center"/>
          </w:tcPr>
          <w:p>
            <w:pPr>
              <w:adjustRightInd w:val="0"/>
              <w:snapToGrid w:val="0"/>
              <w:jc w:val="center"/>
            </w:pPr>
            <w:r>
              <w:rPr>
                <w:rFonts w:hint="eastAsia"/>
              </w:rPr>
              <w:t>自然蒸发</w:t>
            </w:r>
          </w:p>
        </w:tc>
        <w:tc>
          <w:tcPr>
            <w:tcW w:w="1580" w:type="dxa"/>
            <w:vAlign w:val="center"/>
          </w:tcPr>
          <w:p>
            <w:pPr>
              <w:adjustRightInd w:val="0"/>
              <w:snapToGrid w:val="0"/>
              <w:jc w:val="center"/>
            </w:pP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Merge w:val="continue"/>
            <w:vAlign w:val="center"/>
          </w:tcPr>
          <w:p>
            <w:pPr>
              <w:adjustRightInd w:val="0"/>
              <w:snapToGrid w:val="0"/>
              <w:jc w:val="center"/>
              <w:rPr>
                <w:b/>
                <w:bCs/>
                <w:szCs w:val="21"/>
              </w:rPr>
            </w:pPr>
          </w:p>
        </w:tc>
        <w:tc>
          <w:tcPr>
            <w:tcW w:w="1701" w:type="dxa"/>
            <w:vAlign w:val="center"/>
          </w:tcPr>
          <w:p>
            <w:pPr>
              <w:adjustRightInd w:val="0"/>
              <w:snapToGrid w:val="0"/>
              <w:jc w:val="center"/>
              <w:rPr>
                <w:lang w:bidi="ar"/>
              </w:rPr>
            </w:pPr>
            <w:r>
              <w:rPr>
                <w:lang w:bidi="ar"/>
              </w:rPr>
              <w:t>生活污水</w:t>
            </w:r>
          </w:p>
        </w:tc>
        <w:tc>
          <w:tcPr>
            <w:tcW w:w="1275" w:type="dxa"/>
            <w:vAlign w:val="center"/>
          </w:tcPr>
          <w:p>
            <w:pPr>
              <w:adjustRightInd w:val="0"/>
              <w:snapToGrid w:val="0"/>
              <w:jc w:val="center"/>
            </w:pPr>
            <w:r>
              <w:t>COD、BOD、SS、NH</w:t>
            </w:r>
            <w:r>
              <w:rPr>
                <w:rFonts w:hint="eastAsia"/>
                <w:vertAlign w:val="subscript"/>
              </w:rPr>
              <w:t>3</w:t>
            </w:r>
            <w:r>
              <w:rPr>
                <w:rFonts w:hint="eastAsia"/>
              </w:rPr>
              <w:t>-N、总氮、总磷、动植物油</w:t>
            </w:r>
          </w:p>
        </w:tc>
        <w:tc>
          <w:tcPr>
            <w:tcW w:w="2536" w:type="dxa"/>
            <w:vAlign w:val="center"/>
          </w:tcPr>
          <w:p>
            <w:pPr>
              <w:adjustRightInd w:val="0"/>
              <w:snapToGrid w:val="0"/>
              <w:jc w:val="center"/>
            </w:pPr>
            <w:r>
              <w:rPr>
                <w:rFonts w:hint="eastAsia"/>
                <w:bCs/>
              </w:rPr>
              <w:t>经化粪池收集后，定期拉运至札萨克镇台格办事处污水处理厂处理</w:t>
            </w:r>
          </w:p>
        </w:tc>
        <w:tc>
          <w:tcPr>
            <w:tcW w:w="1580" w:type="dxa"/>
            <w:vAlign w:val="center"/>
          </w:tcPr>
          <w:p>
            <w:pPr>
              <w:adjustRightInd w:val="0"/>
              <w:snapToGrid w:val="0"/>
              <w:jc w:val="center"/>
            </w:pPr>
            <w:r>
              <w:rPr>
                <w:snapToGrid w:val="0"/>
                <w:szCs w:val="21"/>
              </w:rPr>
              <w:t>《污水综合排放标准》（GB8978-1996）中三级标准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Align w:val="center"/>
          </w:tcPr>
          <w:p>
            <w:pPr>
              <w:adjustRightInd w:val="0"/>
              <w:snapToGrid w:val="0"/>
              <w:jc w:val="center"/>
              <w:rPr>
                <w:b/>
                <w:bCs/>
                <w:szCs w:val="21"/>
              </w:rPr>
            </w:pPr>
            <w:r>
              <w:rPr>
                <w:b/>
                <w:bCs/>
                <w:szCs w:val="21"/>
              </w:rPr>
              <w:t>声环境</w:t>
            </w:r>
          </w:p>
        </w:tc>
        <w:tc>
          <w:tcPr>
            <w:tcW w:w="1701" w:type="dxa"/>
            <w:vAlign w:val="center"/>
          </w:tcPr>
          <w:p>
            <w:pPr>
              <w:adjustRightInd w:val="0"/>
              <w:snapToGrid w:val="0"/>
              <w:jc w:val="center"/>
              <w:rPr>
                <w:szCs w:val="21"/>
              </w:rPr>
            </w:pPr>
            <w:r>
              <w:rPr>
                <w:lang w:bidi="ar"/>
              </w:rPr>
              <w:t>搅拌机、传送带</w:t>
            </w:r>
          </w:p>
        </w:tc>
        <w:tc>
          <w:tcPr>
            <w:tcW w:w="1275" w:type="dxa"/>
            <w:vAlign w:val="center"/>
          </w:tcPr>
          <w:p>
            <w:pPr>
              <w:adjustRightInd w:val="0"/>
              <w:snapToGrid w:val="0"/>
              <w:jc w:val="center"/>
              <w:rPr>
                <w:szCs w:val="21"/>
              </w:rPr>
            </w:pPr>
            <w:r>
              <w:t>等效</w:t>
            </w:r>
            <w:r>
              <w:rPr>
                <w:rFonts w:hint="eastAsia"/>
              </w:rPr>
              <w:t>连续A</w:t>
            </w:r>
            <w:r>
              <w:t>声级</w:t>
            </w:r>
          </w:p>
        </w:tc>
        <w:tc>
          <w:tcPr>
            <w:tcW w:w="2536" w:type="dxa"/>
            <w:vAlign w:val="center"/>
          </w:tcPr>
          <w:p>
            <w:pPr>
              <w:adjustRightInd w:val="0"/>
              <w:snapToGrid w:val="0"/>
              <w:jc w:val="center"/>
              <w:rPr>
                <w:szCs w:val="21"/>
              </w:rPr>
            </w:pPr>
            <w:r>
              <w:t>选用低噪声设备，设备安装</w:t>
            </w:r>
            <w:r>
              <w:rPr>
                <w:rFonts w:hint="eastAsia"/>
              </w:rPr>
              <w:t>减振</w:t>
            </w:r>
            <w:r>
              <w:t>垫，并加强维护</w:t>
            </w:r>
          </w:p>
        </w:tc>
        <w:tc>
          <w:tcPr>
            <w:tcW w:w="1580" w:type="dxa"/>
            <w:vAlign w:val="center"/>
          </w:tcPr>
          <w:p>
            <w:pPr>
              <w:adjustRightInd w:val="0"/>
              <w:snapToGrid w:val="0"/>
              <w:jc w:val="center"/>
              <w:rPr>
                <w:szCs w:val="21"/>
              </w:rPr>
            </w:pPr>
            <w:r>
              <w:rPr>
                <w:rFonts w:hint="eastAsia"/>
              </w:rPr>
              <w:t>《</w:t>
            </w:r>
            <w:r>
              <w:t>工业企业厂界环境噪声排放标准》中</w:t>
            </w:r>
            <w:r>
              <w:rPr>
                <w:rFonts w:hint="eastAsia"/>
              </w:rPr>
              <w:t>2</w:t>
            </w:r>
            <w:r>
              <w:t>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708" w:type="dxa"/>
            <w:vAlign w:val="center"/>
          </w:tcPr>
          <w:p>
            <w:pPr>
              <w:adjustRightInd w:val="0"/>
              <w:snapToGrid w:val="0"/>
              <w:jc w:val="center"/>
              <w:rPr>
                <w:b/>
                <w:bCs/>
                <w:szCs w:val="21"/>
              </w:rPr>
            </w:pPr>
            <w:r>
              <w:rPr>
                <w:b/>
                <w:bCs/>
                <w:szCs w:val="21"/>
              </w:rPr>
              <w:t>固体废物</w:t>
            </w:r>
          </w:p>
        </w:tc>
        <w:tc>
          <w:tcPr>
            <w:tcW w:w="7092" w:type="dxa"/>
            <w:gridSpan w:val="4"/>
            <w:vAlign w:val="center"/>
          </w:tcPr>
          <w:p>
            <w:pPr>
              <w:ind w:firstLine="420" w:firstLineChars="200"/>
              <w:jc w:val="left"/>
              <w:rPr>
                <w:sz w:val="28"/>
                <w:szCs w:val="28"/>
              </w:rPr>
            </w:pPr>
            <w:r>
              <w:rPr>
                <w:szCs w:val="21"/>
              </w:rPr>
              <w:t>沉淀池沉渣和除尘灰返回生产线用于生产</w:t>
            </w:r>
            <w:r>
              <w:rPr>
                <w:rFonts w:hint="eastAsia"/>
                <w:szCs w:val="21"/>
              </w:rPr>
              <w:t>；</w:t>
            </w:r>
            <w:r>
              <w:rPr>
                <w:szCs w:val="21"/>
              </w:rPr>
              <w:t>生活</w:t>
            </w:r>
            <w:r>
              <w:rPr>
                <w:rFonts w:hint="eastAsia"/>
                <w:szCs w:val="21"/>
              </w:rPr>
              <w:t>垃圾</w:t>
            </w:r>
            <w:r>
              <w:rPr>
                <w:szCs w:val="21"/>
              </w:rPr>
              <w:t>统一收集于有盖垃圾箱内，委托环卫部门定期处理</w:t>
            </w:r>
            <w:r>
              <w:rPr>
                <w:rFonts w:hint="eastAsia"/>
                <w:szCs w:val="21"/>
              </w:rPr>
              <w:t>；</w:t>
            </w:r>
            <w:r>
              <w:rPr>
                <w:szCs w:val="21"/>
              </w:rPr>
              <w:t>设备</w:t>
            </w:r>
            <w:r>
              <w:rPr>
                <w:rFonts w:hint="eastAsia"/>
                <w:szCs w:val="21"/>
              </w:rPr>
              <w:t>由厂家定期维护，更换的废机油由厂家处置，不在厂区内暂存</w:t>
            </w:r>
            <w:r>
              <w:rPr>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708" w:type="dxa"/>
            <w:vAlign w:val="center"/>
          </w:tcPr>
          <w:p>
            <w:pPr>
              <w:adjustRightInd w:val="0"/>
              <w:snapToGrid w:val="0"/>
              <w:jc w:val="center"/>
              <w:rPr>
                <w:b/>
                <w:bCs/>
                <w:szCs w:val="21"/>
              </w:rPr>
            </w:pPr>
            <w:r>
              <w:rPr>
                <w:b/>
                <w:bCs/>
                <w:szCs w:val="21"/>
              </w:rPr>
              <w:t>土壤及地下水</w:t>
            </w:r>
          </w:p>
          <w:p>
            <w:pPr>
              <w:adjustRightInd w:val="0"/>
              <w:snapToGrid w:val="0"/>
              <w:jc w:val="center"/>
              <w:rPr>
                <w:b/>
                <w:bCs/>
                <w:szCs w:val="21"/>
              </w:rPr>
            </w:pPr>
            <w:r>
              <w:rPr>
                <w:b/>
                <w:bCs/>
                <w:szCs w:val="21"/>
              </w:rPr>
              <w:t>污染防治措施</w:t>
            </w:r>
          </w:p>
        </w:tc>
        <w:tc>
          <w:tcPr>
            <w:tcW w:w="7092" w:type="dxa"/>
            <w:gridSpan w:val="4"/>
            <w:vAlign w:val="center"/>
          </w:tcPr>
          <w:p>
            <w:pPr>
              <w:adjustRightInd w:val="0"/>
              <w:snapToGrid w:val="0"/>
              <w:ind w:firstLine="420" w:firstLineChars="200"/>
              <w:jc w:val="left"/>
              <w:rPr>
                <w:szCs w:val="21"/>
              </w:rPr>
            </w:pPr>
            <w:r>
              <w:rPr>
                <w:rFonts w:hint="eastAsia"/>
                <w:szCs w:val="21"/>
                <w:lang w:bidi="ar"/>
              </w:rPr>
              <w:t>参照</w:t>
            </w:r>
            <w:r>
              <w:t>《环境影响评价技术导则 地下水环境》（HJ610-2016）</w:t>
            </w:r>
            <w:r>
              <w:rPr>
                <w:rFonts w:hint="eastAsia"/>
                <w:szCs w:val="21"/>
                <w:lang w:bidi="ar"/>
              </w:rPr>
              <w:t>一般防渗区要求，对</w:t>
            </w:r>
            <w:r>
              <w:rPr>
                <w:szCs w:val="21"/>
                <w:lang w:bidi="ar"/>
              </w:rPr>
              <w:t>化粪池、沉淀池做防渗处理，渗透系数小于1×10</w:t>
            </w:r>
            <w:r>
              <w:rPr>
                <w:szCs w:val="21"/>
                <w:vertAlign w:val="superscript"/>
                <w:lang w:bidi="ar"/>
              </w:rPr>
              <w:t>-7</w:t>
            </w:r>
            <w:r>
              <w:rPr>
                <w:szCs w:val="21"/>
                <w:lang w:bidi="ar"/>
              </w:rPr>
              <w:t>cm/s。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8" w:type="dxa"/>
            <w:vAlign w:val="center"/>
          </w:tcPr>
          <w:p>
            <w:pPr>
              <w:adjustRightInd w:val="0"/>
              <w:snapToGrid w:val="0"/>
              <w:jc w:val="center"/>
              <w:rPr>
                <w:b/>
                <w:bCs/>
                <w:szCs w:val="21"/>
              </w:rPr>
            </w:pPr>
            <w:r>
              <w:rPr>
                <w:b/>
                <w:bCs/>
                <w:szCs w:val="21"/>
              </w:rPr>
              <w:t>生态保护措施</w:t>
            </w:r>
          </w:p>
        </w:tc>
        <w:tc>
          <w:tcPr>
            <w:tcW w:w="7092" w:type="dxa"/>
            <w:gridSpan w:val="4"/>
            <w:vAlign w:val="center"/>
          </w:tcPr>
          <w:p>
            <w:pPr>
              <w:adjustRightInd w:val="0"/>
              <w:snapToGrid w:val="0"/>
              <w:ind w:firstLine="420" w:firstLineChars="200"/>
              <w:jc w:val="left"/>
              <w:rPr>
                <w:szCs w:val="21"/>
              </w:rPr>
            </w:pPr>
            <w:r>
              <w:rPr>
                <w:rFonts w:hint="eastAsia"/>
                <w:szCs w:val="21"/>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708" w:type="dxa"/>
            <w:vAlign w:val="center"/>
          </w:tcPr>
          <w:p>
            <w:pPr>
              <w:adjustRightInd w:val="0"/>
              <w:snapToGrid w:val="0"/>
              <w:jc w:val="center"/>
              <w:rPr>
                <w:b/>
                <w:bCs/>
                <w:szCs w:val="21"/>
              </w:rPr>
            </w:pPr>
            <w:r>
              <w:rPr>
                <w:b/>
                <w:bCs/>
                <w:szCs w:val="21"/>
              </w:rPr>
              <w:t>环境风险</w:t>
            </w:r>
          </w:p>
          <w:p>
            <w:pPr>
              <w:adjustRightInd w:val="0"/>
              <w:snapToGrid w:val="0"/>
              <w:jc w:val="center"/>
              <w:rPr>
                <w:b/>
                <w:bCs/>
                <w:spacing w:val="-8"/>
                <w:szCs w:val="21"/>
              </w:rPr>
            </w:pPr>
            <w:r>
              <w:rPr>
                <w:b/>
                <w:bCs/>
                <w:szCs w:val="21"/>
              </w:rPr>
              <w:t>防范措施</w:t>
            </w:r>
          </w:p>
        </w:tc>
        <w:tc>
          <w:tcPr>
            <w:tcW w:w="7092" w:type="dxa"/>
            <w:gridSpan w:val="4"/>
            <w:vAlign w:val="center"/>
          </w:tcPr>
          <w:p>
            <w:pPr>
              <w:adjustRightInd w:val="0"/>
              <w:snapToGrid w:val="0"/>
              <w:ind w:firstLine="420" w:firstLineChars="200"/>
              <w:jc w:val="left"/>
              <w:rPr>
                <w:szCs w:val="21"/>
                <w:lang w:bidi="zh-CN"/>
              </w:rPr>
            </w:pPr>
            <w:r>
              <w:rPr>
                <w:rFonts w:hint="eastAsia"/>
                <w:szCs w:val="21"/>
                <w:lang w:bidi="ar"/>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708" w:type="dxa"/>
            <w:vAlign w:val="center"/>
          </w:tcPr>
          <w:p>
            <w:pPr>
              <w:adjustRightInd w:val="0"/>
              <w:snapToGrid w:val="0"/>
              <w:jc w:val="center"/>
              <w:rPr>
                <w:b/>
                <w:bCs/>
                <w:szCs w:val="21"/>
              </w:rPr>
            </w:pPr>
            <w:r>
              <w:rPr>
                <w:b/>
                <w:bCs/>
                <w:szCs w:val="21"/>
              </w:rPr>
              <w:t>其他环境</w:t>
            </w:r>
          </w:p>
          <w:p>
            <w:pPr>
              <w:adjustRightInd w:val="0"/>
              <w:snapToGrid w:val="0"/>
              <w:jc w:val="center"/>
              <w:rPr>
                <w:b/>
                <w:bCs/>
                <w:szCs w:val="21"/>
              </w:rPr>
            </w:pPr>
            <w:r>
              <w:rPr>
                <w:b/>
                <w:bCs/>
                <w:szCs w:val="21"/>
              </w:rPr>
              <w:t>管理要求</w:t>
            </w:r>
          </w:p>
        </w:tc>
        <w:tc>
          <w:tcPr>
            <w:tcW w:w="7092" w:type="dxa"/>
            <w:gridSpan w:val="4"/>
            <w:vAlign w:val="center"/>
          </w:tcPr>
          <w:p>
            <w:pPr>
              <w:adjustRightInd w:val="0"/>
              <w:snapToGrid w:val="0"/>
              <w:ind w:firstLine="420" w:firstLineChars="200"/>
              <w:jc w:val="left"/>
              <w:rPr>
                <w:szCs w:val="21"/>
                <w:lang w:bidi="ar"/>
              </w:rPr>
            </w:pPr>
            <w:r>
              <w:rPr>
                <w:szCs w:val="21"/>
                <w:lang w:bidi="ar"/>
              </w:rPr>
              <w:t>加强管理，保证污染防治设施的正常运行，最大限度地减少污染排放给环境造成的影响。环保设施的日常管理和维护保养保证其长期稳定运行。通过宣传、学习，增强职工的环保意识，将生产管理和环保管理有机结合起来</w:t>
            </w:r>
            <w:r>
              <w:rPr>
                <w:rFonts w:hint="eastAsia"/>
                <w:szCs w:val="21"/>
                <w:lang w:bidi="ar"/>
              </w:rPr>
              <w:t>。</w:t>
            </w:r>
          </w:p>
        </w:tc>
      </w:tr>
    </w:tbl>
    <w:p>
      <w:pPr>
        <w:pStyle w:val="13"/>
        <w:jc w:val="center"/>
        <w:outlineLvl w:val="0"/>
        <w:rPr>
          <w:rFonts w:ascii="Times New Roman" w:hAnsi="Times New Roman" w:eastAsia="黑体"/>
          <w:snapToGrid w:val="0"/>
          <w:sz w:val="30"/>
          <w:szCs w:val="30"/>
        </w:rPr>
      </w:pPr>
      <w:r>
        <w:rPr>
          <w:rFonts w:ascii="Times New Roman" w:hAnsi="Times New Roman"/>
          <w:snapToGrid w:val="0"/>
        </w:rPr>
        <w:br w:type="page"/>
      </w:r>
      <w:r>
        <w:rPr>
          <w:rFonts w:hint="eastAsia" w:ascii="Times New Roman" w:hAnsi="Times New Roman" w:eastAsia="黑体"/>
          <w:snapToGrid w:val="0"/>
          <w:sz w:val="30"/>
          <w:szCs w:val="30"/>
        </w:rPr>
        <w:t>六、结论</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pPr>
              <w:spacing w:line="360" w:lineRule="auto"/>
              <w:ind w:firstLine="420" w:firstLineChars="200"/>
              <w:rPr>
                <w:rFonts w:cs="宋体"/>
                <w:bCs/>
                <w:szCs w:val="21"/>
              </w:rPr>
            </w:pPr>
          </w:p>
          <w:p>
            <w:pPr>
              <w:spacing w:line="360" w:lineRule="auto"/>
              <w:ind w:firstLine="420" w:firstLineChars="200"/>
              <w:rPr>
                <w:rFonts w:cs="宋体"/>
                <w:bCs/>
                <w:szCs w:val="21"/>
              </w:rPr>
            </w:pPr>
            <w:r>
              <w:rPr>
                <w:rFonts w:hint="eastAsia" w:cs="宋体"/>
                <w:bCs/>
                <w:szCs w:val="21"/>
              </w:rPr>
              <w:t>本项目符合产业政策、选址合理，项目的建设</w:t>
            </w:r>
            <w:r>
              <w:rPr>
                <w:rFonts w:hint="eastAsia" w:cs="宋体"/>
                <w:bCs/>
                <w:szCs w:val="21"/>
                <w:lang w:val="en-US" w:eastAsia="zh-CN"/>
              </w:rPr>
              <w:t>不</w:t>
            </w:r>
            <w:r>
              <w:rPr>
                <w:rFonts w:hint="eastAsia" w:cs="宋体"/>
                <w:bCs/>
                <w:szCs w:val="21"/>
              </w:rPr>
              <w:t>会对周围环境产生影响，在认真落实本报告中提出的各项污染防治措施及建议的前提下，加强环境管理，其废气、废水、噪声、固体废弃物等对周围环境的影响控制在可接受范围内，项目建设对周边生态影响较小，从环境保护角度分析，该建设项目可行</w:t>
            </w:r>
            <w:r>
              <w:rPr>
                <w:rFonts w:cs="宋体"/>
                <w:bCs/>
                <w:szCs w:val="21"/>
              </w:rPr>
              <w:t>。</w:t>
            </w:r>
            <w:r>
              <w:rPr>
                <w:rFonts w:hint="eastAsia" w:cs="宋体"/>
                <w:bCs/>
                <w:szCs w:val="21"/>
              </w:rPr>
              <w:t xml:space="preserve"> </w:t>
            </w:r>
          </w:p>
          <w:p>
            <w:pPr>
              <w:spacing w:line="360" w:lineRule="auto"/>
              <w:ind w:firstLine="420" w:firstLineChars="200"/>
              <w:rPr>
                <w:rFonts w:cs="宋体"/>
                <w:bCs/>
                <w:szCs w:val="21"/>
              </w:rPr>
            </w:pPr>
          </w:p>
          <w:p>
            <w:pPr>
              <w:spacing w:line="360" w:lineRule="auto"/>
              <w:ind w:firstLine="420" w:firstLineChars="200"/>
              <w:rPr>
                <w:rFonts w:cs="宋体"/>
                <w:szCs w:val="21"/>
              </w:rPr>
            </w:pPr>
          </w:p>
        </w:tc>
      </w:tr>
    </w:tbl>
    <w:p>
      <w:pPr>
        <w:sectPr>
          <w:pgSz w:w="11906" w:h="16838"/>
          <w:pgMar w:top="1701" w:right="1531" w:bottom="1701" w:left="1531" w:header="851" w:footer="851" w:gutter="0"/>
          <w:cols w:space="720" w:num="1"/>
          <w:docGrid w:linePitch="312" w:charSpace="0"/>
        </w:sectPr>
      </w:pPr>
    </w:p>
    <w:p>
      <w:pPr>
        <w:pStyle w:val="13"/>
        <w:adjustRightInd w:val="0"/>
        <w:snapToGrid w:val="0"/>
        <w:spacing w:before="0" w:beforeAutospacing="0" w:after="0" w:afterAutospacing="0"/>
        <w:outlineLvl w:val="0"/>
        <w:rPr>
          <w:rFonts w:ascii="Times New Roman" w:hAnsi="Times New Roman" w:eastAsia="黑体"/>
          <w:snapToGrid w:val="0"/>
          <w:sz w:val="32"/>
          <w:szCs w:val="32"/>
        </w:rPr>
      </w:pPr>
      <w:r>
        <w:rPr>
          <w:rFonts w:hint="eastAsia" w:ascii="Times New Roman" w:hAnsi="Times New Roman" w:eastAsia="黑体"/>
          <w:snapToGrid w:val="0"/>
          <w:sz w:val="32"/>
          <w:szCs w:val="32"/>
        </w:rPr>
        <w:t>附表</w:t>
      </w:r>
    </w:p>
    <w:p>
      <w:pPr>
        <w:pStyle w:val="13"/>
        <w:adjustRightInd w:val="0"/>
        <w:snapToGrid w:val="0"/>
        <w:spacing w:before="0" w:beforeAutospacing="0" w:after="0" w:afterAutospacing="0"/>
        <w:jc w:val="center"/>
        <w:rPr>
          <w:rFonts w:ascii="Times New Roman" w:hAnsi="Times New Roman" w:eastAsia="方正小标宋_GBK"/>
          <w:snapToGrid w:val="0"/>
          <w:sz w:val="38"/>
          <w:szCs w:val="38"/>
        </w:rPr>
      </w:pPr>
      <w:r>
        <w:rPr>
          <w:rFonts w:hint="eastAsia" w:ascii="Times New Roman" w:hAnsi="Times New Roman" w:eastAsia="方正小标宋_GBK"/>
          <w:snapToGrid w:val="0"/>
          <w:sz w:val="38"/>
          <w:szCs w:val="38"/>
        </w:rPr>
        <w:t>建设项目污染物排放量汇总表</w:t>
      </w:r>
    </w:p>
    <w:tbl>
      <w:tblPr>
        <w:tblStyle w:val="14"/>
        <w:tblW w:w="1392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6"/>
        <w:gridCol w:w="772"/>
        <w:gridCol w:w="1417"/>
        <w:gridCol w:w="1701"/>
        <w:gridCol w:w="1276"/>
        <w:gridCol w:w="1701"/>
        <w:gridCol w:w="1559"/>
        <w:gridCol w:w="1761"/>
        <w:gridCol w:w="1641"/>
        <w:gridCol w:w="12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gridSpan w:val="2"/>
            <w:tcBorders>
              <w:tl2br w:val="single" w:color="auto" w:sz="4" w:space="0"/>
            </w:tcBorders>
            <w:tcMar>
              <w:left w:w="28" w:type="dxa"/>
              <w:right w:w="28" w:type="dxa"/>
            </w:tcMar>
            <w:vAlign w:val="center"/>
          </w:tcPr>
          <w:p>
            <w:pPr>
              <w:pStyle w:val="20"/>
              <w:spacing w:beforeLines="0" w:afterLines="0" w:line="240" w:lineRule="auto"/>
              <w:jc w:val="right"/>
              <w:rPr>
                <w:rFonts w:ascii="Times New Roman" w:eastAsia="黑体" w:cs="宋体"/>
                <w:snapToGrid w:val="0"/>
                <w:spacing w:val="-6"/>
                <w:kern w:val="21"/>
                <w:szCs w:val="21"/>
              </w:rPr>
            </w:pPr>
            <w:r>
              <w:rPr>
                <w:rFonts w:hint="eastAsia" w:ascii="Times New Roman" w:eastAsia="黑体" w:cs="宋体"/>
                <w:snapToGrid w:val="0"/>
                <w:spacing w:val="-6"/>
                <w:kern w:val="21"/>
                <w:szCs w:val="21"/>
              </w:rPr>
              <w:t>项目</w:t>
            </w:r>
          </w:p>
          <w:p>
            <w:pPr>
              <w:pStyle w:val="20"/>
              <w:spacing w:beforeLines="0" w:afterLines="0" w:line="240" w:lineRule="auto"/>
              <w:jc w:val="left"/>
              <w:rPr>
                <w:rFonts w:ascii="Times New Roman" w:eastAsia="黑体" w:cs="宋体"/>
                <w:snapToGrid w:val="0"/>
                <w:spacing w:val="-6"/>
                <w:kern w:val="21"/>
                <w:szCs w:val="21"/>
              </w:rPr>
            </w:pPr>
            <w:r>
              <w:rPr>
                <w:rFonts w:hint="eastAsia" w:ascii="Times New Roman" w:eastAsia="黑体" w:cs="宋体"/>
                <w:snapToGrid w:val="0"/>
                <w:spacing w:val="-6"/>
                <w:kern w:val="21"/>
                <w:szCs w:val="21"/>
              </w:rPr>
              <w:t>分类</w:t>
            </w:r>
          </w:p>
        </w:tc>
        <w:tc>
          <w:tcPr>
            <w:tcW w:w="1417" w:type="dxa"/>
            <w:tcMar>
              <w:left w:w="28" w:type="dxa"/>
              <w:right w:w="28" w:type="dxa"/>
            </w:tcMar>
            <w:vAlign w:val="center"/>
          </w:tcPr>
          <w:p>
            <w:pPr>
              <w:pStyle w:val="20"/>
              <w:spacing w:beforeLines="0" w:afterLines="0" w:line="240" w:lineRule="auto"/>
              <w:rPr>
                <w:rFonts w:ascii="Times New Roman" w:eastAsia="黑体" w:cs="宋体"/>
                <w:snapToGrid w:val="0"/>
                <w:spacing w:val="-6"/>
                <w:kern w:val="21"/>
                <w:szCs w:val="21"/>
              </w:rPr>
            </w:pPr>
            <w:r>
              <w:rPr>
                <w:rFonts w:hint="eastAsia" w:ascii="Times New Roman" w:eastAsia="黑体" w:cs="宋体"/>
                <w:snapToGrid w:val="0"/>
                <w:spacing w:val="-6"/>
                <w:kern w:val="21"/>
                <w:szCs w:val="21"/>
              </w:rPr>
              <w:t>污染物名称</w:t>
            </w:r>
          </w:p>
        </w:tc>
        <w:tc>
          <w:tcPr>
            <w:tcW w:w="1701" w:type="dxa"/>
            <w:tcMar>
              <w:left w:w="28" w:type="dxa"/>
              <w:right w:w="28" w:type="dxa"/>
            </w:tcMar>
            <w:vAlign w:val="center"/>
          </w:tcPr>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现有工程</w:t>
            </w:r>
          </w:p>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排放量（固体废物产生量）</w:t>
            </w: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1 \* GB3 \* MERGEFORMAT </w:instrText>
            </w:r>
            <w:r>
              <w:rPr>
                <w:rFonts w:ascii="Times New Roman" w:eastAsia="黑体"/>
                <w:snapToGrid w:val="0"/>
                <w:spacing w:val="-6"/>
                <w:kern w:val="21"/>
                <w:szCs w:val="21"/>
              </w:rPr>
              <w:fldChar w:fldCharType="separate"/>
            </w:r>
            <w:r>
              <w:rPr>
                <w:rFonts w:hint="eastAsia" w:hAnsi="宋体" w:cs="宋体"/>
                <w:kern w:val="2"/>
                <w:szCs w:val="21"/>
              </w:rPr>
              <w:t>①</w:t>
            </w:r>
            <w:r>
              <w:rPr>
                <w:rFonts w:ascii="Times New Roman" w:eastAsia="黑体"/>
                <w:snapToGrid w:val="0"/>
                <w:spacing w:val="-6"/>
                <w:kern w:val="21"/>
                <w:szCs w:val="21"/>
              </w:rPr>
              <w:fldChar w:fldCharType="end"/>
            </w:r>
          </w:p>
        </w:tc>
        <w:tc>
          <w:tcPr>
            <w:tcW w:w="1276" w:type="dxa"/>
            <w:tcMar>
              <w:left w:w="28" w:type="dxa"/>
              <w:right w:w="28" w:type="dxa"/>
            </w:tcMar>
            <w:vAlign w:val="center"/>
          </w:tcPr>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现有工程</w:t>
            </w:r>
          </w:p>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许可排放量</w:t>
            </w:r>
          </w:p>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2 \* GB3 \* MERGEFORMAT </w:instrText>
            </w:r>
            <w:r>
              <w:rPr>
                <w:rFonts w:ascii="Times New Roman" w:eastAsia="黑体"/>
                <w:snapToGrid w:val="0"/>
                <w:spacing w:val="-6"/>
                <w:kern w:val="21"/>
                <w:szCs w:val="21"/>
              </w:rPr>
              <w:fldChar w:fldCharType="separate"/>
            </w:r>
            <w:r>
              <w:rPr>
                <w:rFonts w:hint="eastAsia" w:hAnsi="宋体" w:cs="宋体"/>
                <w:snapToGrid w:val="0"/>
                <w:spacing w:val="-6"/>
                <w:kern w:val="21"/>
                <w:szCs w:val="21"/>
              </w:rPr>
              <w:t>②</w:t>
            </w:r>
            <w:r>
              <w:rPr>
                <w:rFonts w:ascii="Times New Roman" w:eastAsia="黑体"/>
                <w:snapToGrid w:val="0"/>
                <w:spacing w:val="-6"/>
                <w:kern w:val="21"/>
                <w:szCs w:val="21"/>
              </w:rPr>
              <w:fldChar w:fldCharType="end"/>
            </w:r>
          </w:p>
        </w:tc>
        <w:tc>
          <w:tcPr>
            <w:tcW w:w="1701" w:type="dxa"/>
            <w:tcMar>
              <w:left w:w="28" w:type="dxa"/>
              <w:right w:w="28" w:type="dxa"/>
            </w:tcMar>
            <w:vAlign w:val="center"/>
          </w:tcPr>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在建工程</w:t>
            </w:r>
          </w:p>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排放量（固体废物产生量）</w:t>
            </w: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3 \* GB3 \* MERGEFORMAT </w:instrText>
            </w:r>
            <w:r>
              <w:rPr>
                <w:rFonts w:ascii="Times New Roman" w:eastAsia="黑体"/>
                <w:snapToGrid w:val="0"/>
                <w:spacing w:val="-6"/>
                <w:kern w:val="21"/>
                <w:szCs w:val="21"/>
              </w:rPr>
              <w:fldChar w:fldCharType="separate"/>
            </w:r>
            <w:r>
              <w:rPr>
                <w:rFonts w:hint="eastAsia" w:hAnsi="宋体" w:cs="宋体"/>
                <w:kern w:val="2"/>
                <w:szCs w:val="21"/>
              </w:rPr>
              <w:t>③</w:t>
            </w:r>
            <w:r>
              <w:rPr>
                <w:rFonts w:ascii="Times New Roman" w:eastAsia="黑体"/>
                <w:snapToGrid w:val="0"/>
                <w:spacing w:val="-6"/>
                <w:kern w:val="21"/>
                <w:szCs w:val="21"/>
              </w:rPr>
              <w:fldChar w:fldCharType="end"/>
            </w:r>
          </w:p>
        </w:tc>
        <w:tc>
          <w:tcPr>
            <w:tcW w:w="1559" w:type="dxa"/>
            <w:tcMar>
              <w:left w:w="28" w:type="dxa"/>
              <w:right w:w="28" w:type="dxa"/>
            </w:tcMar>
            <w:vAlign w:val="center"/>
          </w:tcPr>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本项目</w:t>
            </w:r>
          </w:p>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排放量（固体废物产生量）</w:t>
            </w:r>
            <w:r>
              <w:rPr>
                <w:rFonts w:ascii="Times New Roman" w:eastAsia="黑体"/>
                <w:snapToGrid w:val="0"/>
                <w:spacing w:val="-6"/>
                <w:kern w:val="21"/>
                <w:szCs w:val="21"/>
              </w:rPr>
              <w:fldChar w:fldCharType="begin"/>
            </w:r>
            <w:r>
              <w:rPr>
                <w:rFonts w:ascii="Times New Roman" w:eastAsia="黑体"/>
                <w:snapToGrid w:val="0"/>
                <w:spacing w:val="-6"/>
                <w:kern w:val="21"/>
                <w:szCs w:val="21"/>
              </w:rPr>
              <w:instrText xml:space="preserve"> = 4 \* GB3 \* MERGEFORMAT </w:instrText>
            </w:r>
            <w:r>
              <w:rPr>
                <w:rFonts w:ascii="Times New Roman" w:eastAsia="黑体"/>
                <w:snapToGrid w:val="0"/>
                <w:spacing w:val="-6"/>
                <w:kern w:val="21"/>
                <w:szCs w:val="21"/>
              </w:rPr>
              <w:fldChar w:fldCharType="separate"/>
            </w:r>
            <w:r>
              <w:rPr>
                <w:rFonts w:hint="eastAsia" w:hAnsi="宋体" w:cs="宋体"/>
                <w:kern w:val="2"/>
                <w:szCs w:val="21"/>
              </w:rPr>
              <w:t>④</w:t>
            </w:r>
            <w:r>
              <w:rPr>
                <w:rFonts w:ascii="Times New Roman" w:eastAsia="黑体"/>
                <w:snapToGrid w:val="0"/>
                <w:spacing w:val="-6"/>
                <w:kern w:val="21"/>
                <w:szCs w:val="21"/>
              </w:rPr>
              <w:fldChar w:fldCharType="end"/>
            </w:r>
          </w:p>
        </w:tc>
        <w:tc>
          <w:tcPr>
            <w:tcW w:w="1761" w:type="dxa"/>
            <w:tcMar>
              <w:left w:w="28" w:type="dxa"/>
              <w:right w:w="28" w:type="dxa"/>
            </w:tcMar>
            <w:vAlign w:val="center"/>
          </w:tcPr>
          <w:p>
            <w:pPr>
              <w:pStyle w:val="20"/>
              <w:spacing w:beforeLines="0" w:afterLines="0" w:line="240" w:lineRule="auto"/>
              <w:rPr>
                <w:rFonts w:ascii="Times New Roman" w:eastAsia="黑体"/>
                <w:snapToGrid w:val="0"/>
                <w:spacing w:val="-16"/>
                <w:kern w:val="21"/>
                <w:szCs w:val="21"/>
              </w:rPr>
            </w:pPr>
            <w:r>
              <w:rPr>
                <w:rFonts w:ascii="Times New Roman" w:eastAsia="黑体"/>
                <w:snapToGrid w:val="0"/>
                <w:spacing w:val="-16"/>
                <w:kern w:val="21"/>
                <w:szCs w:val="21"/>
              </w:rPr>
              <w:t>以新带老削减量</w:t>
            </w:r>
          </w:p>
          <w:p>
            <w:pPr>
              <w:pStyle w:val="20"/>
              <w:spacing w:beforeLines="0" w:afterLines="0" w:line="240" w:lineRule="auto"/>
              <w:rPr>
                <w:rFonts w:ascii="Times New Roman" w:eastAsia="黑体"/>
                <w:snapToGrid w:val="0"/>
                <w:spacing w:val="-16"/>
                <w:kern w:val="21"/>
                <w:szCs w:val="21"/>
              </w:rPr>
            </w:pPr>
            <w:r>
              <w:rPr>
                <w:rFonts w:ascii="Times New Roman" w:eastAsia="黑体"/>
                <w:snapToGrid w:val="0"/>
                <w:spacing w:val="-16"/>
                <w:kern w:val="21"/>
                <w:szCs w:val="21"/>
              </w:rPr>
              <w:t>（新建项目不填）</w:t>
            </w:r>
            <w:r>
              <w:rPr>
                <w:rFonts w:ascii="Times New Roman" w:eastAsia="黑体"/>
                <w:snapToGrid w:val="0"/>
                <w:spacing w:val="-16"/>
                <w:kern w:val="21"/>
                <w:szCs w:val="21"/>
              </w:rPr>
              <w:fldChar w:fldCharType="begin"/>
            </w:r>
            <w:r>
              <w:rPr>
                <w:rFonts w:ascii="Times New Roman" w:eastAsia="黑体"/>
                <w:snapToGrid w:val="0"/>
                <w:spacing w:val="-16"/>
                <w:kern w:val="21"/>
                <w:szCs w:val="21"/>
              </w:rPr>
              <w:instrText xml:space="preserve"> = 5 \* GB3 \* MERGEFORMAT </w:instrText>
            </w:r>
            <w:r>
              <w:rPr>
                <w:rFonts w:ascii="Times New Roman" w:eastAsia="黑体"/>
                <w:snapToGrid w:val="0"/>
                <w:spacing w:val="-16"/>
                <w:kern w:val="21"/>
                <w:szCs w:val="21"/>
              </w:rPr>
              <w:fldChar w:fldCharType="separate"/>
            </w:r>
            <w:r>
              <w:rPr>
                <w:rFonts w:hint="eastAsia" w:hAnsi="宋体" w:cs="宋体"/>
                <w:kern w:val="2"/>
                <w:szCs w:val="21"/>
              </w:rPr>
              <w:t>⑤</w:t>
            </w:r>
            <w:r>
              <w:rPr>
                <w:rFonts w:ascii="Times New Roman" w:eastAsia="黑体"/>
                <w:snapToGrid w:val="0"/>
                <w:spacing w:val="-16"/>
                <w:kern w:val="21"/>
                <w:szCs w:val="21"/>
              </w:rPr>
              <w:fldChar w:fldCharType="end"/>
            </w:r>
          </w:p>
        </w:tc>
        <w:tc>
          <w:tcPr>
            <w:tcW w:w="1641" w:type="dxa"/>
            <w:tcMar>
              <w:left w:w="28" w:type="dxa"/>
              <w:right w:w="28" w:type="dxa"/>
            </w:tcMar>
            <w:vAlign w:val="center"/>
          </w:tcPr>
          <w:p>
            <w:pPr>
              <w:pStyle w:val="20"/>
              <w:spacing w:beforeLines="0" w:afterLines="0" w:line="240" w:lineRule="auto"/>
              <w:rPr>
                <w:rFonts w:ascii="Times New Roman" w:eastAsia="黑体"/>
                <w:snapToGrid w:val="0"/>
                <w:spacing w:val="-16"/>
                <w:kern w:val="21"/>
                <w:szCs w:val="21"/>
              </w:rPr>
            </w:pPr>
            <w:r>
              <w:rPr>
                <w:rFonts w:ascii="Times New Roman" w:eastAsia="黑体"/>
                <w:snapToGrid w:val="0"/>
                <w:spacing w:val="-16"/>
                <w:kern w:val="21"/>
                <w:szCs w:val="21"/>
              </w:rPr>
              <w:t>本项目建成后</w:t>
            </w:r>
          </w:p>
          <w:p>
            <w:pPr>
              <w:pStyle w:val="20"/>
              <w:spacing w:beforeLines="0" w:afterLines="0" w:line="240" w:lineRule="auto"/>
              <w:rPr>
                <w:rFonts w:ascii="Times New Roman" w:eastAsia="黑体"/>
                <w:snapToGrid w:val="0"/>
                <w:spacing w:val="-16"/>
                <w:kern w:val="21"/>
                <w:szCs w:val="21"/>
              </w:rPr>
            </w:pPr>
            <w:r>
              <w:rPr>
                <w:rFonts w:ascii="Times New Roman" w:eastAsia="黑体"/>
                <w:snapToGrid w:val="0"/>
                <w:spacing w:val="-16"/>
                <w:kern w:val="21"/>
                <w:szCs w:val="21"/>
              </w:rPr>
              <w:t>全厂排放量（固体废物产生量）</w:t>
            </w:r>
            <w:r>
              <w:rPr>
                <w:rFonts w:ascii="Times New Roman" w:eastAsia="黑体"/>
                <w:snapToGrid w:val="0"/>
                <w:spacing w:val="-16"/>
                <w:kern w:val="21"/>
                <w:szCs w:val="21"/>
              </w:rPr>
              <w:fldChar w:fldCharType="begin"/>
            </w:r>
            <w:r>
              <w:rPr>
                <w:rFonts w:ascii="Times New Roman" w:eastAsia="黑体"/>
                <w:snapToGrid w:val="0"/>
                <w:spacing w:val="-16"/>
                <w:kern w:val="21"/>
                <w:szCs w:val="21"/>
              </w:rPr>
              <w:instrText xml:space="preserve"> = 6 \* GB3 \* MERGEFORMAT </w:instrText>
            </w:r>
            <w:r>
              <w:rPr>
                <w:rFonts w:ascii="Times New Roman" w:eastAsia="黑体"/>
                <w:snapToGrid w:val="0"/>
                <w:spacing w:val="-16"/>
                <w:kern w:val="21"/>
                <w:szCs w:val="21"/>
              </w:rPr>
              <w:fldChar w:fldCharType="separate"/>
            </w:r>
            <w:r>
              <w:rPr>
                <w:rFonts w:hint="eastAsia" w:hAnsi="宋体" w:cs="宋体"/>
                <w:kern w:val="2"/>
                <w:szCs w:val="21"/>
              </w:rPr>
              <w:t>⑥</w:t>
            </w:r>
            <w:r>
              <w:rPr>
                <w:rFonts w:ascii="Times New Roman" w:eastAsia="黑体"/>
                <w:snapToGrid w:val="0"/>
                <w:spacing w:val="-16"/>
                <w:kern w:val="21"/>
                <w:szCs w:val="21"/>
              </w:rPr>
              <w:fldChar w:fldCharType="end"/>
            </w:r>
          </w:p>
        </w:tc>
        <w:tc>
          <w:tcPr>
            <w:tcW w:w="1276" w:type="dxa"/>
            <w:tcMar>
              <w:left w:w="28" w:type="dxa"/>
              <w:right w:w="28" w:type="dxa"/>
            </w:tcMar>
            <w:vAlign w:val="center"/>
          </w:tcPr>
          <w:p>
            <w:pPr>
              <w:pStyle w:val="20"/>
              <w:spacing w:beforeLines="0" w:afterLines="0" w:line="240" w:lineRule="auto"/>
              <w:rPr>
                <w:rFonts w:ascii="Times New Roman" w:eastAsia="黑体"/>
                <w:snapToGrid w:val="0"/>
                <w:spacing w:val="-6"/>
                <w:kern w:val="21"/>
                <w:szCs w:val="21"/>
              </w:rPr>
            </w:pPr>
            <w:r>
              <w:rPr>
                <w:rFonts w:ascii="Times New Roman" w:eastAsia="黑体"/>
                <w:snapToGrid w:val="0"/>
                <w:spacing w:val="-6"/>
                <w:kern w:val="21"/>
                <w:szCs w:val="21"/>
              </w:rPr>
              <w:t>变化量</w:t>
            </w:r>
          </w:p>
          <w:p>
            <w:pPr>
              <w:pStyle w:val="20"/>
              <w:spacing w:beforeLines="0" w:afterLines="0" w:line="240" w:lineRule="auto"/>
              <w:rPr>
                <w:rFonts w:ascii="Times New Roman" w:eastAsia="黑体"/>
                <w:snapToGrid w:val="0"/>
                <w:spacing w:val="-6"/>
                <w:kern w:val="21"/>
                <w:szCs w:val="21"/>
              </w:rPr>
            </w:pPr>
            <w:r>
              <w:rPr>
                <w:rFonts w:ascii="Times New Roman"/>
                <w:snapToGrid w:val="0"/>
                <w:kern w:val="21"/>
                <w:szCs w:val="21"/>
              </w:rPr>
              <w:fldChar w:fldCharType="begin"/>
            </w:r>
            <w:r>
              <w:rPr>
                <w:rFonts w:ascii="Times New Roman"/>
                <w:snapToGrid w:val="0"/>
                <w:kern w:val="21"/>
                <w:szCs w:val="21"/>
              </w:rPr>
              <w:instrText xml:space="preserve"> = 7 \* GB3 \* MERGEFORMAT </w:instrText>
            </w:r>
            <w:r>
              <w:rPr>
                <w:rFonts w:ascii="Times New Roman"/>
                <w:snapToGrid w:val="0"/>
                <w:kern w:val="21"/>
                <w:szCs w:val="21"/>
              </w:rPr>
              <w:fldChar w:fldCharType="separate"/>
            </w:r>
            <w:r>
              <w:rPr>
                <w:rFonts w:hint="eastAsia" w:hAnsi="宋体" w:cs="宋体"/>
                <w:snapToGrid w:val="0"/>
                <w:kern w:val="21"/>
                <w:szCs w:val="21"/>
              </w:rPr>
              <w:t>⑦</w:t>
            </w:r>
            <w:r>
              <w:rPr>
                <w:rFonts w:ascii="Times New Roman"/>
                <w:snapToGrid w:val="0"/>
                <w:kern w:val="21"/>
                <w:szCs w:val="21"/>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gridSpan w:val="2"/>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废气</w:t>
            </w:r>
          </w:p>
        </w:tc>
        <w:tc>
          <w:tcPr>
            <w:tcW w:w="1417"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颗粒物</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276"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559" w:type="dxa"/>
            <w:vAlign w:val="center"/>
          </w:tcPr>
          <w:p>
            <w:pPr>
              <w:pStyle w:val="20"/>
              <w:spacing w:beforeLines="0" w:afterLines="0" w:line="240" w:lineRule="auto"/>
              <w:rPr>
                <w:rFonts w:ascii="Times New Roman" w:cs="宋体"/>
                <w:snapToGrid w:val="0"/>
                <w:kern w:val="21"/>
                <w:szCs w:val="21"/>
              </w:rPr>
            </w:pPr>
            <w:r>
              <w:rPr>
                <w:rFonts w:ascii="Times New Roman" w:cs="宋体"/>
                <w:snapToGrid w:val="0"/>
                <w:kern w:val="21"/>
                <w:szCs w:val="21"/>
              </w:rPr>
              <w:t>0.82</w:t>
            </w:r>
            <w:r>
              <w:rPr>
                <w:rFonts w:hint="eastAsia" w:ascii="Times New Roman" w:cs="宋体"/>
                <w:snapToGrid w:val="0"/>
                <w:kern w:val="21"/>
                <w:szCs w:val="21"/>
              </w:rPr>
              <w:t>t/a</w:t>
            </w:r>
          </w:p>
        </w:tc>
        <w:tc>
          <w:tcPr>
            <w:tcW w:w="176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641" w:type="dxa"/>
            <w:vAlign w:val="center"/>
          </w:tcPr>
          <w:p>
            <w:pPr>
              <w:pStyle w:val="20"/>
              <w:spacing w:beforeLines="0" w:afterLines="0" w:line="240" w:lineRule="auto"/>
              <w:rPr>
                <w:rFonts w:ascii="Times New Roman" w:cs="宋体"/>
                <w:snapToGrid w:val="0"/>
                <w:kern w:val="21"/>
                <w:szCs w:val="21"/>
              </w:rPr>
            </w:pPr>
            <w:r>
              <w:rPr>
                <w:rFonts w:ascii="Times New Roman" w:cs="宋体"/>
                <w:snapToGrid w:val="0"/>
                <w:kern w:val="21"/>
                <w:szCs w:val="21"/>
              </w:rPr>
              <w:t>0.82</w:t>
            </w:r>
            <w:r>
              <w:rPr>
                <w:rFonts w:hint="eastAsia" w:ascii="Times New Roman" w:cs="宋体"/>
                <w:snapToGrid w:val="0"/>
                <w:kern w:val="21"/>
                <w:szCs w:val="21"/>
              </w:rPr>
              <w:t>t/a</w:t>
            </w:r>
          </w:p>
        </w:tc>
        <w:tc>
          <w:tcPr>
            <w:tcW w:w="1276"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r>
              <w:rPr>
                <w:rFonts w:ascii="Times New Roman" w:cs="宋体"/>
                <w:snapToGrid w:val="0"/>
                <w:kern w:val="21"/>
                <w:szCs w:val="21"/>
              </w:rPr>
              <w:t>0.82</w:t>
            </w:r>
            <w:r>
              <w:rPr>
                <w:rFonts w:hint="eastAsia" w:ascii="Times New Roman" w:cs="宋体"/>
                <w:snapToGrid w:val="0"/>
                <w:kern w:val="21"/>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gridSpan w:val="2"/>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废水</w:t>
            </w:r>
          </w:p>
        </w:tc>
        <w:tc>
          <w:tcPr>
            <w:tcW w:w="1417"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生活污水</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276"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559"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761" w:type="dxa"/>
            <w:vAlign w:val="center"/>
          </w:tcPr>
          <w:p>
            <w:pPr>
              <w:jc w:val="center"/>
            </w:pPr>
            <w:r>
              <w:rPr>
                <w:rFonts w:hint="eastAsia" w:cs="宋体"/>
                <w:snapToGrid w:val="0"/>
                <w:kern w:val="21"/>
                <w:szCs w:val="21"/>
              </w:rPr>
              <w:t>/</w:t>
            </w:r>
          </w:p>
        </w:tc>
        <w:tc>
          <w:tcPr>
            <w:tcW w:w="164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276"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16" w:type="dxa"/>
            <w:vMerge w:val="restart"/>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固体废物</w:t>
            </w:r>
          </w:p>
        </w:tc>
        <w:tc>
          <w:tcPr>
            <w:tcW w:w="772" w:type="dxa"/>
            <w:vMerge w:val="restart"/>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一般工业固体废物</w:t>
            </w:r>
          </w:p>
        </w:tc>
        <w:tc>
          <w:tcPr>
            <w:tcW w:w="1417" w:type="dxa"/>
            <w:tcBorders>
              <w:bottom w:val="single" w:color="auto" w:sz="4" w:space="0"/>
            </w:tcBorders>
            <w:vAlign w:val="center"/>
          </w:tcPr>
          <w:p>
            <w:pPr>
              <w:adjustRightInd w:val="0"/>
              <w:snapToGrid w:val="0"/>
              <w:jc w:val="center"/>
              <w:rPr>
                <w:bCs/>
                <w:szCs w:val="21"/>
              </w:rPr>
            </w:pPr>
            <w:r>
              <w:rPr>
                <w:bCs/>
                <w:szCs w:val="21"/>
              </w:rPr>
              <w:t>除尘灰</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276"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559" w:type="dxa"/>
            <w:vAlign w:val="center"/>
          </w:tcPr>
          <w:p>
            <w:pPr>
              <w:adjustRightInd w:val="0"/>
              <w:snapToGrid w:val="0"/>
              <w:jc w:val="center"/>
              <w:rPr>
                <w:szCs w:val="21"/>
              </w:rPr>
            </w:pPr>
            <w:r>
              <w:rPr>
                <w:szCs w:val="21"/>
              </w:rPr>
              <w:t>179.46</w:t>
            </w:r>
            <w:r>
              <w:rPr>
                <w:rFonts w:hint="eastAsia"/>
                <w:szCs w:val="21"/>
              </w:rPr>
              <w:t>t/a</w:t>
            </w:r>
          </w:p>
        </w:tc>
        <w:tc>
          <w:tcPr>
            <w:tcW w:w="1761" w:type="dxa"/>
            <w:vAlign w:val="center"/>
          </w:tcPr>
          <w:p>
            <w:pPr>
              <w:jc w:val="center"/>
            </w:pPr>
            <w:r>
              <w:rPr>
                <w:rFonts w:hint="eastAsia" w:cs="宋体"/>
                <w:snapToGrid w:val="0"/>
                <w:kern w:val="21"/>
                <w:szCs w:val="21"/>
              </w:rPr>
              <w:t>/</w:t>
            </w:r>
          </w:p>
        </w:tc>
        <w:tc>
          <w:tcPr>
            <w:tcW w:w="1641" w:type="dxa"/>
            <w:vAlign w:val="center"/>
          </w:tcPr>
          <w:p>
            <w:pPr>
              <w:adjustRightInd w:val="0"/>
              <w:snapToGrid w:val="0"/>
              <w:jc w:val="center"/>
              <w:rPr>
                <w:szCs w:val="21"/>
              </w:rPr>
            </w:pPr>
            <w:r>
              <w:rPr>
                <w:szCs w:val="21"/>
              </w:rPr>
              <w:t>179.46</w:t>
            </w:r>
            <w:r>
              <w:rPr>
                <w:rFonts w:hint="eastAsia"/>
                <w:szCs w:val="21"/>
              </w:rPr>
              <w:t>t/a</w:t>
            </w:r>
          </w:p>
        </w:tc>
        <w:tc>
          <w:tcPr>
            <w:tcW w:w="1276" w:type="dxa"/>
            <w:vAlign w:val="center"/>
          </w:tcPr>
          <w:p>
            <w:pPr>
              <w:adjustRightInd w:val="0"/>
              <w:snapToGrid w:val="0"/>
              <w:jc w:val="center"/>
              <w:rPr>
                <w:szCs w:val="21"/>
              </w:rPr>
            </w:pPr>
            <w:r>
              <w:rPr>
                <w:rFonts w:hint="eastAsia"/>
                <w:szCs w:val="21"/>
              </w:rPr>
              <w:t>+</w:t>
            </w:r>
            <w:r>
              <w:rPr>
                <w:szCs w:val="21"/>
              </w:rPr>
              <w:t>179.46</w:t>
            </w:r>
            <w:r>
              <w:rPr>
                <w:rFonts w:hint="eastAsia"/>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16" w:type="dxa"/>
            <w:vMerge w:val="continue"/>
            <w:vAlign w:val="center"/>
          </w:tcPr>
          <w:p>
            <w:pPr>
              <w:pStyle w:val="20"/>
              <w:spacing w:beforeLines="0" w:afterLines="0" w:line="240" w:lineRule="auto"/>
              <w:rPr>
                <w:rFonts w:ascii="Times New Roman" w:cs="宋体"/>
                <w:snapToGrid w:val="0"/>
                <w:kern w:val="21"/>
                <w:szCs w:val="21"/>
              </w:rPr>
            </w:pPr>
          </w:p>
        </w:tc>
        <w:tc>
          <w:tcPr>
            <w:tcW w:w="772" w:type="dxa"/>
            <w:vMerge w:val="continue"/>
            <w:vAlign w:val="center"/>
          </w:tcPr>
          <w:p>
            <w:pPr>
              <w:pStyle w:val="20"/>
              <w:spacing w:beforeLines="0" w:afterLines="0" w:line="240" w:lineRule="auto"/>
              <w:rPr>
                <w:rFonts w:ascii="Times New Roman" w:cs="宋体"/>
                <w:snapToGrid w:val="0"/>
                <w:kern w:val="21"/>
                <w:szCs w:val="21"/>
              </w:rPr>
            </w:pPr>
          </w:p>
        </w:tc>
        <w:tc>
          <w:tcPr>
            <w:tcW w:w="1417" w:type="dxa"/>
            <w:tcBorders>
              <w:top w:val="single" w:color="auto" w:sz="4" w:space="0"/>
            </w:tcBorders>
            <w:vAlign w:val="center"/>
          </w:tcPr>
          <w:p>
            <w:pPr>
              <w:adjustRightInd w:val="0"/>
              <w:snapToGrid w:val="0"/>
              <w:jc w:val="center"/>
              <w:rPr>
                <w:bCs/>
                <w:szCs w:val="21"/>
              </w:rPr>
            </w:pPr>
            <w:r>
              <w:rPr>
                <w:bCs/>
                <w:szCs w:val="21"/>
              </w:rPr>
              <w:t>沉淀池沉渣</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276"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559" w:type="dxa"/>
            <w:vAlign w:val="center"/>
          </w:tcPr>
          <w:p>
            <w:pPr>
              <w:adjustRightInd w:val="0"/>
              <w:snapToGrid w:val="0"/>
              <w:jc w:val="center"/>
              <w:rPr>
                <w:szCs w:val="21"/>
              </w:rPr>
            </w:pPr>
            <w:r>
              <w:rPr>
                <w:szCs w:val="21"/>
              </w:rPr>
              <w:t>3</w:t>
            </w:r>
            <w:r>
              <w:rPr>
                <w:rFonts w:hint="eastAsia" w:cs="宋体"/>
                <w:snapToGrid w:val="0"/>
                <w:kern w:val="21"/>
                <w:szCs w:val="21"/>
              </w:rPr>
              <w:t xml:space="preserve"> </w:t>
            </w:r>
            <w:r>
              <w:rPr>
                <w:rFonts w:hint="eastAsia"/>
                <w:szCs w:val="21"/>
              </w:rPr>
              <w:t>t/a</w:t>
            </w:r>
          </w:p>
        </w:tc>
        <w:tc>
          <w:tcPr>
            <w:tcW w:w="1761" w:type="dxa"/>
            <w:vAlign w:val="center"/>
          </w:tcPr>
          <w:p>
            <w:pPr>
              <w:jc w:val="center"/>
            </w:pPr>
            <w:r>
              <w:rPr>
                <w:rFonts w:hint="eastAsia" w:cs="宋体"/>
                <w:snapToGrid w:val="0"/>
                <w:kern w:val="21"/>
                <w:szCs w:val="21"/>
              </w:rPr>
              <w:t>/</w:t>
            </w:r>
          </w:p>
        </w:tc>
        <w:tc>
          <w:tcPr>
            <w:tcW w:w="1641" w:type="dxa"/>
            <w:vAlign w:val="center"/>
          </w:tcPr>
          <w:p>
            <w:pPr>
              <w:adjustRightInd w:val="0"/>
              <w:snapToGrid w:val="0"/>
              <w:jc w:val="center"/>
              <w:rPr>
                <w:szCs w:val="21"/>
              </w:rPr>
            </w:pPr>
            <w:r>
              <w:rPr>
                <w:szCs w:val="21"/>
              </w:rPr>
              <w:t>3</w:t>
            </w:r>
            <w:r>
              <w:rPr>
                <w:rFonts w:hint="eastAsia"/>
                <w:szCs w:val="21"/>
              </w:rPr>
              <w:t>t/a</w:t>
            </w:r>
          </w:p>
        </w:tc>
        <w:tc>
          <w:tcPr>
            <w:tcW w:w="1276" w:type="dxa"/>
            <w:vAlign w:val="center"/>
          </w:tcPr>
          <w:p>
            <w:pPr>
              <w:adjustRightInd w:val="0"/>
              <w:snapToGrid w:val="0"/>
              <w:jc w:val="center"/>
              <w:rPr>
                <w:szCs w:val="21"/>
              </w:rPr>
            </w:pPr>
            <w:r>
              <w:rPr>
                <w:rFonts w:hint="eastAsia"/>
                <w:szCs w:val="21"/>
              </w:rPr>
              <w:t>+</w:t>
            </w:r>
            <w:r>
              <w:rPr>
                <w:szCs w:val="21"/>
              </w:rPr>
              <w:t>3</w:t>
            </w:r>
            <w:r>
              <w:rPr>
                <w:rFonts w:hint="eastAsia" w:cs="宋体"/>
                <w:snapToGrid w:val="0"/>
                <w:kern w:val="21"/>
                <w:szCs w:val="21"/>
              </w:rPr>
              <w:t xml:space="preserve"> </w:t>
            </w:r>
            <w:r>
              <w:rPr>
                <w:rFonts w:hint="eastAsia"/>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16" w:type="dxa"/>
            <w:vMerge w:val="continue"/>
            <w:vAlign w:val="center"/>
          </w:tcPr>
          <w:p>
            <w:pPr>
              <w:pStyle w:val="20"/>
              <w:spacing w:beforeLines="0" w:afterLines="0" w:line="240" w:lineRule="auto"/>
              <w:rPr>
                <w:rFonts w:ascii="Times New Roman" w:cs="宋体"/>
                <w:snapToGrid w:val="0"/>
                <w:kern w:val="21"/>
                <w:szCs w:val="21"/>
              </w:rPr>
            </w:pPr>
          </w:p>
        </w:tc>
        <w:tc>
          <w:tcPr>
            <w:tcW w:w="772"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生活垃圾</w:t>
            </w:r>
          </w:p>
        </w:tc>
        <w:tc>
          <w:tcPr>
            <w:tcW w:w="1417" w:type="dxa"/>
            <w:tcBorders>
              <w:top w:val="single" w:color="auto" w:sz="4" w:space="0"/>
            </w:tcBorders>
            <w:vAlign w:val="center"/>
          </w:tcPr>
          <w:p>
            <w:pPr>
              <w:adjustRightInd w:val="0"/>
              <w:snapToGrid w:val="0"/>
              <w:jc w:val="center"/>
              <w:rPr>
                <w:bCs/>
                <w:szCs w:val="21"/>
              </w:rPr>
            </w:pPr>
            <w:r>
              <w:rPr>
                <w:rFonts w:hint="eastAsia"/>
                <w:bCs/>
                <w:szCs w:val="21"/>
              </w:rPr>
              <w:t>生活垃圾</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276"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70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w:t>
            </w:r>
          </w:p>
        </w:tc>
        <w:tc>
          <w:tcPr>
            <w:tcW w:w="1559" w:type="dxa"/>
            <w:vAlign w:val="center"/>
          </w:tcPr>
          <w:p>
            <w:pPr>
              <w:adjustRightInd w:val="0"/>
              <w:snapToGrid w:val="0"/>
              <w:jc w:val="center"/>
              <w:rPr>
                <w:szCs w:val="21"/>
              </w:rPr>
            </w:pPr>
            <w:r>
              <w:rPr>
                <w:szCs w:val="21"/>
              </w:rPr>
              <w:t>0.4</w:t>
            </w:r>
            <w:r>
              <w:rPr>
                <w:rFonts w:hint="eastAsia"/>
                <w:szCs w:val="21"/>
              </w:rPr>
              <w:t>t/a</w:t>
            </w:r>
          </w:p>
        </w:tc>
        <w:tc>
          <w:tcPr>
            <w:tcW w:w="1761" w:type="dxa"/>
            <w:vAlign w:val="center"/>
          </w:tcPr>
          <w:p>
            <w:pPr>
              <w:jc w:val="center"/>
              <w:rPr>
                <w:rFonts w:cs="宋体"/>
                <w:snapToGrid w:val="0"/>
                <w:kern w:val="21"/>
                <w:szCs w:val="21"/>
              </w:rPr>
            </w:pPr>
            <w:r>
              <w:rPr>
                <w:rFonts w:hint="eastAsia" w:cs="宋体"/>
                <w:snapToGrid w:val="0"/>
                <w:kern w:val="21"/>
                <w:szCs w:val="21"/>
              </w:rPr>
              <w:t>/</w:t>
            </w:r>
          </w:p>
        </w:tc>
        <w:tc>
          <w:tcPr>
            <w:tcW w:w="1641" w:type="dxa"/>
            <w:vAlign w:val="center"/>
          </w:tcPr>
          <w:p>
            <w:pPr>
              <w:adjustRightInd w:val="0"/>
              <w:snapToGrid w:val="0"/>
              <w:jc w:val="center"/>
              <w:rPr>
                <w:szCs w:val="21"/>
              </w:rPr>
            </w:pPr>
            <w:r>
              <w:rPr>
                <w:szCs w:val="21"/>
              </w:rPr>
              <w:t>0.4</w:t>
            </w:r>
            <w:r>
              <w:rPr>
                <w:rFonts w:hint="eastAsia"/>
                <w:szCs w:val="21"/>
              </w:rPr>
              <w:t>t/a</w:t>
            </w:r>
          </w:p>
        </w:tc>
        <w:tc>
          <w:tcPr>
            <w:tcW w:w="1276" w:type="dxa"/>
            <w:vAlign w:val="center"/>
          </w:tcPr>
          <w:p>
            <w:pPr>
              <w:adjustRightInd w:val="0"/>
              <w:snapToGrid w:val="0"/>
              <w:jc w:val="center"/>
              <w:rPr>
                <w:szCs w:val="21"/>
              </w:rPr>
            </w:pPr>
            <w:r>
              <w:rPr>
                <w:rFonts w:hint="eastAsia"/>
                <w:szCs w:val="21"/>
              </w:rPr>
              <w:t>+</w:t>
            </w:r>
            <w:r>
              <w:rPr>
                <w:szCs w:val="21"/>
              </w:rPr>
              <w:t>0.4</w:t>
            </w:r>
            <w:r>
              <w:rPr>
                <w:rFonts w:hint="eastAsia"/>
                <w:szCs w:val="21"/>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gridSpan w:val="2"/>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危险废物</w:t>
            </w:r>
          </w:p>
        </w:tc>
        <w:tc>
          <w:tcPr>
            <w:tcW w:w="1417"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废机油</w:t>
            </w:r>
          </w:p>
        </w:tc>
        <w:tc>
          <w:tcPr>
            <w:tcW w:w="1701" w:type="dxa"/>
            <w:vAlign w:val="center"/>
          </w:tcPr>
          <w:p>
            <w:pPr>
              <w:pStyle w:val="20"/>
              <w:spacing w:beforeLines="0" w:afterLines="0" w:line="240" w:lineRule="auto"/>
              <w:rPr>
                <w:rFonts w:ascii="Times New Roman" w:cs="宋体"/>
                <w:snapToGrid w:val="0"/>
                <w:kern w:val="21"/>
                <w:szCs w:val="21"/>
              </w:rPr>
            </w:pPr>
          </w:p>
        </w:tc>
        <w:tc>
          <w:tcPr>
            <w:tcW w:w="1276" w:type="dxa"/>
            <w:vAlign w:val="center"/>
          </w:tcPr>
          <w:p>
            <w:pPr>
              <w:pStyle w:val="20"/>
              <w:spacing w:beforeLines="0" w:afterLines="0" w:line="240" w:lineRule="auto"/>
              <w:rPr>
                <w:rFonts w:ascii="Times New Roman" w:cs="宋体"/>
                <w:snapToGrid w:val="0"/>
                <w:kern w:val="21"/>
                <w:szCs w:val="21"/>
              </w:rPr>
            </w:pPr>
          </w:p>
        </w:tc>
        <w:tc>
          <w:tcPr>
            <w:tcW w:w="1701" w:type="dxa"/>
            <w:vAlign w:val="center"/>
          </w:tcPr>
          <w:p>
            <w:pPr>
              <w:pStyle w:val="20"/>
              <w:spacing w:beforeLines="0" w:afterLines="0" w:line="240" w:lineRule="auto"/>
              <w:rPr>
                <w:rFonts w:ascii="Times New Roman" w:cs="宋体"/>
                <w:snapToGrid w:val="0"/>
                <w:kern w:val="21"/>
                <w:szCs w:val="21"/>
              </w:rPr>
            </w:pPr>
          </w:p>
        </w:tc>
        <w:tc>
          <w:tcPr>
            <w:tcW w:w="1559"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0</w:t>
            </w:r>
            <w:r>
              <w:rPr>
                <w:rFonts w:ascii="Times New Roman" w:cs="宋体"/>
                <w:snapToGrid w:val="0"/>
                <w:kern w:val="21"/>
                <w:szCs w:val="21"/>
              </w:rPr>
              <w:t>.01</w:t>
            </w:r>
            <w:r>
              <w:rPr>
                <w:rFonts w:hint="eastAsia" w:ascii="Times New Roman"/>
                <w:kern w:val="2"/>
                <w:szCs w:val="21"/>
              </w:rPr>
              <w:t xml:space="preserve"> </w:t>
            </w:r>
            <w:r>
              <w:rPr>
                <w:rFonts w:hint="eastAsia" w:ascii="Times New Roman" w:cs="宋体"/>
                <w:snapToGrid w:val="0"/>
                <w:kern w:val="21"/>
                <w:szCs w:val="21"/>
              </w:rPr>
              <w:t>t/a</w:t>
            </w:r>
          </w:p>
        </w:tc>
        <w:tc>
          <w:tcPr>
            <w:tcW w:w="1761" w:type="dxa"/>
            <w:vAlign w:val="center"/>
          </w:tcPr>
          <w:p>
            <w:pPr>
              <w:jc w:val="center"/>
            </w:pPr>
          </w:p>
        </w:tc>
        <w:tc>
          <w:tcPr>
            <w:tcW w:w="1641"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0</w:t>
            </w:r>
            <w:r>
              <w:rPr>
                <w:rFonts w:ascii="Times New Roman" w:cs="宋体"/>
                <w:snapToGrid w:val="0"/>
                <w:kern w:val="21"/>
                <w:szCs w:val="21"/>
              </w:rPr>
              <w:t>.01</w:t>
            </w:r>
            <w:r>
              <w:rPr>
                <w:rFonts w:hint="eastAsia" w:ascii="Times New Roman"/>
                <w:kern w:val="2"/>
                <w:szCs w:val="21"/>
              </w:rPr>
              <w:t xml:space="preserve"> </w:t>
            </w:r>
            <w:r>
              <w:rPr>
                <w:rFonts w:hint="eastAsia" w:ascii="Times New Roman" w:cs="宋体"/>
                <w:snapToGrid w:val="0"/>
                <w:kern w:val="21"/>
                <w:szCs w:val="21"/>
              </w:rPr>
              <w:t>t/a</w:t>
            </w:r>
          </w:p>
        </w:tc>
        <w:tc>
          <w:tcPr>
            <w:tcW w:w="1276" w:type="dxa"/>
            <w:vAlign w:val="center"/>
          </w:tcPr>
          <w:p>
            <w:pPr>
              <w:pStyle w:val="20"/>
              <w:spacing w:beforeLines="0" w:afterLines="0" w:line="240" w:lineRule="auto"/>
              <w:rPr>
                <w:rFonts w:ascii="Times New Roman" w:cs="宋体"/>
                <w:snapToGrid w:val="0"/>
                <w:kern w:val="21"/>
                <w:szCs w:val="21"/>
              </w:rPr>
            </w:pPr>
            <w:r>
              <w:rPr>
                <w:rFonts w:hint="eastAsia" w:ascii="Times New Roman" w:cs="宋体"/>
                <w:snapToGrid w:val="0"/>
                <w:kern w:val="21"/>
                <w:szCs w:val="21"/>
              </w:rPr>
              <w:t>0</w:t>
            </w:r>
            <w:r>
              <w:rPr>
                <w:rFonts w:ascii="Times New Roman" w:cs="宋体"/>
                <w:snapToGrid w:val="0"/>
                <w:kern w:val="21"/>
                <w:szCs w:val="21"/>
              </w:rPr>
              <w:t>.01</w:t>
            </w:r>
            <w:r>
              <w:rPr>
                <w:rFonts w:hint="eastAsia" w:ascii="Times New Roman"/>
                <w:kern w:val="2"/>
                <w:szCs w:val="21"/>
              </w:rPr>
              <w:t xml:space="preserve"> </w:t>
            </w:r>
            <w:r>
              <w:rPr>
                <w:rFonts w:hint="eastAsia" w:ascii="Times New Roman" w:cs="宋体"/>
                <w:snapToGrid w:val="0"/>
                <w:kern w:val="21"/>
                <w:szCs w:val="21"/>
              </w:rPr>
              <w:t>t/a</w:t>
            </w:r>
          </w:p>
        </w:tc>
      </w:tr>
    </w:tbl>
    <w:p>
      <w:pPr>
        <w:pStyle w:val="20"/>
        <w:spacing w:before="192" w:beforeLines="80" w:after="24"/>
        <w:jc w:val="left"/>
        <w:rPr>
          <w:rFonts w:ascii="Times New Roman"/>
          <w:snapToGrid w:val="0"/>
          <w:spacing w:val="-6"/>
          <w:kern w:val="21"/>
          <w:szCs w:val="21"/>
        </w:rPr>
      </w:pPr>
      <w:r>
        <w:rPr>
          <w:rFonts w:ascii="Times New Roman"/>
          <w:snapToGrid w:val="0"/>
          <w:kern w:val="21"/>
          <w:szCs w:val="21"/>
        </w:rPr>
        <w:t>注：</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ascii="Times New Roman"/>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ascii="Times New Roman"/>
          <w:szCs w:val="21"/>
        </w:rPr>
        <w:t>①</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3 \* GB3 \* MERGEFORMAT </w:instrText>
      </w:r>
      <w:r>
        <w:rPr>
          <w:rFonts w:ascii="Times New Roman"/>
          <w:snapToGrid w:val="0"/>
          <w:spacing w:val="-6"/>
          <w:kern w:val="21"/>
          <w:szCs w:val="21"/>
        </w:rPr>
        <w:fldChar w:fldCharType="separate"/>
      </w:r>
      <w:r>
        <w:rPr>
          <w:rFonts w:hint="eastAsia" w:ascii="Times New Roman"/>
          <w:szCs w:val="21"/>
        </w:rPr>
        <w:t>③</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4 \* GB3 \* MERGEFORMAT </w:instrText>
      </w:r>
      <w:r>
        <w:rPr>
          <w:rFonts w:ascii="Times New Roman"/>
          <w:snapToGrid w:val="0"/>
          <w:spacing w:val="-6"/>
          <w:kern w:val="21"/>
          <w:szCs w:val="21"/>
        </w:rPr>
        <w:fldChar w:fldCharType="separate"/>
      </w:r>
      <w:r>
        <w:rPr>
          <w:rFonts w:hint="eastAsia" w:ascii="Times New Roman"/>
          <w:szCs w:val="21"/>
        </w:rPr>
        <w:t>④</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5 \* GB3 \* MERGEFORMAT </w:instrText>
      </w:r>
      <w:r>
        <w:rPr>
          <w:rFonts w:ascii="Times New Roman"/>
          <w:snapToGrid w:val="0"/>
          <w:spacing w:val="-16"/>
          <w:kern w:val="21"/>
          <w:szCs w:val="21"/>
        </w:rPr>
        <w:fldChar w:fldCharType="separate"/>
      </w:r>
      <w:r>
        <w:rPr>
          <w:rFonts w:hint="eastAsia" w:ascii="Times New Roman"/>
          <w:szCs w:val="21"/>
        </w:rPr>
        <w:t>⑤</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7 \* GB3 \* MERGEFORMAT </w:instrText>
      </w:r>
      <w:r>
        <w:rPr>
          <w:rFonts w:ascii="Times New Roman"/>
          <w:snapToGrid w:val="0"/>
          <w:spacing w:val="-6"/>
          <w:kern w:val="21"/>
          <w:szCs w:val="21"/>
        </w:rPr>
        <w:fldChar w:fldCharType="separate"/>
      </w:r>
      <w:r>
        <w:rPr>
          <w:rFonts w:hint="eastAsia" w:ascii="Times New Roman"/>
          <w:szCs w:val="21"/>
        </w:rPr>
        <w:t>⑦</w:t>
      </w:r>
      <w:r>
        <w:rPr>
          <w:rFonts w:ascii="Times New Roman"/>
          <w:snapToGrid w:val="0"/>
          <w:spacing w:val="-6"/>
          <w:kern w:val="21"/>
          <w:szCs w:val="21"/>
        </w:rPr>
        <w:fldChar w:fldCharType="end"/>
      </w:r>
      <w:r>
        <w:rPr>
          <w:rFonts w:ascii="Times New Roman"/>
          <w:snapToGrid w:val="0"/>
          <w:spacing w:val="-6"/>
          <w:kern w:val="21"/>
          <w:szCs w:val="21"/>
        </w:rPr>
        <w:t>=</w:t>
      </w:r>
      <w:r>
        <w:rPr>
          <w:rFonts w:ascii="Times New Roman"/>
          <w:snapToGrid w:val="0"/>
          <w:spacing w:val="-16"/>
          <w:kern w:val="21"/>
          <w:szCs w:val="21"/>
        </w:rPr>
        <w:fldChar w:fldCharType="begin"/>
      </w:r>
      <w:r>
        <w:rPr>
          <w:rFonts w:ascii="Times New Roman"/>
          <w:snapToGrid w:val="0"/>
          <w:spacing w:val="-16"/>
          <w:kern w:val="21"/>
          <w:szCs w:val="21"/>
        </w:rPr>
        <w:instrText xml:space="preserve"> = 6 \* GB3 \* MERGEFORMAT </w:instrText>
      </w:r>
      <w:r>
        <w:rPr>
          <w:rFonts w:ascii="Times New Roman"/>
          <w:snapToGrid w:val="0"/>
          <w:spacing w:val="-16"/>
          <w:kern w:val="21"/>
          <w:szCs w:val="21"/>
        </w:rPr>
        <w:fldChar w:fldCharType="separate"/>
      </w:r>
      <w:r>
        <w:rPr>
          <w:rFonts w:hint="eastAsia" w:ascii="Times New Roman"/>
          <w:szCs w:val="21"/>
        </w:rPr>
        <w:t>⑥</w:t>
      </w:r>
      <w:r>
        <w:rPr>
          <w:rFonts w:ascii="Times New Roman"/>
          <w:snapToGrid w:val="0"/>
          <w:spacing w:val="-16"/>
          <w:kern w:val="21"/>
          <w:szCs w:val="21"/>
        </w:rPr>
        <w:fldChar w:fldCharType="end"/>
      </w:r>
      <w:r>
        <w:rPr>
          <w:rFonts w:ascii="Times New Roman"/>
          <w:snapToGrid w:val="0"/>
          <w:spacing w:val="-16"/>
          <w:kern w:val="21"/>
          <w:szCs w:val="21"/>
        </w:rPr>
        <w:t>-</w:t>
      </w:r>
      <w:r>
        <w:rPr>
          <w:rFonts w:ascii="Times New Roman"/>
          <w:snapToGrid w:val="0"/>
          <w:spacing w:val="-6"/>
          <w:kern w:val="21"/>
          <w:szCs w:val="21"/>
        </w:rPr>
        <w:fldChar w:fldCharType="begin"/>
      </w:r>
      <w:r>
        <w:rPr>
          <w:rFonts w:ascii="Times New Roman"/>
          <w:snapToGrid w:val="0"/>
          <w:spacing w:val="-6"/>
          <w:kern w:val="21"/>
          <w:szCs w:val="21"/>
        </w:rPr>
        <w:instrText xml:space="preserve"> = 1 \* GB3 \* MERGEFORMAT </w:instrText>
      </w:r>
      <w:r>
        <w:rPr>
          <w:rFonts w:ascii="Times New Roman"/>
          <w:snapToGrid w:val="0"/>
          <w:spacing w:val="-6"/>
          <w:kern w:val="21"/>
          <w:szCs w:val="21"/>
        </w:rPr>
        <w:fldChar w:fldCharType="separate"/>
      </w:r>
      <w:r>
        <w:rPr>
          <w:rFonts w:hint="eastAsia" w:ascii="Times New Roman"/>
          <w:szCs w:val="21"/>
        </w:rPr>
        <w:t>①</w:t>
      </w:r>
      <w:r>
        <w:rPr>
          <w:rFonts w:ascii="Times New Roman"/>
          <w:snapToGrid w:val="0"/>
          <w:spacing w:val="-6"/>
          <w:kern w:val="21"/>
          <w:szCs w:val="21"/>
        </w:rPr>
        <w:fldChar w:fldCharType="end"/>
      </w:r>
    </w:p>
    <w:p/>
    <w:p/>
    <w:p>
      <w:pPr>
        <w:pStyle w:val="13"/>
        <w:adjustRightInd w:val="0"/>
        <w:snapToGrid w:val="0"/>
        <w:spacing w:before="0" w:beforeAutospacing="0" w:after="0" w:afterAutospacing="0" w:line="360" w:lineRule="auto"/>
        <w:outlineLvl w:val="0"/>
        <w:rPr>
          <w:rFonts w:ascii="Times New Roman" w:hAnsi="Times New Roman" w:eastAsia="黑体"/>
          <w:snapToGrid w:val="0"/>
          <w:sz w:val="32"/>
          <w:szCs w:val="32"/>
        </w:rPr>
        <w:sectPr>
          <w:footerReference r:id="rId6" w:type="default"/>
          <w:pgSz w:w="16838" w:h="11906" w:orient="landscape"/>
          <w:pgMar w:top="1701" w:right="1531" w:bottom="1701" w:left="1531" w:header="851" w:footer="851" w:gutter="0"/>
          <w:cols w:space="720" w:num="1"/>
          <w:docGrid w:linePitch="312" w:charSpace="0"/>
        </w:sectPr>
      </w:pPr>
    </w:p>
    <w:p>
      <w:pPr>
        <w:pStyle w:val="13"/>
        <w:adjustRightInd w:val="0"/>
        <w:snapToGrid w:val="0"/>
        <w:spacing w:before="0" w:beforeAutospacing="0" w:after="0" w:afterAutospacing="0" w:line="360" w:lineRule="auto"/>
        <w:ind w:firstLine="1280" w:firstLineChars="400"/>
        <w:outlineLvl w:val="0"/>
        <w:rPr>
          <w:rFonts w:ascii="Times New Roman" w:hAnsi="Times New Roman" w:eastAsia="黑体"/>
          <w:snapToGrid w:val="0"/>
          <w:sz w:val="32"/>
          <w:szCs w:val="32"/>
        </w:rPr>
      </w:pPr>
      <w:r>
        <w:rPr>
          <w:rFonts w:hint="eastAsia" w:ascii="Times New Roman" w:hAnsi="Times New Roman" w:eastAsia="黑体"/>
          <w:snapToGrid w:val="0"/>
          <w:sz w:val="32"/>
          <w:szCs w:val="32"/>
        </w:rPr>
        <w:t>附图</w:t>
      </w:r>
    </w:p>
    <w:p>
      <w:pPr>
        <w:tabs>
          <w:tab w:val="left" w:pos="0"/>
        </w:tabs>
        <w:adjustRightInd w:val="0"/>
        <w:snapToGrid w:val="0"/>
        <w:spacing w:line="360" w:lineRule="auto"/>
        <w:ind w:firstLine="1275" w:firstLineChars="529"/>
        <w:textAlignment w:val="baseline"/>
        <w:outlineLvl w:val="1"/>
        <w:rPr>
          <w:b/>
          <w:bCs/>
          <w:kern w:val="0"/>
          <w:sz w:val="24"/>
          <w:szCs w:val="20"/>
        </w:rPr>
      </w:pPr>
      <w:bookmarkStart w:id="6" w:name="_Hlk71902401"/>
      <w:r>
        <w:rPr>
          <w:b/>
          <w:kern w:val="0"/>
          <w:sz w:val="24"/>
          <w:szCs w:val="20"/>
        </w:rPr>
        <w:t>附图1：</w:t>
      </w:r>
      <w:bookmarkEnd w:id="6"/>
      <w:r>
        <w:rPr>
          <w:rFonts w:hint="eastAsia"/>
          <w:b/>
          <w:bCs/>
          <w:kern w:val="0"/>
          <w:sz w:val="24"/>
          <w:szCs w:val="20"/>
        </w:rPr>
        <w:t>鄂尔多斯市环境管控单元</w:t>
      </w:r>
    </w:p>
    <w:p>
      <w:pPr>
        <w:autoSpaceDE w:val="0"/>
        <w:autoSpaceDN w:val="0"/>
        <w:adjustRightInd w:val="0"/>
        <w:snapToGrid w:val="0"/>
        <w:spacing w:line="360" w:lineRule="auto"/>
        <w:jc w:val="center"/>
        <w:rPr>
          <w:b/>
          <w:kern w:val="0"/>
          <w:szCs w:val="21"/>
        </w:rPr>
      </w:pPr>
      <w:r>
        <w:rPr>
          <w:b/>
          <w:kern w:val="0"/>
          <w:szCs w:val="21"/>
        </w:rPr>
        <mc:AlternateContent>
          <mc:Choice Requires="wps">
            <w:drawing>
              <wp:anchor distT="0" distB="0" distL="114300" distR="114300" simplePos="0" relativeHeight="251659264" behindDoc="0" locked="0" layoutInCell="1" allowOverlap="1">
                <wp:simplePos x="0" y="0"/>
                <wp:positionH relativeFrom="column">
                  <wp:posOffset>5473065</wp:posOffset>
                </wp:positionH>
                <wp:positionV relativeFrom="paragraph">
                  <wp:posOffset>3434080</wp:posOffset>
                </wp:positionV>
                <wp:extent cx="991870" cy="284480"/>
                <wp:effectExtent l="76200" t="590550" r="17780" b="20320"/>
                <wp:wrapNone/>
                <wp:docPr id="4" name="矩形标注 4"/>
                <wp:cNvGraphicFramePr/>
                <a:graphic xmlns:a="http://schemas.openxmlformats.org/drawingml/2006/main">
                  <a:graphicData uri="http://schemas.microsoft.com/office/word/2010/wordprocessingShape">
                    <wps:wsp>
                      <wps:cNvSpPr/>
                      <wps:spPr>
                        <a:xfrm>
                          <a:off x="0" y="0"/>
                          <a:ext cx="991870" cy="284480"/>
                        </a:xfrm>
                        <a:prstGeom prst="wedgeRectCallout">
                          <a:avLst>
                            <a:gd name="adj1" fmla="val -54331"/>
                            <a:gd name="adj2" fmla="val -239957"/>
                          </a:avLst>
                        </a:prstGeom>
                        <a:noFill/>
                        <a:ln w="9525" cap="flat" cmpd="sng">
                          <a:solidFill>
                            <a:srgbClr val="000000"/>
                          </a:solidFill>
                          <a:prstDash val="solid"/>
                          <a:miter/>
                          <a:headEnd type="none" w="med" len="med"/>
                          <a:tailEnd type="none" w="med" len="med"/>
                        </a:ln>
                      </wps:spPr>
                      <wps:txbx>
                        <w:txbxContent>
                          <w:p>
                            <w:pP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本项目位置</w:t>
                            </w:r>
                          </w:p>
                        </w:txbxContent>
                      </wps:txbx>
                      <wps:bodyPr wrap="square" upright="1">
                        <a:noAutofit/>
                      </wps:bodyPr>
                    </wps:wsp>
                  </a:graphicData>
                </a:graphic>
              </wp:anchor>
            </w:drawing>
          </mc:Choice>
          <mc:Fallback>
            <w:pict>
              <v:shape id="_x0000_s1026" o:spid="_x0000_s1026" o:spt="61" type="#_x0000_t61" style="position:absolute;left:0pt;margin-left:430.95pt;margin-top:270.4pt;height:22.4pt;width:78.1pt;z-index:251659264;mso-width-relative:page;mso-height-relative:page;" filled="f" stroked="t" coordsize="21600,21600" o:gfxdata="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AwsoPWAAAADAEAAA8AAAAAAAAAAQAg&#10;AAAAIgAAAGRycy9kb3ducmV2LnhtbFBLAQIUABQAAAAIAIdO4kBg+RlASQIAAI0EAAAOAAAAAAAA&#10;AAEAIAAAACUBAABkcnMvZTJvRG9jLnhtbFBLBQYAAAAABgAGAFkBAADgBQAAAAA=&#10;" adj="-935,-41031">
                <v:fill on="f" focussize="0,0"/>
                <v:stroke color="#000000" joinstyle="miter"/>
                <v:imagedata o:title=""/>
                <o:lock v:ext="edit" aspectratio="f"/>
                <v:textbox>
                  <w:txbxContent>
                    <w:p>
                      <w:pP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本项目位置</w:t>
                      </w:r>
                    </w:p>
                  </w:txbxContent>
                </v:textbox>
              </v:shape>
            </w:pict>
          </mc:Fallback>
        </mc:AlternateContent>
      </w:r>
      <w:r>
        <w:drawing>
          <wp:inline distT="0" distB="0" distL="0" distR="0">
            <wp:extent cx="7772400" cy="5511800"/>
            <wp:effectExtent l="0" t="0" r="0" b="0"/>
            <wp:docPr id="20004138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13856"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779105" cy="5516976"/>
                    </a:xfrm>
                    <a:prstGeom prst="rect">
                      <a:avLst/>
                    </a:prstGeom>
                    <a:noFill/>
                    <a:ln>
                      <a:noFill/>
                    </a:ln>
                    <a:effectLst/>
                  </pic:spPr>
                </pic:pic>
              </a:graphicData>
            </a:graphic>
          </wp:inline>
        </w:drawing>
      </w:r>
      <w:r>
        <w:rPr>
          <w:b/>
          <w:kern w:val="0"/>
          <w:szCs w:val="21"/>
        </w:rPr>
        <w:br w:type="page"/>
      </w:r>
    </w:p>
    <w:p>
      <w:pPr>
        <w:tabs>
          <w:tab w:val="left" w:pos="0"/>
        </w:tabs>
        <w:adjustRightInd w:val="0"/>
        <w:snapToGrid w:val="0"/>
        <w:spacing w:line="360" w:lineRule="auto"/>
        <w:ind w:firstLine="1275" w:firstLineChars="529"/>
        <w:textAlignment w:val="baseline"/>
        <w:outlineLvl w:val="1"/>
        <w:rPr>
          <w:b/>
          <w:bCs/>
          <w:kern w:val="0"/>
          <w:sz w:val="24"/>
          <w:szCs w:val="20"/>
        </w:rPr>
      </w:pPr>
      <w:r>
        <w:rPr>
          <w:b/>
          <w:kern w:val="0"/>
          <w:sz w:val="24"/>
          <w:szCs w:val="20"/>
        </w:rPr>
        <w:t>附图2：</w:t>
      </w:r>
      <w:r>
        <w:rPr>
          <w:b/>
          <w:bCs/>
          <w:kern w:val="0"/>
          <w:sz w:val="24"/>
          <w:szCs w:val="20"/>
        </w:rPr>
        <w:t>项目地理位置图</w:t>
      </w:r>
    </w:p>
    <w:p>
      <w:pPr>
        <w:autoSpaceDE w:val="0"/>
        <w:autoSpaceDN w:val="0"/>
        <w:adjustRightInd w:val="0"/>
        <w:snapToGrid w:val="0"/>
        <w:spacing w:line="360" w:lineRule="auto"/>
        <w:jc w:val="center"/>
        <w:rPr>
          <w:b/>
          <w:kern w:val="0"/>
          <w:szCs w:val="21"/>
        </w:rPr>
        <w:sectPr>
          <w:pgSz w:w="16838" w:h="11906" w:orient="landscape"/>
          <w:pgMar w:top="993" w:right="1531" w:bottom="1135" w:left="1531" w:header="851" w:footer="851" w:gutter="0"/>
          <w:cols w:space="720" w:num="1"/>
          <w:docGrid w:linePitch="312" w:charSpace="0"/>
        </w:sectPr>
      </w:pPr>
      <w:r>
        <w:rPr>
          <w:b/>
          <w:kern w:val="0"/>
          <w:szCs w:val="21"/>
        </w:rPr>
        <mc:AlternateContent>
          <mc:Choice Requires="wps">
            <w:drawing>
              <wp:anchor distT="0" distB="0" distL="114300" distR="114300" simplePos="0" relativeHeight="251661312" behindDoc="0" locked="0" layoutInCell="1" allowOverlap="1">
                <wp:simplePos x="0" y="0"/>
                <wp:positionH relativeFrom="column">
                  <wp:posOffset>4752975</wp:posOffset>
                </wp:positionH>
                <wp:positionV relativeFrom="paragraph">
                  <wp:posOffset>4963160</wp:posOffset>
                </wp:positionV>
                <wp:extent cx="991870" cy="284480"/>
                <wp:effectExtent l="476250" t="685800" r="17780" b="20320"/>
                <wp:wrapNone/>
                <wp:docPr id="1649283884" name="矩形标注 4"/>
                <wp:cNvGraphicFramePr/>
                <a:graphic xmlns:a="http://schemas.openxmlformats.org/drawingml/2006/main">
                  <a:graphicData uri="http://schemas.microsoft.com/office/word/2010/wordprocessingShape">
                    <wps:wsp>
                      <wps:cNvSpPr/>
                      <wps:spPr>
                        <a:xfrm>
                          <a:off x="0" y="0"/>
                          <a:ext cx="991870" cy="284480"/>
                        </a:xfrm>
                        <a:prstGeom prst="wedgeRectCallout">
                          <a:avLst>
                            <a:gd name="adj1" fmla="val -92712"/>
                            <a:gd name="adj2" fmla="val -272424"/>
                          </a:avLst>
                        </a:prstGeom>
                        <a:noFill/>
                        <a:ln w="9525" cap="flat" cmpd="sng">
                          <a:solidFill>
                            <a:srgbClr val="000000"/>
                          </a:solidFill>
                          <a:prstDash val="solid"/>
                          <a:miter/>
                          <a:headEnd type="none" w="med" len="med"/>
                          <a:tailEnd type="none" w="med" len="med"/>
                        </a:ln>
                      </wps:spPr>
                      <wps:txbx>
                        <w:txbxContent>
                          <w:p>
                            <w:pP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本项目位置</w:t>
                            </w:r>
                          </w:p>
                        </w:txbxContent>
                      </wps:txbx>
                      <wps:bodyPr wrap="square" upright="1">
                        <a:noAutofit/>
                      </wps:bodyPr>
                    </wps:wsp>
                  </a:graphicData>
                </a:graphic>
              </wp:anchor>
            </w:drawing>
          </mc:Choice>
          <mc:Fallback>
            <w:pict>
              <v:shape id="矩形标注 4" o:spid="_x0000_s1026" o:spt="61" type="#_x0000_t61" style="position:absolute;left:0pt;margin-left:374.25pt;margin-top:390.8pt;height:22.4pt;width:78.1pt;z-index:251661312;mso-width-relative:page;mso-height-relative:page;" filled="f" stroked="t" coordsize="21600,21600" o:gfxdata="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FF5WxdkAAAALAQAA&#10;DwAAAAAAAAABACAAAAAiAAAAZHJzL2Rvd25yZXYueG1sUEsBAhQAFAAAAAgAh07iQPIJltVRAgAA&#10;lgQAAA4AAAAAAAAAAQAgAAAAKAEAAGRycy9lMm9Eb2MueG1sUEsFBgAAAAAGAAYAWQEAAOsFAAAA&#10;AA==&#10;" adj="-9226,-48044">
                <v:fill on="f" focussize="0,0"/>
                <v:stroke color="#000000" joinstyle="miter"/>
                <v:imagedata o:title=""/>
                <o:lock v:ext="edit" aspectratio="f"/>
                <v:textbox>
                  <w:txbxContent>
                    <w:p>
                      <w:pP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本项目位置</w:t>
                      </w:r>
                    </w:p>
                  </w:txbxContent>
                </v:textbox>
              </v:shape>
            </w:pict>
          </mc:Fallback>
        </mc:AlternateContent>
      </w:r>
      <w:r>
        <w:rPr>
          <w:b/>
          <w:kern w:val="0"/>
          <w:sz w:val="24"/>
          <w:szCs w:val="20"/>
        </w:rPr>
        <w:drawing>
          <wp:inline distT="0" distB="0" distL="0" distR="0">
            <wp:extent cx="8453755" cy="5752465"/>
            <wp:effectExtent l="0" t="0" r="4445" b="635"/>
            <wp:docPr id="2823575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57546"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8456634" cy="5754493"/>
                    </a:xfrm>
                    <a:prstGeom prst="rect">
                      <a:avLst/>
                    </a:prstGeom>
                    <a:noFill/>
                    <a:ln>
                      <a:noFill/>
                    </a:ln>
                  </pic:spPr>
                </pic:pic>
              </a:graphicData>
            </a:graphic>
          </wp:inline>
        </w:drawing>
      </w:r>
    </w:p>
    <w:p>
      <w:pPr>
        <w:tabs>
          <w:tab w:val="left" w:pos="0"/>
        </w:tabs>
        <w:adjustRightInd w:val="0"/>
        <w:snapToGrid w:val="0"/>
        <w:spacing w:line="360" w:lineRule="auto"/>
        <w:ind w:firstLine="1275" w:firstLineChars="529"/>
        <w:textAlignment w:val="baseline"/>
        <w:outlineLvl w:val="1"/>
        <w:rPr>
          <w:b/>
          <w:bCs/>
          <w:kern w:val="0"/>
          <w:sz w:val="24"/>
          <w:szCs w:val="20"/>
        </w:rPr>
      </w:pPr>
      <w:r>
        <w:rPr>
          <w:b/>
          <w:bCs/>
          <w:kern w:val="0"/>
          <w:sz w:val="24"/>
          <w:szCs w:val="20"/>
        </w:rPr>
        <w:t>附图3：项目平面布置图</w:t>
      </w:r>
    </w:p>
    <w:p>
      <w:pPr>
        <w:autoSpaceDE w:val="0"/>
        <w:autoSpaceDN w:val="0"/>
        <w:adjustRightInd w:val="0"/>
        <w:snapToGrid w:val="0"/>
        <w:spacing w:line="360" w:lineRule="auto"/>
        <w:jc w:val="center"/>
        <w:rPr>
          <w:b/>
          <w:kern w:val="0"/>
          <w:szCs w:val="21"/>
        </w:rPr>
        <w:sectPr>
          <w:pgSz w:w="16838" w:h="11906" w:orient="landscape"/>
          <w:pgMar w:top="993" w:right="1531" w:bottom="1135" w:left="1531" w:header="851" w:footer="851" w:gutter="0"/>
          <w:cols w:space="720" w:num="1"/>
          <w:docGrid w:linePitch="312" w:charSpace="0"/>
        </w:sectPr>
      </w:pPr>
      <w:r>
        <w:rPr>
          <w:b/>
          <w:kern w:val="0"/>
          <w:szCs w:val="21"/>
        </w:rPr>
        <mc:AlternateContent>
          <mc:Choice Requires="wps">
            <w:drawing>
              <wp:anchor distT="0" distB="0" distL="114300" distR="114300" simplePos="0" relativeHeight="251666432" behindDoc="0" locked="0" layoutInCell="1" allowOverlap="1">
                <wp:simplePos x="0" y="0"/>
                <wp:positionH relativeFrom="column">
                  <wp:posOffset>4910455</wp:posOffset>
                </wp:positionH>
                <wp:positionV relativeFrom="paragraph">
                  <wp:posOffset>1783080</wp:posOffset>
                </wp:positionV>
                <wp:extent cx="652145" cy="326390"/>
                <wp:effectExtent l="0" t="0" r="0" b="0"/>
                <wp:wrapNone/>
                <wp:docPr id="1191689554" name="文本框 2"/>
                <wp:cNvGraphicFramePr/>
                <a:graphic xmlns:a="http://schemas.openxmlformats.org/drawingml/2006/main">
                  <a:graphicData uri="http://schemas.microsoft.com/office/word/2010/wordprocessingShape">
                    <wps:wsp>
                      <wps:cNvSpPr txBox="1"/>
                      <wps:spPr>
                        <a:xfrm>
                          <a:off x="0" y="0"/>
                          <a:ext cx="652230" cy="326114"/>
                        </a:xfrm>
                        <a:prstGeom prst="rect">
                          <a:avLst/>
                        </a:prstGeom>
                        <a:noFill/>
                        <a:ln w="6350">
                          <a:noFill/>
                        </a:ln>
                      </wps:spPr>
                      <wps:txbx>
                        <w:txbxContent>
                          <w:p>
                            <w:pPr>
                              <w:rPr>
                                <w:sz w:val="24"/>
                                <w:szCs w:val="32"/>
                              </w:rPr>
                            </w:pPr>
                            <w:r>
                              <w:rPr>
                                <w:rFonts w:hint="eastAsia"/>
                                <w:sz w:val="24"/>
                                <w:szCs w:val="32"/>
                              </w:rPr>
                              <w:t>办公室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26" o:spt="202" type="#_x0000_t202" style="position:absolute;left:0pt;margin-left:386.65pt;margin-top:140.4pt;height:25.7pt;width:51.35pt;z-index:251666432;mso-width-relative:page;mso-height-relative:page;" filled="f" stroked="f" coordsize="21600,21600" o:gfxdata="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sOg3X2wAAAAsBAAAPAAAAAAAAAAEAIAAA&#10;ACIAAABkcnMvZG93bnJldi54bWxQSwECFAAUAAAACACHTuJAIqI0o0ICAABuBAAADgAAAAAAAAAB&#10;ACAAAAAqAQAAZHJzL2Uyb0RvYy54bWxQSwUGAAAAAAYABgBZAQAA3gUAAAAA&#10;">
                <v:fill on="f" focussize="0,0"/>
                <v:stroke on="f" weight="0.5pt"/>
                <v:imagedata o:title=""/>
                <o:lock v:ext="edit" aspectratio="f"/>
                <v:textbox>
                  <w:txbxContent>
                    <w:p>
                      <w:pPr>
                        <w:rPr>
                          <w:sz w:val="24"/>
                          <w:szCs w:val="32"/>
                        </w:rPr>
                      </w:pPr>
                      <w:r>
                        <w:rPr>
                          <w:rFonts w:hint="eastAsia"/>
                          <w:sz w:val="24"/>
                          <w:szCs w:val="32"/>
                        </w:rPr>
                        <w:t>办公室</w:t>
                      </w:r>
                    </w:p>
                  </w:txbxContent>
                </v:textbox>
              </v:shape>
            </w:pict>
          </mc:Fallback>
        </mc:AlternateContent>
      </w:r>
      <w:r>
        <w:rPr>
          <w:b/>
          <w:kern w:val="0"/>
          <w:szCs w:val="21"/>
        </w:rPr>
        <mc:AlternateContent>
          <mc:Choice Requires="wps">
            <w:drawing>
              <wp:anchor distT="0" distB="0" distL="114300" distR="114300" simplePos="0" relativeHeight="251665408" behindDoc="0" locked="0" layoutInCell="1" allowOverlap="1">
                <wp:simplePos x="0" y="0"/>
                <wp:positionH relativeFrom="column">
                  <wp:posOffset>5006340</wp:posOffset>
                </wp:positionH>
                <wp:positionV relativeFrom="paragraph">
                  <wp:posOffset>1822450</wp:posOffset>
                </wp:positionV>
                <wp:extent cx="485775" cy="217170"/>
                <wp:effectExtent l="0" t="0" r="9525" b="0"/>
                <wp:wrapNone/>
                <wp:docPr id="1732896999" name="矩形 1"/>
                <wp:cNvGraphicFramePr/>
                <a:graphic xmlns:a="http://schemas.openxmlformats.org/drawingml/2006/main">
                  <a:graphicData uri="http://schemas.microsoft.com/office/word/2010/wordprocessingShape">
                    <wps:wsp>
                      <wps:cNvSpPr/>
                      <wps:spPr>
                        <a:xfrm>
                          <a:off x="0" y="0"/>
                          <a:ext cx="485975" cy="21741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 o:spid="_x0000_s1026" o:spt="1" style="position:absolute;left:0pt;margin-left:394.2pt;margin-top:143.5pt;height:17.1pt;width:38.25pt;z-index:251665408;v-text-anchor:middle;mso-width-relative:page;mso-height-relative:page;" fillcolor="#FFFFFF [3212]" filled="t" stroked="f" coordsize="21600,21600" o:gfxdata="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OTgy3TbAAAACwEAAA8AAAAAAAAAAQAgAAAA&#10;IgAAAGRycy9kb3ducmV2LnhtbFBLAQIUABQAAAAIAIdO4kC4pWhWegIAAN4EAAAOAAAAAAAAAAEA&#10;IAAAACoBAABkcnMvZTJvRG9jLnhtbFBLBQYAAAAABgAGAFkBAAAWBgAAAAA=&#10;">
                <v:fill on="t" focussize="0,0"/>
                <v:stroke on="f" weight="1pt" miterlimit="8" joinstyle="miter"/>
                <v:imagedata o:title=""/>
                <o:lock v:ext="edit" aspectratio="f"/>
                <v:textbox>
                  <w:txbxContent>
                    <w:p>
                      <w:pPr>
                        <w:jc w:val="center"/>
                      </w:pPr>
                    </w:p>
                  </w:txbxContent>
                </v:textbox>
              </v:rect>
            </w:pict>
          </mc:Fallback>
        </mc:AlternateContent>
      </w:r>
      <w:r>
        <w:rPr>
          <w:b/>
          <w:kern w:val="0"/>
          <w:szCs w:val="21"/>
        </w:rPr>
        <mc:AlternateContent>
          <mc:Choice Requires="wps">
            <w:drawing>
              <wp:anchor distT="0" distB="0" distL="114300" distR="114300" simplePos="0" relativeHeight="251664384" behindDoc="0" locked="0" layoutInCell="1" allowOverlap="1">
                <wp:simplePos x="0" y="0"/>
                <wp:positionH relativeFrom="column">
                  <wp:posOffset>1896110</wp:posOffset>
                </wp:positionH>
                <wp:positionV relativeFrom="paragraph">
                  <wp:posOffset>2162175</wp:posOffset>
                </wp:positionV>
                <wp:extent cx="394335" cy="1241425"/>
                <wp:effectExtent l="0" t="0" r="0" b="0"/>
                <wp:wrapNone/>
                <wp:docPr id="74754963" name="文本框 1"/>
                <wp:cNvGraphicFramePr/>
                <a:graphic xmlns:a="http://schemas.openxmlformats.org/drawingml/2006/main">
                  <a:graphicData uri="http://schemas.microsoft.com/office/word/2010/wordprocessingShape">
                    <wps:wsp>
                      <wps:cNvSpPr txBox="1"/>
                      <wps:spPr>
                        <a:xfrm>
                          <a:off x="0" y="0"/>
                          <a:ext cx="394636" cy="1241659"/>
                        </a:xfrm>
                        <a:prstGeom prst="rect">
                          <a:avLst/>
                        </a:prstGeom>
                        <a:noFill/>
                        <a:ln w="6350">
                          <a:noFill/>
                        </a:ln>
                      </wps:spPr>
                      <wps:txbx>
                        <w:txbxContent>
                          <w:p>
                            <w:pPr>
                              <w:rPr>
                                <w:sz w:val="28"/>
                                <w:szCs w:val="36"/>
                              </w:rPr>
                            </w:pPr>
                            <w:r>
                              <w:rPr>
                                <w:rFonts w:hint="eastAsia"/>
                                <w:sz w:val="28"/>
                                <w:szCs w:val="36"/>
                              </w:rPr>
                              <w:t>砂石储料棚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49.3pt;margin-top:170.25pt;height:97.75pt;width:31.05pt;z-index:251664384;mso-width-relative:page;mso-height-relative:page;" filled="f" stroked="f" coordsize="21600,21600" o:gfxdata="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QZu07cAAAACwEAAA8AAAAAAAAAAQAg&#10;AAAAIgAAAGRycy9kb3ducmV2LnhtbFBLAQIUABQAAAAIAIdO4kCPWBf+QwIAAG0EAAAOAAAAAAAA&#10;AAEAIAAAACsBAABkcnMvZTJvRG9jLnhtbFBLBQYAAAAABgAGAFkBAADgBQAAAAA=&#10;">
                <v:fill on="f" focussize="0,0"/>
                <v:stroke on="f" weight="0.5pt"/>
                <v:imagedata o:title=""/>
                <o:lock v:ext="edit" aspectratio="f"/>
                <v:textbox>
                  <w:txbxContent>
                    <w:p>
                      <w:pPr>
                        <w:rPr>
                          <w:sz w:val="28"/>
                          <w:szCs w:val="36"/>
                        </w:rPr>
                      </w:pPr>
                      <w:r>
                        <w:rPr>
                          <w:rFonts w:hint="eastAsia"/>
                          <w:sz w:val="28"/>
                          <w:szCs w:val="36"/>
                        </w:rPr>
                        <w:t>砂石储料棚</w:t>
                      </w:r>
                    </w:p>
                  </w:txbxContent>
                </v:textbox>
              </v:shape>
            </w:pict>
          </mc:Fallback>
        </mc:AlternateContent>
      </w:r>
      <w:r>
        <w:rPr>
          <w:b/>
          <w:kern w:val="0"/>
          <w:szCs w:val="21"/>
        </w:rPr>
        <w:drawing>
          <wp:anchor distT="0" distB="0" distL="114300" distR="114300" simplePos="0" relativeHeight="251663360" behindDoc="0" locked="0" layoutInCell="1" allowOverlap="1">
            <wp:simplePos x="0" y="0"/>
            <wp:positionH relativeFrom="column">
              <wp:posOffset>7409180</wp:posOffset>
            </wp:positionH>
            <wp:positionV relativeFrom="paragraph">
              <wp:posOffset>26670</wp:posOffset>
            </wp:positionV>
            <wp:extent cx="659130" cy="933450"/>
            <wp:effectExtent l="209550" t="114300" r="140970" b="114300"/>
            <wp:wrapNone/>
            <wp:docPr id="125466782" name="图片 12546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6782" name="图片 12546678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rot="19597952">
                      <a:off x="0" y="0"/>
                      <a:ext cx="659130" cy="933450"/>
                    </a:xfrm>
                    <a:prstGeom prst="rect">
                      <a:avLst/>
                    </a:prstGeom>
                    <a:noFill/>
                    <a:ln>
                      <a:noFill/>
                    </a:ln>
                  </pic:spPr>
                </pic:pic>
              </a:graphicData>
            </a:graphic>
          </wp:anchor>
        </w:drawing>
      </w:r>
      <w:r>
        <w:rPr>
          <w:b/>
          <w:kern w:val="0"/>
          <w:szCs w:val="21"/>
        </w:rPr>
        <w:drawing>
          <wp:inline distT="0" distB="0" distL="0" distR="0">
            <wp:extent cx="7446010" cy="5234305"/>
            <wp:effectExtent l="0" t="0" r="2540" b="4445"/>
            <wp:docPr id="21104552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55202"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7452119" cy="5238773"/>
                    </a:xfrm>
                    <a:prstGeom prst="rect">
                      <a:avLst/>
                    </a:prstGeom>
                    <a:noFill/>
                    <a:ln>
                      <a:noFill/>
                    </a:ln>
                  </pic:spPr>
                </pic:pic>
              </a:graphicData>
            </a:graphic>
          </wp:inline>
        </w:drawing>
      </w:r>
    </w:p>
    <w:p>
      <w:pPr>
        <w:tabs>
          <w:tab w:val="left" w:pos="0"/>
        </w:tabs>
        <w:adjustRightInd w:val="0"/>
        <w:snapToGrid w:val="0"/>
        <w:spacing w:line="360" w:lineRule="auto"/>
        <w:ind w:firstLine="1275" w:firstLineChars="529"/>
        <w:textAlignment w:val="baseline"/>
        <w:outlineLvl w:val="1"/>
        <w:rPr>
          <w:b/>
          <w:bCs/>
          <w:kern w:val="0"/>
          <w:sz w:val="24"/>
          <w:szCs w:val="20"/>
        </w:rPr>
      </w:pPr>
      <w:r>
        <w:rPr>
          <w:b/>
          <w:bCs/>
          <w:kern w:val="0"/>
          <w:sz w:val="24"/>
          <w:szCs w:val="20"/>
        </w:rPr>
        <w:t>附图4：环境保护目标</w:t>
      </w:r>
    </w:p>
    <w:p>
      <w:pPr>
        <w:autoSpaceDE w:val="0"/>
        <w:autoSpaceDN w:val="0"/>
        <w:adjustRightInd w:val="0"/>
        <w:snapToGrid w:val="0"/>
        <w:spacing w:line="360" w:lineRule="auto"/>
        <w:jc w:val="center"/>
        <w:rPr>
          <w:b/>
          <w:kern w:val="0"/>
          <w:szCs w:val="21"/>
        </w:rPr>
      </w:pPr>
      <w:r>
        <w:drawing>
          <wp:inline distT="0" distB="0" distL="0" distR="0">
            <wp:extent cx="8257540" cy="5785485"/>
            <wp:effectExtent l="0" t="0" r="10160" b="5715"/>
            <wp:docPr id="2177560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6041" name="图片 1"/>
                    <pic:cNvPicPr>
                      <a:picLocks noChangeAspect="1"/>
                    </pic:cNvPicPr>
                  </pic:nvPicPr>
                  <pic:blipFill>
                    <a:blip r:embed="rId17"/>
                    <a:stretch>
                      <a:fillRect/>
                    </a:stretch>
                  </pic:blipFill>
                  <pic:spPr>
                    <a:xfrm>
                      <a:off x="0" y="0"/>
                      <a:ext cx="8267011" cy="5792188"/>
                    </a:xfrm>
                    <a:prstGeom prst="rect">
                      <a:avLst/>
                    </a:prstGeom>
                  </pic:spPr>
                </pic:pic>
              </a:graphicData>
            </a:graphic>
          </wp:inline>
        </w:drawing>
      </w:r>
      <w:r>
        <w:rPr>
          <w:b/>
          <w:kern w:val="0"/>
          <w:szCs w:val="21"/>
        </w:rPr>
        <w:drawing>
          <wp:anchor distT="0" distB="0" distL="114300" distR="114300" simplePos="0" relativeHeight="251662336" behindDoc="0" locked="0" layoutInCell="1" allowOverlap="1">
            <wp:simplePos x="0" y="0"/>
            <wp:positionH relativeFrom="column">
              <wp:posOffset>7779385</wp:posOffset>
            </wp:positionH>
            <wp:positionV relativeFrom="paragraph">
              <wp:posOffset>99060</wp:posOffset>
            </wp:positionV>
            <wp:extent cx="659130" cy="933450"/>
            <wp:effectExtent l="0" t="0" r="7620" b="0"/>
            <wp:wrapNone/>
            <wp:docPr id="1664566749" name="图片 1664566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566749" name="图片 16645667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659130" cy="933450"/>
                    </a:xfrm>
                    <a:prstGeom prst="rect">
                      <a:avLst/>
                    </a:prstGeom>
                    <a:noFill/>
                    <a:ln>
                      <a:noFill/>
                    </a:ln>
                  </pic:spPr>
                </pic:pic>
              </a:graphicData>
            </a:graphic>
          </wp:anchor>
        </w:drawing>
      </w:r>
      <w:r>
        <w:rPr>
          <w:b/>
          <w:kern w:val="0"/>
          <w:szCs w:val="21"/>
        </w:rPr>
        <w:drawing>
          <wp:anchor distT="0" distB="0" distL="114300" distR="114300" simplePos="0" relativeHeight="251660288" behindDoc="0" locked="0" layoutInCell="1" allowOverlap="1">
            <wp:simplePos x="0" y="0"/>
            <wp:positionH relativeFrom="column">
              <wp:posOffset>392430</wp:posOffset>
            </wp:positionH>
            <wp:positionV relativeFrom="paragraph">
              <wp:posOffset>4250690</wp:posOffset>
            </wp:positionV>
            <wp:extent cx="1447800" cy="1209675"/>
            <wp:effectExtent l="0" t="0" r="0" b="9525"/>
            <wp:wrapNone/>
            <wp:docPr id="113165567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55679" name="图片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447800" cy="1209675"/>
                    </a:xfrm>
                    <a:prstGeom prst="rect">
                      <a:avLst/>
                    </a:prstGeom>
                    <a:noFill/>
                  </pic:spPr>
                </pic:pic>
              </a:graphicData>
            </a:graphic>
          </wp:anchor>
        </w:drawing>
      </w:r>
    </w:p>
    <w:p>
      <w:pPr>
        <w:autoSpaceDE w:val="0"/>
        <w:autoSpaceDN w:val="0"/>
        <w:adjustRightInd w:val="0"/>
        <w:snapToGrid w:val="0"/>
        <w:spacing w:line="360" w:lineRule="auto"/>
        <w:jc w:val="center"/>
        <w:rPr>
          <w:b/>
          <w:kern w:val="0"/>
          <w:szCs w:val="21"/>
        </w:rPr>
        <w:sectPr>
          <w:pgSz w:w="16838" w:h="11906" w:orient="landscape"/>
          <w:pgMar w:top="993" w:right="1531" w:bottom="1135" w:left="1531" w:header="851" w:footer="851" w:gutter="0"/>
          <w:cols w:space="720" w:num="1"/>
          <w:docGrid w:linePitch="312" w:charSpace="0"/>
        </w:sectPr>
      </w:pPr>
    </w:p>
    <w:p>
      <w:pPr>
        <w:pStyle w:val="13"/>
        <w:adjustRightInd w:val="0"/>
        <w:snapToGrid w:val="0"/>
        <w:spacing w:before="0" w:beforeAutospacing="0" w:after="0" w:afterAutospacing="0"/>
        <w:outlineLvl w:val="0"/>
        <w:rPr>
          <w:rFonts w:ascii="Times New Roman" w:hAnsi="Times New Roman" w:eastAsia="黑体"/>
          <w:snapToGrid w:val="0"/>
          <w:sz w:val="32"/>
          <w:szCs w:val="32"/>
        </w:rPr>
      </w:pPr>
      <w:r>
        <w:rPr>
          <w:rFonts w:hint="eastAsia" w:ascii="Times New Roman" w:hAnsi="Times New Roman" w:eastAsia="黑体"/>
          <w:snapToGrid w:val="0"/>
          <w:sz w:val="32"/>
          <w:szCs w:val="32"/>
        </w:rPr>
        <w:t>附件</w:t>
      </w:r>
    </w:p>
    <w:p>
      <w:pPr>
        <w:autoSpaceDE w:val="0"/>
        <w:autoSpaceDN w:val="0"/>
        <w:spacing w:line="360" w:lineRule="auto"/>
        <w:outlineLvl w:val="1"/>
        <w:rPr>
          <w:b/>
          <w:bCs/>
          <w:kern w:val="0"/>
          <w:sz w:val="28"/>
          <w:szCs w:val="28"/>
        </w:rPr>
      </w:pPr>
      <w:r>
        <w:rPr>
          <w:rFonts w:hint="eastAsia"/>
          <w:b/>
          <w:bCs/>
          <w:kern w:val="0"/>
          <w:sz w:val="28"/>
          <w:szCs w:val="28"/>
        </w:rPr>
        <w:t>附件1：委托书</w:t>
      </w:r>
    </w:p>
    <w:p>
      <w:pPr>
        <w:ind w:left="2" w:leftChars="-202" w:hanging="426" w:hangingChars="118"/>
        <w:jc w:val="center"/>
        <w:rPr>
          <w:rFonts w:ascii="宋体" w:hAnsi="宋体"/>
          <w:b/>
          <w:sz w:val="36"/>
          <w:szCs w:val="36"/>
        </w:rPr>
      </w:pPr>
    </w:p>
    <w:p>
      <w:pPr>
        <w:jc w:val="center"/>
        <w:rPr>
          <w:b/>
          <w:bCs/>
          <w:sz w:val="44"/>
          <w:szCs w:val="44"/>
        </w:rPr>
      </w:pPr>
    </w:p>
    <w:p>
      <w:pPr>
        <w:jc w:val="center"/>
        <w:rPr>
          <w:b/>
          <w:bCs/>
          <w:sz w:val="44"/>
          <w:szCs w:val="44"/>
        </w:rPr>
      </w:pPr>
    </w:p>
    <w:p>
      <w:pPr>
        <w:ind w:left="424" w:leftChars="202"/>
        <w:jc w:val="center"/>
        <w:rPr>
          <w:b/>
          <w:bCs/>
          <w:sz w:val="44"/>
          <w:szCs w:val="44"/>
        </w:rPr>
      </w:pPr>
    </w:p>
    <w:p>
      <w:pPr>
        <w:ind w:left="424" w:leftChars="202"/>
        <w:jc w:val="center"/>
        <w:rPr>
          <w:b/>
          <w:bCs/>
          <w:sz w:val="44"/>
          <w:szCs w:val="44"/>
        </w:rPr>
      </w:pPr>
      <w:r>
        <w:rPr>
          <w:b/>
          <w:bCs/>
          <w:sz w:val="44"/>
          <w:szCs w:val="44"/>
        </w:rPr>
        <w:t>委 托 书</w:t>
      </w:r>
    </w:p>
    <w:p>
      <w:pPr>
        <w:adjustRightInd w:val="0"/>
        <w:snapToGrid w:val="0"/>
        <w:spacing w:line="360" w:lineRule="auto"/>
        <w:ind w:left="424" w:leftChars="202"/>
        <w:rPr>
          <w:sz w:val="36"/>
        </w:rPr>
      </w:pPr>
    </w:p>
    <w:p>
      <w:pPr>
        <w:adjustRightInd w:val="0"/>
        <w:snapToGrid w:val="0"/>
        <w:spacing w:line="360" w:lineRule="auto"/>
        <w:ind w:left="424" w:leftChars="202"/>
        <w:rPr>
          <w:sz w:val="28"/>
          <w:szCs w:val="22"/>
        </w:rPr>
      </w:pPr>
      <w:r>
        <w:rPr>
          <w:rFonts w:hint="eastAsia"/>
          <w:b/>
          <w:bCs/>
          <w:sz w:val="28"/>
          <w:szCs w:val="22"/>
          <w:u w:val="single"/>
        </w:rPr>
        <w:t>鄂尔多斯市绿城大地环保科技有限公司</w:t>
      </w:r>
      <w:r>
        <w:rPr>
          <w:sz w:val="28"/>
          <w:szCs w:val="22"/>
        </w:rPr>
        <w:t>：</w:t>
      </w:r>
    </w:p>
    <w:p>
      <w:pPr>
        <w:adjustRightInd w:val="0"/>
        <w:snapToGrid w:val="0"/>
        <w:spacing w:line="360" w:lineRule="auto"/>
        <w:ind w:left="424" w:leftChars="202" w:firstLine="560" w:firstLineChars="200"/>
        <w:rPr>
          <w:bCs/>
          <w:sz w:val="28"/>
          <w:szCs w:val="28"/>
        </w:rPr>
      </w:pPr>
      <w:r>
        <w:rPr>
          <w:bCs/>
          <w:sz w:val="28"/>
          <w:szCs w:val="28"/>
        </w:rPr>
        <w:t>我</w:t>
      </w:r>
      <w:r>
        <w:rPr>
          <w:rFonts w:hint="eastAsia"/>
          <w:bCs/>
          <w:sz w:val="28"/>
          <w:szCs w:val="28"/>
        </w:rPr>
        <w:t>公司</w:t>
      </w:r>
      <w:r>
        <w:rPr>
          <w:bCs/>
          <w:sz w:val="28"/>
          <w:szCs w:val="28"/>
        </w:rPr>
        <w:t>建设“</w:t>
      </w:r>
      <w:r>
        <w:rPr>
          <w:rFonts w:hint="eastAsia"/>
          <w:bCs/>
          <w:sz w:val="28"/>
          <w:szCs w:val="28"/>
        </w:rPr>
        <w:t>伊金霍洛旗红星兆劳务有限责任公司吉祥商砼站项目</w:t>
      </w:r>
      <w:r>
        <w:rPr>
          <w:bCs/>
          <w:sz w:val="28"/>
          <w:szCs w:val="28"/>
        </w:rPr>
        <w:t>”，根据《中华人民共和国环境保护法》、《中华人民共和国环境影响评价法》等有关条款规定，本项目需进行环境影响评价，并编制“环境影响报告表”。</w:t>
      </w:r>
    </w:p>
    <w:p>
      <w:pPr>
        <w:adjustRightInd w:val="0"/>
        <w:snapToGrid w:val="0"/>
        <w:spacing w:line="360" w:lineRule="auto"/>
        <w:ind w:left="424" w:leftChars="202" w:firstLine="560" w:firstLineChars="200"/>
        <w:rPr>
          <w:bCs/>
          <w:sz w:val="28"/>
          <w:szCs w:val="28"/>
        </w:rPr>
      </w:pPr>
      <w:r>
        <w:rPr>
          <w:bCs/>
          <w:sz w:val="28"/>
          <w:szCs w:val="28"/>
        </w:rPr>
        <w:t>我</w:t>
      </w:r>
      <w:r>
        <w:rPr>
          <w:rFonts w:hint="eastAsia"/>
          <w:bCs/>
          <w:sz w:val="28"/>
          <w:szCs w:val="28"/>
        </w:rPr>
        <w:t>公司</w:t>
      </w:r>
      <w:r>
        <w:rPr>
          <w:bCs/>
          <w:sz w:val="28"/>
          <w:szCs w:val="28"/>
        </w:rPr>
        <w:t>现委托贵公司承担本项目的环境影响评价工作，请贵公司尽快组织力量，按照有关条例要求，展开环评工作。</w:t>
      </w:r>
    </w:p>
    <w:p>
      <w:pPr>
        <w:ind w:left="424" w:leftChars="202" w:firstLine="3600"/>
        <w:rPr>
          <w:sz w:val="36"/>
          <w:szCs w:val="36"/>
        </w:rPr>
      </w:pPr>
    </w:p>
    <w:p>
      <w:pPr>
        <w:ind w:left="424" w:leftChars="202" w:firstLine="3600"/>
        <w:rPr>
          <w:sz w:val="36"/>
          <w:szCs w:val="36"/>
        </w:rPr>
      </w:pPr>
    </w:p>
    <w:p>
      <w:pPr>
        <w:ind w:left="424" w:leftChars="202" w:firstLine="3600"/>
        <w:rPr>
          <w:sz w:val="36"/>
          <w:szCs w:val="36"/>
        </w:rPr>
      </w:pPr>
    </w:p>
    <w:p>
      <w:pPr>
        <w:ind w:left="424" w:leftChars="202"/>
        <w:rPr>
          <w:bCs/>
          <w:sz w:val="36"/>
          <w:szCs w:val="18"/>
        </w:rPr>
      </w:pPr>
    </w:p>
    <w:p>
      <w:pPr>
        <w:snapToGrid w:val="0"/>
        <w:spacing w:line="360" w:lineRule="auto"/>
        <w:ind w:left="424" w:leftChars="202"/>
        <w:jc w:val="right"/>
        <w:rPr>
          <w:bCs/>
          <w:sz w:val="28"/>
          <w:szCs w:val="28"/>
        </w:rPr>
      </w:pPr>
      <w:r>
        <w:rPr>
          <w:rFonts w:hint="eastAsia"/>
          <w:bCs/>
          <w:sz w:val="28"/>
          <w:szCs w:val="28"/>
        </w:rPr>
        <w:t>伊金霍洛旗红星兆劳务有限责任公司</w:t>
      </w:r>
    </w:p>
    <w:p>
      <w:pPr>
        <w:snapToGrid w:val="0"/>
        <w:spacing w:line="360" w:lineRule="auto"/>
        <w:ind w:left="424" w:leftChars="202"/>
        <w:jc w:val="right"/>
        <w:rPr>
          <w:sz w:val="36"/>
          <w:szCs w:val="36"/>
        </w:rPr>
      </w:pPr>
      <w:r>
        <w:rPr>
          <w:sz w:val="28"/>
          <w:szCs w:val="28"/>
        </w:rPr>
        <w:t>2023年9月4日</w:t>
      </w:r>
    </w:p>
    <w:p>
      <w:pPr>
        <w:pStyle w:val="4"/>
        <w:ind w:left="0" w:leftChars="0" w:firstLine="1377" w:firstLineChars="656"/>
        <w:jc w:val="right"/>
      </w:pPr>
    </w:p>
    <w:p>
      <w:pPr>
        <w:jc w:val="center"/>
        <w:rPr>
          <w:rFonts w:ascii="宋体" w:hAnsi="宋体"/>
          <w:b/>
          <w:sz w:val="36"/>
          <w:szCs w:val="36"/>
        </w:rPr>
        <w:sectPr>
          <w:pgSz w:w="11905" w:h="16838"/>
          <w:pgMar w:top="1440" w:right="1440" w:bottom="1440" w:left="1440" w:header="567" w:footer="907" w:gutter="0"/>
          <w:cols w:space="720" w:num="1"/>
          <w:docGrid w:linePitch="312" w:charSpace="0"/>
        </w:sectPr>
      </w:pPr>
    </w:p>
    <w:p>
      <w:pPr>
        <w:autoSpaceDE w:val="0"/>
        <w:autoSpaceDN w:val="0"/>
        <w:spacing w:line="360" w:lineRule="auto"/>
        <w:outlineLvl w:val="1"/>
        <w:rPr>
          <w:b/>
          <w:bCs/>
          <w:kern w:val="0"/>
          <w:sz w:val="28"/>
          <w:szCs w:val="28"/>
        </w:rPr>
      </w:pPr>
      <w:r>
        <w:rPr>
          <w:rFonts w:hint="eastAsia"/>
          <w:b/>
          <w:bCs/>
          <w:kern w:val="0"/>
          <w:sz w:val="28"/>
          <w:szCs w:val="28"/>
        </w:rPr>
        <w:t>附件2：项目备案告知书</w:t>
      </w:r>
    </w:p>
    <w:p>
      <w:pPr>
        <w:pStyle w:val="4"/>
        <w:ind w:left="0" w:leftChars="0" w:firstLine="0" w:firstLineChars="0"/>
      </w:pPr>
      <w:r>
        <w:drawing>
          <wp:inline distT="0" distB="0" distL="0" distR="0">
            <wp:extent cx="5614035" cy="7940040"/>
            <wp:effectExtent l="0" t="0" r="5715" b="3810"/>
            <wp:docPr id="2880444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044432" name="图片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614035" cy="7940040"/>
                    </a:xfrm>
                    <a:prstGeom prst="rect">
                      <a:avLst/>
                    </a:prstGeom>
                    <a:noFill/>
                    <a:ln>
                      <a:noFill/>
                    </a:ln>
                  </pic:spPr>
                </pic:pic>
              </a:graphicData>
            </a:graphic>
          </wp:inline>
        </w:drawing>
      </w:r>
    </w:p>
    <w:p>
      <w:pPr>
        <w:widowControl/>
        <w:jc w:val="left"/>
        <w:rPr>
          <w:kern w:val="0"/>
          <w:szCs w:val="21"/>
        </w:rPr>
      </w:pPr>
      <w:r>
        <w:rPr>
          <w:kern w:val="0"/>
          <w:szCs w:val="21"/>
        </w:rPr>
        <w:br w:type="page"/>
      </w:r>
    </w:p>
    <w:p>
      <w:pPr>
        <w:autoSpaceDE w:val="0"/>
        <w:autoSpaceDN w:val="0"/>
        <w:spacing w:line="360" w:lineRule="auto"/>
        <w:outlineLvl w:val="1"/>
        <w:rPr>
          <w:b/>
          <w:bCs/>
          <w:kern w:val="0"/>
          <w:sz w:val="28"/>
          <w:szCs w:val="28"/>
        </w:rPr>
      </w:pPr>
      <w:bookmarkStart w:id="7" w:name="_Hlk155105452"/>
      <w:r>
        <w:rPr>
          <w:rFonts w:hint="eastAsia"/>
          <w:b/>
          <w:bCs/>
          <w:kern w:val="0"/>
          <w:sz w:val="28"/>
          <w:szCs w:val="28"/>
        </w:rPr>
        <w:t>附件3：土地证</w:t>
      </w:r>
    </w:p>
    <w:bookmarkEnd w:id="7"/>
    <w:p>
      <w:pPr>
        <w:rPr>
          <w:szCs w:val="21"/>
        </w:rPr>
      </w:pPr>
      <w:r>
        <w:rPr>
          <w:szCs w:val="21"/>
        </w:rPr>
        <w:drawing>
          <wp:inline distT="0" distB="0" distL="0" distR="0">
            <wp:extent cx="5690870" cy="8060055"/>
            <wp:effectExtent l="0" t="0" r="5080" b="0"/>
            <wp:docPr id="19381905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90511" name="图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691907" cy="8061389"/>
                    </a:xfrm>
                    <a:prstGeom prst="rect">
                      <a:avLst/>
                    </a:prstGeom>
                    <a:noFill/>
                    <a:ln>
                      <a:noFill/>
                    </a:ln>
                  </pic:spPr>
                </pic:pic>
              </a:graphicData>
            </a:graphic>
          </wp:inline>
        </w:drawing>
      </w:r>
    </w:p>
    <w:p>
      <w:pPr>
        <w:autoSpaceDE w:val="0"/>
        <w:autoSpaceDN w:val="0"/>
        <w:spacing w:line="360" w:lineRule="auto"/>
        <w:outlineLvl w:val="1"/>
        <w:rPr>
          <w:b/>
          <w:bCs/>
          <w:kern w:val="0"/>
          <w:sz w:val="28"/>
          <w:szCs w:val="28"/>
        </w:rPr>
      </w:pPr>
      <w:r>
        <w:rPr>
          <w:rFonts w:hint="eastAsia"/>
          <w:b/>
          <w:bCs/>
          <w:kern w:val="0"/>
          <w:sz w:val="28"/>
          <w:szCs w:val="28"/>
        </w:rPr>
        <w:t>附件</w:t>
      </w:r>
      <w:r>
        <w:rPr>
          <w:b/>
          <w:bCs/>
          <w:kern w:val="0"/>
          <w:sz w:val="28"/>
          <w:szCs w:val="28"/>
        </w:rPr>
        <w:t>4</w:t>
      </w:r>
      <w:r>
        <w:rPr>
          <w:rFonts w:hint="eastAsia"/>
          <w:b/>
          <w:bCs/>
          <w:kern w:val="0"/>
          <w:sz w:val="28"/>
          <w:szCs w:val="28"/>
        </w:rPr>
        <w:t>：责令改正违法行为决定书</w:t>
      </w:r>
    </w:p>
    <w:p>
      <w:pPr>
        <w:rPr>
          <w:szCs w:val="21"/>
        </w:rPr>
      </w:pPr>
      <w:r>
        <w:rPr>
          <w:szCs w:val="21"/>
        </w:rPr>
        <w:drawing>
          <wp:inline distT="0" distB="0" distL="0" distR="0">
            <wp:extent cx="5596255" cy="7900670"/>
            <wp:effectExtent l="0" t="0" r="4445" b="5080"/>
            <wp:docPr id="6925880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88086" name="图片 2"/>
                    <pic:cNvPicPr>
                      <a:picLocks noChangeAspect="1" noChangeArrowheads="1"/>
                    </pic:cNvPicPr>
                  </pic:nvPicPr>
                  <pic:blipFill>
                    <a:blip r:embed="rId21">
                      <a:extLst>
                        <a:ext uri="{BEBA8EAE-BF5A-486C-A8C5-ECC9F3942E4B}">
                          <a14:imgProps xmlns:a14="http://schemas.microsoft.com/office/drawing/2010/main">
                            <a14:imgLayer r:embed="rId22">
                              <a14:imgEffect>
                                <a14:brightnessContrast bright="20000"/>
                              </a14:imgEffect>
                            </a14:imgLayer>
                          </a14:imgProps>
                        </a:ext>
                        <a:ext uri="{28A0092B-C50C-407E-A947-70E740481C1C}">
                          <a14:useLocalDpi xmlns:a14="http://schemas.microsoft.com/office/drawing/2010/main" val="0"/>
                        </a:ext>
                      </a:extLst>
                    </a:blip>
                    <a:srcRect l="9226" t="2307" r="21574"/>
                    <a:stretch>
                      <a:fillRect/>
                    </a:stretch>
                  </pic:blipFill>
                  <pic:spPr>
                    <a:xfrm>
                      <a:off x="0" y="0"/>
                      <a:ext cx="5604552" cy="7912309"/>
                    </a:xfrm>
                    <a:prstGeom prst="rect">
                      <a:avLst/>
                    </a:prstGeom>
                    <a:noFill/>
                    <a:ln>
                      <a:noFill/>
                    </a:ln>
                  </pic:spPr>
                </pic:pic>
              </a:graphicData>
            </a:graphic>
          </wp:inline>
        </w:drawing>
      </w:r>
    </w:p>
    <w:p>
      <w:pPr>
        <w:rPr>
          <w:szCs w:val="21"/>
        </w:rPr>
      </w:pPr>
      <w:r>
        <w:rPr>
          <w:szCs w:val="21"/>
        </w:rPr>
        <w:drawing>
          <wp:inline distT="0" distB="0" distL="0" distR="0">
            <wp:extent cx="5723255" cy="8229600"/>
            <wp:effectExtent l="0" t="0" r="0" b="0"/>
            <wp:docPr id="19332877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87751" name="图片 3"/>
                    <pic:cNvPicPr>
                      <a:picLocks noChangeAspect="1" noChangeArrowheads="1"/>
                    </pic:cNvPicPr>
                  </pic:nvPicPr>
                  <pic:blipFill>
                    <a:blip r:embed="rId23">
                      <a:extLst>
                        <a:ext uri="{BEBA8EAE-BF5A-486C-A8C5-ECC9F3942E4B}">
                          <a14:imgProps xmlns:a14="http://schemas.microsoft.com/office/drawing/2010/main">
                            <a14:imgLayer r:embed="rId24">
                              <a14:imgEffect>
                                <a14:brightnessContrast bright="20000"/>
                              </a14:imgEffect>
                            </a14:imgLayer>
                          </a14:imgProps>
                        </a:ext>
                        <a:ext uri="{28A0092B-C50C-407E-A947-70E740481C1C}">
                          <a14:useLocalDpi xmlns:a14="http://schemas.microsoft.com/office/drawing/2010/main" val="0"/>
                        </a:ext>
                      </a:extLst>
                    </a:blip>
                    <a:srcRect l="12347" t="5021" r="23203" b="2307"/>
                    <a:stretch>
                      <a:fillRect/>
                    </a:stretch>
                  </pic:blipFill>
                  <pic:spPr>
                    <a:xfrm>
                      <a:off x="0" y="0"/>
                      <a:ext cx="5731106" cy="8240728"/>
                    </a:xfrm>
                    <a:prstGeom prst="rect">
                      <a:avLst/>
                    </a:prstGeom>
                    <a:noFill/>
                    <a:ln>
                      <a:noFill/>
                    </a:ln>
                  </pic:spPr>
                </pic:pic>
              </a:graphicData>
            </a:graphic>
          </wp:inline>
        </w:drawing>
      </w:r>
    </w:p>
    <w:p>
      <w:pPr>
        <w:widowControl/>
        <w:jc w:val="left"/>
        <w:rPr>
          <w:szCs w:val="21"/>
        </w:rPr>
      </w:pPr>
      <w:r>
        <w:rPr>
          <w:szCs w:val="21"/>
        </w:rPr>
        <w:br w:type="page"/>
      </w:r>
    </w:p>
    <w:p>
      <w:pPr>
        <w:autoSpaceDE w:val="0"/>
        <w:autoSpaceDN w:val="0"/>
        <w:spacing w:line="360" w:lineRule="auto"/>
        <w:outlineLvl w:val="1"/>
        <w:rPr>
          <w:b/>
          <w:bCs/>
          <w:kern w:val="0"/>
          <w:sz w:val="28"/>
          <w:szCs w:val="28"/>
        </w:rPr>
      </w:pPr>
      <w:r>
        <w:rPr>
          <w:rFonts w:hint="eastAsia"/>
          <w:b/>
          <w:bCs/>
          <w:kern w:val="0"/>
          <w:sz w:val="28"/>
          <w:szCs w:val="28"/>
        </w:rPr>
        <w:t>附件</w:t>
      </w:r>
      <w:r>
        <w:rPr>
          <w:b/>
          <w:bCs/>
          <w:kern w:val="0"/>
          <w:sz w:val="28"/>
          <w:szCs w:val="28"/>
        </w:rPr>
        <w:t>5</w:t>
      </w:r>
      <w:r>
        <w:rPr>
          <w:rFonts w:hint="eastAsia"/>
          <w:b/>
          <w:bCs/>
          <w:kern w:val="0"/>
          <w:sz w:val="28"/>
          <w:szCs w:val="28"/>
        </w:rPr>
        <w:t>：行政处罚事先(听证)告知书</w:t>
      </w:r>
    </w:p>
    <w:p>
      <w:pPr>
        <w:rPr>
          <w:szCs w:val="21"/>
        </w:rPr>
      </w:pPr>
      <w:r>
        <w:rPr>
          <w:szCs w:val="21"/>
        </w:rPr>
        <w:drawing>
          <wp:inline distT="0" distB="0" distL="0" distR="0">
            <wp:extent cx="5865495" cy="7493000"/>
            <wp:effectExtent l="0" t="0" r="1905" b="0"/>
            <wp:docPr id="11357332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33238" name="图片 4"/>
                    <pic:cNvPicPr>
                      <a:picLocks noChangeAspect="1" noChangeArrowheads="1"/>
                    </pic:cNvPicPr>
                  </pic:nvPicPr>
                  <pic:blipFill>
                    <a:blip r:embed="rId25">
                      <a:extLst>
                        <a:ext uri="{BEBA8EAE-BF5A-486C-A8C5-ECC9F3942E4B}">
                          <a14:imgProps xmlns:a14="http://schemas.microsoft.com/office/drawing/2010/main">
                            <a14:imgLayer r:embed="rId26">
                              <a14:imgEffect>
                                <a14:brightnessContrast bright="20000"/>
                              </a14:imgEffect>
                            </a14:imgLayer>
                          </a14:imgProps>
                        </a:ext>
                        <a:ext uri="{28A0092B-C50C-407E-A947-70E740481C1C}">
                          <a14:useLocalDpi xmlns:a14="http://schemas.microsoft.com/office/drawing/2010/main" val="0"/>
                        </a:ext>
                      </a:extLst>
                    </a:blip>
                    <a:srcRect l="7237" t="-151" r="14358" b="-9"/>
                    <a:stretch>
                      <a:fillRect/>
                    </a:stretch>
                  </pic:blipFill>
                  <pic:spPr>
                    <a:xfrm>
                      <a:off x="0" y="0"/>
                      <a:ext cx="5879137" cy="7510316"/>
                    </a:xfrm>
                    <a:prstGeom prst="rect">
                      <a:avLst/>
                    </a:prstGeom>
                    <a:noFill/>
                    <a:ln>
                      <a:noFill/>
                    </a:ln>
                  </pic:spPr>
                </pic:pic>
              </a:graphicData>
            </a:graphic>
          </wp:inline>
        </w:drawing>
      </w:r>
    </w:p>
    <w:p>
      <w:pPr>
        <w:rPr>
          <w:szCs w:val="21"/>
        </w:rPr>
      </w:pPr>
      <w:r>
        <w:rPr>
          <w:szCs w:val="21"/>
        </w:rPr>
        <w:drawing>
          <wp:inline distT="0" distB="0" distL="0" distR="0">
            <wp:extent cx="5789930" cy="7992110"/>
            <wp:effectExtent l="0" t="0" r="1270" b="8890"/>
            <wp:docPr id="6503295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29531" name="图片 5"/>
                    <pic:cNvPicPr>
                      <a:picLocks noChangeAspect="1" noChangeArrowheads="1"/>
                    </pic:cNvPicPr>
                  </pic:nvPicPr>
                  <pic:blipFill>
                    <a:blip r:embed="rId27">
                      <a:extLst>
                        <a:ext uri="{BEBA8EAE-BF5A-486C-A8C5-ECC9F3942E4B}">
                          <a14:imgProps xmlns:a14="http://schemas.microsoft.com/office/drawing/2010/main">
                            <a14:imgLayer r:embed="rId28">
                              <a14:imgEffect>
                                <a14:brightnessContrast bright="20000"/>
                              </a14:imgEffect>
                            </a14:imgLayer>
                          </a14:imgProps>
                        </a:ext>
                        <a:ext uri="{28A0092B-C50C-407E-A947-70E740481C1C}">
                          <a14:useLocalDpi xmlns:a14="http://schemas.microsoft.com/office/drawing/2010/main" val="0"/>
                        </a:ext>
                      </a:extLst>
                    </a:blip>
                    <a:srcRect l="16132" t="5729" r="15570" b="-1"/>
                    <a:stretch>
                      <a:fillRect/>
                    </a:stretch>
                  </pic:blipFill>
                  <pic:spPr>
                    <a:xfrm>
                      <a:off x="0" y="0"/>
                      <a:ext cx="5797825" cy="8002724"/>
                    </a:xfrm>
                    <a:prstGeom prst="rect">
                      <a:avLst/>
                    </a:prstGeom>
                    <a:noFill/>
                    <a:ln>
                      <a:noFill/>
                    </a:ln>
                  </pic:spPr>
                </pic:pic>
              </a:graphicData>
            </a:graphic>
          </wp:inline>
        </w:drawing>
      </w:r>
    </w:p>
    <w:p>
      <w:pPr>
        <w:rPr>
          <w:szCs w:val="21"/>
        </w:rPr>
      </w:pPr>
      <w:r>
        <w:rPr>
          <w:szCs w:val="21"/>
        </w:rPr>
        <w:drawing>
          <wp:inline distT="0" distB="0" distL="0" distR="0">
            <wp:extent cx="5725795" cy="7763510"/>
            <wp:effectExtent l="0" t="0" r="8255" b="8890"/>
            <wp:docPr id="14391041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04187" name="图片 7"/>
                    <pic:cNvPicPr>
                      <a:picLocks noChangeAspect="1" noChangeArrowheads="1"/>
                    </pic:cNvPicPr>
                  </pic:nvPicPr>
                  <pic:blipFill>
                    <a:blip r:embed="rId27">
                      <a:extLst>
                        <a:ext uri="{BEBA8EAE-BF5A-486C-A8C5-ECC9F3942E4B}">
                          <a14:imgProps xmlns:a14="http://schemas.microsoft.com/office/drawing/2010/main">
                            <a14:imgLayer r:embed="rId28">
                              <a14:imgEffect>
                                <a14:brightnessContrast bright="20000"/>
                              </a14:imgEffect>
                            </a14:imgLayer>
                          </a14:imgProps>
                        </a:ext>
                        <a:ext uri="{28A0092B-C50C-407E-A947-70E740481C1C}">
                          <a14:useLocalDpi xmlns:a14="http://schemas.microsoft.com/office/drawing/2010/main" val="0"/>
                        </a:ext>
                      </a:extLst>
                    </a:blip>
                    <a:srcRect l="16132" t="6784" r="15118" b="-4"/>
                    <a:stretch>
                      <a:fillRect/>
                    </a:stretch>
                  </pic:blipFill>
                  <pic:spPr>
                    <a:xfrm>
                      <a:off x="0" y="0"/>
                      <a:ext cx="5732868" cy="7773317"/>
                    </a:xfrm>
                    <a:prstGeom prst="rect">
                      <a:avLst/>
                    </a:prstGeom>
                    <a:noFill/>
                    <a:ln>
                      <a:noFill/>
                    </a:ln>
                  </pic:spPr>
                </pic:pic>
              </a:graphicData>
            </a:graphic>
          </wp:inline>
        </w:drawing>
      </w:r>
    </w:p>
    <w:p>
      <w:pPr>
        <w:rPr>
          <w:szCs w:val="21"/>
        </w:rPr>
      </w:pPr>
      <w:r>
        <w:rPr>
          <w:szCs w:val="21"/>
        </w:rPr>
        <w:drawing>
          <wp:inline distT="0" distB="0" distL="0" distR="0">
            <wp:extent cx="5967095" cy="8009255"/>
            <wp:effectExtent l="0" t="0" r="0" b="0"/>
            <wp:docPr id="201310438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04388" name="图片 9"/>
                    <pic:cNvPicPr>
                      <a:picLocks noChangeAspect="1" noChangeArrowheads="1"/>
                    </pic:cNvPicPr>
                  </pic:nvPicPr>
                  <pic:blipFill>
                    <a:blip r:embed="rId29">
                      <a:extLst>
                        <a:ext uri="{BEBA8EAE-BF5A-486C-A8C5-ECC9F3942E4B}">
                          <a14:imgProps xmlns:a14="http://schemas.microsoft.com/office/drawing/2010/main">
                            <a14:imgLayer r:embed="rId30">
                              <a14:imgEffect>
                                <a14:brightnessContrast bright="20000"/>
                              </a14:imgEffect>
                            </a14:imgLayer>
                          </a14:imgProps>
                        </a:ext>
                        <a:ext uri="{28A0092B-C50C-407E-A947-70E740481C1C}">
                          <a14:useLocalDpi xmlns:a14="http://schemas.microsoft.com/office/drawing/2010/main" val="0"/>
                        </a:ext>
                      </a:extLst>
                    </a:blip>
                    <a:srcRect l="14775" t="904" r="12103" b="945"/>
                    <a:stretch>
                      <a:fillRect/>
                    </a:stretch>
                  </pic:blipFill>
                  <pic:spPr>
                    <a:xfrm>
                      <a:off x="0" y="0"/>
                      <a:ext cx="5975448" cy="8020653"/>
                    </a:xfrm>
                    <a:prstGeom prst="rect">
                      <a:avLst/>
                    </a:prstGeom>
                    <a:noFill/>
                    <a:ln>
                      <a:noFill/>
                    </a:ln>
                  </pic:spPr>
                </pic:pic>
              </a:graphicData>
            </a:graphic>
          </wp:inline>
        </w:drawing>
      </w:r>
    </w:p>
    <w:p>
      <w:pPr>
        <w:widowControl/>
        <w:jc w:val="left"/>
        <w:rPr>
          <w:b/>
          <w:bCs/>
          <w:kern w:val="0"/>
          <w:sz w:val="28"/>
          <w:szCs w:val="28"/>
        </w:rPr>
      </w:pPr>
      <w:r>
        <w:rPr>
          <w:b/>
          <w:bCs/>
          <w:kern w:val="0"/>
          <w:sz w:val="28"/>
          <w:szCs w:val="28"/>
        </w:rPr>
        <w:br w:type="page"/>
      </w:r>
    </w:p>
    <w:p>
      <w:pPr>
        <w:autoSpaceDE w:val="0"/>
        <w:autoSpaceDN w:val="0"/>
        <w:spacing w:line="360" w:lineRule="auto"/>
        <w:outlineLvl w:val="1"/>
        <w:rPr>
          <w:b/>
          <w:bCs/>
          <w:kern w:val="0"/>
          <w:sz w:val="28"/>
          <w:szCs w:val="28"/>
        </w:rPr>
      </w:pPr>
      <w:r>
        <w:rPr>
          <w:rFonts w:hint="eastAsia"/>
          <w:b/>
          <w:bCs/>
          <w:kern w:val="0"/>
          <w:sz w:val="28"/>
          <w:szCs w:val="28"/>
        </w:rPr>
        <w:t>附件</w:t>
      </w:r>
      <w:r>
        <w:rPr>
          <w:b/>
          <w:bCs/>
          <w:kern w:val="0"/>
          <w:sz w:val="28"/>
          <w:szCs w:val="28"/>
        </w:rPr>
        <w:t>6</w:t>
      </w:r>
      <w:r>
        <w:rPr>
          <w:rFonts w:hint="eastAsia"/>
          <w:b/>
          <w:bCs/>
          <w:kern w:val="0"/>
          <w:sz w:val="28"/>
          <w:szCs w:val="28"/>
        </w:rPr>
        <w:t>：行政处罚决定书</w:t>
      </w:r>
    </w:p>
    <w:p>
      <w:pPr>
        <w:rPr>
          <w:szCs w:val="21"/>
        </w:rPr>
      </w:pPr>
      <w:r>
        <w:rPr>
          <w:szCs w:val="21"/>
        </w:rPr>
        <w:drawing>
          <wp:inline distT="0" distB="0" distL="0" distR="0">
            <wp:extent cx="5459730" cy="7955280"/>
            <wp:effectExtent l="0" t="0" r="7620" b="7620"/>
            <wp:docPr id="89103978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39782" name="图片 10"/>
                    <pic:cNvPicPr>
                      <a:picLocks noChangeAspect="1" noChangeArrowheads="1"/>
                    </pic:cNvPicPr>
                  </pic:nvPicPr>
                  <pic:blipFill>
                    <a:blip r:embed="rId31">
                      <a:extLst>
                        <a:ext uri="{BEBA8EAE-BF5A-486C-A8C5-ECC9F3942E4B}">
                          <a14:imgProps xmlns:a14="http://schemas.microsoft.com/office/drawing/2010/main">
                            <a14:imgLayer r:embed="rId32">
                              <a14:imgEffect>
                                <a14:brightnessContrast bright="20000"/>
                              </a14:imgEffect>
                            </a14:imgLayer>
                          </a14:imgProps>
                        </a:ext>
                        <a:ext uri="{28A0092B-C50C-407E-A947-70E740481C1C}">
                          <a14:useLocalDpi xmlns:a14="http://schemas.microsoft.com/office/drawing/2010/main" val="0"/>
                        </a:ext>
                      </a:extLst>
                    </a:blip>
                    <a:srcRect l="15468" r="16825" b="1357"/>
                    <a:stretch>
                      <a:fillRect/>
                    </a:stretch>
                  </pic:blipFill>
                  <pic:spPr>
                    <a:xfrm>
                      <a:off x="0" y="0"/>
                      <a:ext cx="5462341" cy="7958161"/>
                    </a:xfrm>
                    <a:prstGeom prst="rect">
                      <a:avLst/>
                    </a:prstGeom>
                    <a:noFill/>
                    <a:ln>
                      <a:noFill/>
                    </a:ln>
                  </pic:spPr>
                </pic:pic>
              </a:graphicData>
            </a:graphic>
          </wp:inline>
        </w:drawing>
      </w:r>
    </w:p>
    <w:p>
      <w:pPr>
        <w:rPr>
          <w:szCs w:val="21"/>
        </w:rPr>
      </w:pPr>
      <w:r>
        <w:rPr>
          <w:szCs w:val="21"/>
        </w:rPr>
        <w:drawing>
          <wp:inline distT="0" distB="0" distL="0" distR="0">
            <wp:extent cx="5595620" cy="7924800"/>
            <wp:effectExtent l="0" t="0" r="5080" b="0"/>
            <wp:docPr id="104672412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24125" name="图片 11"/>
                    <pic:cNvPicPr>
                      <a:picLocks noChangeAspect="1" noChangeArrowheads="1"/>
                    </pic:cNvPicPr>
                  </pic:nvPicPr>
                  <pic:blipFill>
                    <a:blip r:embed="rId33">
                      <a:extLst>
                        <a:ext uri="{BEBA8EAE-BF5A-486C-A8C5-ECC9F3942E4B}">
                          <a14:imgProps xmlns:a14="http://schemas.microsoft.com/office/drawing/2010/main">
                            <a14:imgLayer r:embed="rId34">
                              <a14:imgEffect>
                                <a14:brightnessContrast bright="20000"/>
                              </a14:imgEffect>
                            </a14:imgLayer>
                          </a14:imgProps>
                        </a:ext>
                        <a:ext uri="{28A0092B-C50C-407E-A947-70E740481C1C}">
                          <a14:useLocalDpi xmlns:a14="http://schemas.microsoft.com/office/drawing/2010/main" val="0"/>
                        </a:ext>
                      </a:extLst>
                    </a:blip>
                    <a:srcRect l="18046" t="3800" r="16418" b="3391"/>
                    <a:stretch>
                      <a:fillRect/>
                    </a:stretch>
                  </pic:blipFill>
                  <pic:spPr>
                    <a:xfrm>
                      <a:off x="0" y="0"/>
                      <a:ext cx="5597673" cy="7927139"/>
                    </a:xfrm>
                    <a:prstGeom prst="rect">
                      <a:avLst/>
                    </a:prstGeom>
                    <a:noFill/>
                    <a:ln>
                      <a:noFill/>
                    </a:ln>
                  </pic:spPr>
                </pic:pic>
              </a:graphicData>
            </a:graphic>
          </wp:inline>
        </w:drawing>
      </w:r>
    </w:p>
    <w:p>
      <w:pPr>
        <w:rPr>
          <w:szCs w:val="21"/>
        </w:rPr>
      </w:pPr>
      <w:r>
        <w:rPr>
          <w:szCs w:val="21"/>
        </w:rPr>
        <w:drawing>
          <wp:inline distT="0" distB="0" distL="0" distR="0">
            <wp:extent cx="5654675" cy="7802880"/>
            <wp:effectExtent l="0" t="0" r="3175" b="7620"/>
            <wp:docPr id="4201756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75623" name="图片 12"/>
                    <pic:cNvPicPr>
                      <a:picLocks noChangeAspect="1" noChangeArrowheads="1"/>
                    </pic:cNvPicPr>
                  </pic:nvPicPr>
                  <pic:blipFill>
                    <a:blip r:embed="rId35">
                      <a:extLst>
                        <a:ext uri="{28A0092B-C50C-407E-A947-70E740481C1C}">
                          <a14:useLocalDpi xmlns:a14="http://schemas.microsoft.com/office/drawing/2010/main" val="0"/>
                        </a:ext>
                      </a:extLst>
                    </a:blip>
                    <a:srcRect l="17232" t="4885" r="16689" b="3935"/>
                    <a:stretch>
                      <a:fillRect/>
                    </a:stretch>
                  </pic:blipFill>
                  <pic:spPr>
                    <a:xfrm>
                      <a:off x="0" y="0"/>
                      <a:ext cx="5659529" cy="7809452"/>
                    </a:xfrm>
                    <a:prstGeom prst="rect">
                      <a:avLst/>
                    </a:prstGeom>
                    <a:noFill/>
                    <a:ln>
                      <a:noFill/>
                    </a:ln>
                  </pic:spPr>
                </pic:pic>
              </a:graphicData>
            </a:graphic>
          </wp:inline>
        </w:drawing>
      </w:r>
    </w:p>
    <w:p>
      <w:pPr>
        <w:widowControl/>
        <w:jc w:val="left"/>
        <w:rPr>
          <w:szCs w:val="21"/>
        </w:rPr>
      </w:pPr>
      <w:r>
        <w:rPr>
          <w:szCs w:val="21"/>
        </w:rPr>
        <w:br w:type="page"/>
      </w:r>
    </w:p>
    <w:p>
      <w:pPr>
        <w:autoSpaceDE w:val="0"/>
        <w:autoSpaceDN w:val="0"/>
        <w:spacing w:line="360" w:lineRule="auto"/>
        <w:outlineLvl w:val="1"/>
        <w:rPr>
          <w:b/>
          <w:bCs/>
          <w:kern w:val="0"/>
          <w:sz w:val="28"/>
          <w:szCs w:val="28"/>
        </w:rPr>
      </w:pPr>
      <w:r>
        <w:rPr>
          <w:rFonts w:hint="eastAsia"/>
          <w:b/>
          <w:bCs/>
          <w:kern w:val="0"/>
          <w:sz w:val="28"/>
          <w:szCs w:val="28"/>
        </w:rPr>
        <w:t>附件</w:t>
      </w:r>
      <w:r>
        <w:rPr>
          <w:b/>
          <w:bCs/>
          <w:kern w:val="0"/>
          <w:sz w:val="28"/>
          <w:szCs w:val="28"/>
        </w:rPr>
        <w:t>7</w:t>
      </w:r>
      <w:r>
        <w:rPr>
          <w:rFonts w:hint="eastAsia"/>
          <w:b/>
          <w:bCs/>
          <w:kern w:val="0"/>
          <w:sz w:val="28"/>
          <w:szCs w:val="28"/>
        </w:rPr>
        <w:t>：缴费回执单</w:t>
      </w:r>
    </w:p>
    <w:p>
      <w:pPr>
        <w:rPr>
          <w:szCs w:val="21"/>
        </w:rPr>
      </w:pPr>
      <w:r>
        <w:rPr>
          <w:szCs w:val="21"/>
        </w:rPr>
        <w:drawing>
          <wp:inline distT="0" distB="0" distL="0" distR="0">
            <wp:extent cx="5775960" cy="4001770"/>
            <wp:effectExtent l="0" t="0" r="0" b="0"/>
            <wp:docPr id="18301022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02224" name="图片 1"/>
                    <pic:cNvPicPr>
                      <a:picLocks noChangeAspect="1" noChangeArrowheads="1"/>
                    </pic:cNvPicPr>
                  </pic:nvPicPr>
                  <pic:blipFill>
                    <a:blip r:embed="rId36">
                      <a:extLst>
                        <a:ext uri="{28A0092B-C50C-407E-A947-70E740481C1C}">
                          <a14:useLocalDpi xmlns:a14="http://schemas.microsoft.com/office/drawing/2010/main" val="0"/>
                        </a:ext>
                      </a:extLst>
                    </a:blip>
                    <a:srcRect l="8933" t="10515" r="11918" b="34645"/>
                    <a:stretch>
                      <a:fillRect/>
                    </a:stretch>
                  </pic:blipFill>
                  <pic:spPr>
                    <a:xfrm>
                      <a:off x="0" y="0"/>
                      <a:ext cx="5781986" cy="4006090"/>
                    </a:xfrm>
                    <a:prstGeom prst="rect">
                      <a:avLst/>
                    </a:prstGeom>
                    <a:noFill/>
                    <a:ln>
                      <a:noFill/>
                    </a:ln>
                  </pic:spPr>
                </pic:pic>
              </a:graphicData>
            </a:graphic>
          </wp:inline>
        </w:drawing>
      </w:r>
    </w:p>
    <w:p>
      <w:pPr>
        <w:rPr>
          <w:szCs w:val="21"/>
        </w:rPr>
      </w:pPr>
    </w:p>
    <w:p>
      <w:pPr>
        <w:rPr>
          <w:szCs w:val="21"/>
        </w:rPr>
      </w:pPr>
    </w:p>
    <w:p>
      <w:pPr>
        <w:rPr>
          <w:szCs w:val="21"/>
        </w:rPr>
      </w:pPr>
    </w:p>
    <w:p>
      <w:pPr>
        <w:rPr>
          <w:szCs w:val="21"/>
        </w:rPr>
      </w:pPr>
    </w:p>
    <w:p>
      <w:pPr>
        <w:rPr>
          <w:szCs w:val="21"/>
        </w:rPr>
      </w:pPr>
    </w:p>
    <w:p>
      <w:pPr>
        <w:rPr>
          <w:szCs w:val="21"/>
        </w:rPr>
      </w:pPr>
    </w:p>
    <w:p>
      <w:pPr>
        <w:rPr>
          <w:szCs w:val="21"/>
        </w:rPr>
      </w:pPr>
      <w:r>
        <w:rPr>
          <w:szCs w:val="21"/>
        </w:rPr>
        <w:br w:type="page"/>
      </w:r>
    </w:p>
    <w:p>
      <w:pPr>
        <w:autoSpaceDE w:val="0"/>
        <w:autoSpaceDN w:val="0"/>
        <w:spacing w:line="360" w:lineRule="auto"/>
        <w:outlineLvl w:val="1"/>
        <w:rPr>
          <w:b/>
          <w:bCs/>
          <w:kern w:val="0"/>
          <w:sz w:val="28"/>
          <w:szCs w:val="28"/>
        </w:rPr>
      </w:pPr>
      <w:r>
        <w:rPr>
          <w:rFonts w:hint="eastAsia"/>
          <w:b/>
          <w:bCs/>
          <w:kern w:val="0"/>
          <w:sz w:val="28"/>
          <w:szCs w:val="28"/>
        </w:rPr>
        <w:t>附件</w:t>
      </w:r>
      <w:r>
        <w:rPr>
          <w:b/>
          <w:bCs/>
          <w:kern w:val="0"/>
          <w:sz w:val="28"/>
          <w:szCs w:val="28"/>
        </w:rPr>
        <w:t>8</w:t>
      </w:r>
      <w:r>
        <w:rPr>
          <w:rFonts w:hint="eastAsia"/>
          <w:b/>
          <w:bCs/>
          <w:kern w:val="0"/>
          <w:sz w:val="28"/>
          <w:szCs w:val="28"/>
        </w:rPr>
        <w:t>：中水协议</w:t>
      </w:r>
    </w:p>
    <w:p>
      <w:pPr>
        <w:rPr>
          <w:kern w:val="0"/>
          <w:szCs w:val="21"/>
        </w:rPr>
      </w:pPr>
      <w:r>
        <w:rPr>
          <w:kern w:val="0"/>
          <w:szCs w:val="21"/>
        </w:rPr>
        <w:drawing>
          <wp:inline distT="0" distB="0" distL="0" distR="0">
            <wp:extent cx="5614035" cy="7952105"/>
            <wp:effectExtent l="0" t="0" r="5715" b="0"/>
            <wp:docPr id="698267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26748" name="图片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614035" cy="7952105"/>
                    </a:xfrm>
                    <a:prstGeom prst="rect">
                      <a:avLst/>
                    </a:prstGeom>
                    <a:noFill/>
                    <a:ln>
                      <a:noFill/>
                    </a:ln>
                  </pic:spPr>
                </pic:pic>
              </a:graphicData>
            </a:graphic>
          </wp:inline>
        </w:drawing>
      </w:r>
      <w:r>
        <w:rPr>
          <w:kern w:val="0"/>
          <w:szCs w:val="21"/>
        </w:rPr>
        <w:drawing>
          <wp:inline distT="0" distB="0" distL="0" distR="0">
            <wp:extent cx="5614035" cy="7952105"/>
            <wp:effectExtent l="0" t="0" r="5715" b="0"/>
            <wp:docPr id="138315737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57371" name="图片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614035" cy="7952105"/>
                    </a:xfrm>
                    <a:prstGeom prst="rect">
                      <a:avLst/>
                    </a:prstGeom>
                    <a:noFill/>
                    <a:ln>
                      <a:noFill/>
                    </a:ln>
                  </pic:spPr>
                </pic:pic>
              </a:graphicData>
            </a:graphic>
          </wp:inline>
        </w:drawing>
      </w:r>
      <w:r>
        <w:rPr>
          <w:kern w:val="0"/>
          <w:szCs w:val="21"/>
        </w:rPr>
        <w:drawing>
          <wp:inline distT="0" distB="0" distL="0" distR="0">
            <wp:extent cx="5614035" cy="7952105"/>
            <wp:effectExtent l="0" t="0" r="5715" b="0"/>
            <wp:docPr id="8257911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91153" name="图片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614035" cy="7952105"/>
                    </a:xfrm>
                    <a:prstGeom prst="rect">
                      <a:avLst/>
                    </a:prstGeom>
                    <a:noFill/>
                    <a:ln>
                      <a:noFill/>
                    </a:ln>
                  </pic:spPr>
                </pic:pic>
              </a:graphicData>
            </a:graphic>
          </wp:inline>
        </w:drawing>
      </w:r>
    </w:p>
    <w:p>
      <w:pPr>
        <w:widowControl/>
        <w:jc w:val="left"/>
        <w:rPr>
          <w:kern w:val="0"/>
          <w:szCs w:val="21"/>
        </w:rPr>
      </w:pPr>
      <w:r>
        <w:rPr>
          <w:kern w:val="0"/>
          <w:szCs w:val="21"/>
        </w:rPr>
        <w:br w:type="page"/>
      </w:r>
    </w:p>
    <w:p>
      <w:pPr>
        <w:autoSpaceDE w:val="0"/>
        <w:autoSpaceDN w:val="0"/>
        <w:spacing w:line="360" w:lineRule="auto"/>
        <w:outlineLvl w:val="1"/>
        <w:rPr>
          <w:b/>
          <w:bCs/>
          <w:kern w:val="0"/>
          <w:sz w:val="28"/>
          <w:szCs w:val="28"/>
        </w:rPr>
      </w:pPr>
      <w:r>
        <w:rPr>
          <w:rFonts w:hint="eastAsia"/>
          <w:b/>
          <w:bCs/>
          <w:kern w:val="0"/>
          <w:sz w:val="28"/>
          <w:szCs w:val="28"/>
        </w:rPr>
        <w:t>附件</w:t>
      </w:r>
      <w:r>
        <w:rPr>
          <w:b/>
          <w:bCs/>
          <w:kern w:val="0"/>
          <w:sz w:val="28"/>
          <w:szCs w:val="28"/>
        </w:rPr>
        <w:t>9</w:t>
      </w:r>
      <w:r>
        <w:rPr>
          <w:rFonts w:hint="eastAsia"/>
          <w:b/>
          <w:bCs/>
          <w:kern w:val="0"/>
          <w:sz w:val="28"/>
          <w:szCs w:val="28"/>
        </w:rPr>
        <w:t>：污水处理厂环评批复</w:t>
      </w:r>
    </w:p>
    <w:p>
      <w:pPr>
        <w:rPr>
          <w:kern w:val="0"/>
          <w:szCs w:val="21"/>
        </w:rPr>
      </w:pPr>
      <w:r>
        <w:rPr>
          <w:rFonts w:hint="eastAsia"/>
          <w:kern w:val="0"/>
          <w:szCs w:val="21"/>
        </w:rPr>
        <w:drawing>
          <wp:inline distT="0" distB="0" distL="0" distR="0">
            <wp:extent cx="5122545" cy="7997190"/>
            <wp:effectExtent l="0" t="0" r="1905" b="3810"/>
            <wp:docPr id="4618628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862866" name="图片 2"/>
                    <pic:cNvPicPr>
                      <a:picLocks noChangeAspect="1" noChangeArrowheads="1"/>
                    </pic:cNvPicPr>
                  </pic:nvPicPr>
                  <pic:blipFill>
                    <a:blip r:embed="rId40">
                      <a:extLst>
                        <a:ext uri="{BEBA8EAE-BF5A-486C-A8C5-ECC9F3942E4B}">
                          <a14:imgProps xmlns:a14="http://schemas.microsoft.com/office/drawing/2010/main">
                            <a14:imgLayer r:embed="rId41">
                              <a14:imgEffect>
                                <a14:brightnessContrast bright="20000"/>
                              </a14:imgEffect>
                            </a14:imgLayer>
                          </a14:imgProps>
                        </a:ext>
                        <a:ext uri="{28A0092B-C50C-407E-A947-70E740481C1C}">
                          <a14:useLocalDpi xmlns:a14="http://schemas.microsoft.com/office/drawing/2010/main" val="0"/>
                        </a:ext>
                      </a:extLst>
                    </a:blip>
                    <a:srcRect l="29273" r="6672"/>
                    <a:stretch>
                      <a:fillRect/>
                    </a:stretch>
                  </pic:blipFill>
                  <pic:spPr>
                    <a:xfrm>
                      <a:off x="0" y="0"/>
                      <a:ext cx="5130866" cy="8010014"/>
                    </a:xfrm>
                    <a:prstGeom prst="rect">
                      <a:avLst/>
                    </a:prstGeom>
                    <a:noFill/>
                    <a:ln>
                      <a:noFill/>
                    </a:ln>
                  </pic:spPr>
                </pic:pic>
              </a:graphicData>
            </a:graphic>
          </wp:inline>
        </w:drawing>
      </w:r>
    </w:p>
    <w:p>
      <w:pPr>
        <w:rPr>
          <w:kern w:val="0"/>
          <w:szCs w:val="21"/>
        </w:rPr>
      </w:pPr>
      <w:r>
        <w:rPr>
          <w:kern w:val="0"/>
          <w:szCs w:val="21"/>
        </w:rPr>
        <w:drawing>
          <wp:inline distT="0" distB="0" distL="0" distR="0">
            <wp:extent cx="5519420" cy="8120380"/>
            <wp:effectExtent l="0" t="0" r="5080" b="0"/>
            <wp:docPr id="8954803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80330" name="图片 3"/>
                    <pic:cNvPicPr>
                      <a:picLocks noChangeAspect="1" noChangeArrowheads="1"/>
                    </pic:cNvPicPr>
                  </pic:nvPicPr>
                  <pic:blipFill>
                    <a:blip r:embed="rId42">
                      <a:extLst>
                        <a:ext uri="{BEBA8EAE-BF5A-486C-A8C5-ECC9F3942E4B}">
                          <a14:imgProps xmlns:a14="http://schemas.microsoft.com/office/drawing/2010/main">
                            <a14:imgLayer r:embed="rId43">
                              <a14:imgEffect>
                                <a14:brightnessContrast bright="20000"/>
                              </a14:imgEffect>
                            </a14:imgLayer>
                          </a14:imgProps>
                        </a:ext>
                        <a:ext uri="{28A0092B-C50C-407E-A947-70E740481C1C}">
                          <a14:useLocalDpi xmlns:a14="http://schemas.microsoft.com/office/drawing/2010/main" val="0"/>
                        </a:ext>
                      </a:extLst>
                    </a:blip>
                    <a:srcRect l="23968" t="4323" r="11000"/>
                    <a:stretch>
                      <a:fillRect/>
                    </a:stretch>
                  </pic:blipFill>
                  <pic:spPr>
                    <a:xfrm>
                      <a:off x="0" y="0"/>
                      <a:ext cx="5523328" cy="8126105"/>
                    </a:xfrm>
                    <a:prstGeom prst="rect">
                      <a:avLst/>
                    </a:prstGeom>
                    <a:noFill/>
                    <a:ln>
                      <a:noFill/>
                    </a:ln>
                  </pic:spPr>
                </pic:pic>
              </a:graphicData>
            </a:graphic>
          </wp:inline>
        </w:drawing>
      </w:r>
    </w:p>
    <w:p>
      <w:pPr>
        <w:rPr>
          <w:szCs w:val="21"/>
        </w:rPr>
      </w:pPr>
      <w:r>
        <w:rPr>
          <w:kern w:val="0"/>
          <w:szCs w:val="21"/>
        </w:rPr>
        <w:br w:type="page"/>
      </w:r>
    </w:p>
    <w:p>
      <w:pPr>
        <w:autoSpaceDE w:val="0"/>
        <w:autoSpaceDN w:val="0"/>
        <w:spacing w:line="360" w:lineRule="auto"/>
        <w:outlineLvl w:val="1"/>
        <w:rPr>
          <w:b/>
          <w:bCs/>
          <w:kern w:val="0"/>
          <w:sz w:val="28"/>
          <w:szCs w:val="28"/>
        </w:rPr>
      </w:pPr>
      <w:bookmarkStart w:id="8" w:name="_Hlk156320105"/>
      <w:r>
        <w:rPr>
          <w:rFonts w:hint="eastAsia"/>
          <w:b/>
          <w:bCs/>
          <w:kern w:val="0"/>
          <w:sz w:val="28"/>
          <w:szCs w:val="28"/>
        </w:rPr>
        <w:t>附件</w:t>
      </w:r>
      <w:r>
        <w:rPr>
          <w:b/>
          <w:bCs/>
          <w:kern w:val="0"/>
          <w:sz w:val="28"/>
          <w:szCs w:val="28"/>
        </w:rPr>
        <w:t>10</w:t>
      </w:r>
      <w:r>
        <w:rPr>
          <w:rFonts w:hint="eastAsia"/>
          <w:b/>
          <w:bCs/>
          <w:kern w:val="0"/>
          <w:sz w:val="28"/>
          <w:szCs w:val="28"/>
        </w:rPr>
        <w:t>：营业执照</w:t>
      </w:r>
    </w:p>
    <w:bookmarkEnd w:id="8"/>
    <w:p>
      <w:r>
        <w:drawing>
          <wp:inline distT="0" distB="0" distL="0" distR="0">
            <wp:extent cx="7771765" cy="5507990"/>
            <wp:effectExtent l="7938" t="0" r="8572" b="8573"/>
            <wp:docPr id="212141768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17681" name="图片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rot="5400000">
                      <a:off x="0" y="0"/>
                      <a:ext cx="7777282" cy="5511626"/>
                    </a:xfrm>
                    <a:prstGeom prst="rect">
                      <a:avLst/>
                    </a:prstGeom>
                    <a:noFill/>
                    <a:ln>
                      <a:noFill/>
                    </a:ln>
                  </pic:spPr>
                </pic:pic>
              </a:graphicData>
            </a:graphic>
          </wp:inline>
        </w:drawing>
      </w:r>
    </w:p>
    <w:p/>
    <w:p>
      <w:pPr>
        <w:widowControl/>
        <w:jc w:val="left"/>
        <w:rPr>
          <w:kern w:val="0"/>
          <w:szCs w:val="21"/>
        </w:rPr>
        <w:sectPr>
          <w:footerReference r:id="rId7" w:type="default"/>
          <w:pgSz w:w="11906" w:h="16838"/>
          <w:pgMar w:top="1701" w:right="1531" w:bottom="1701" w:left="1531" w:header="851" w:footer="851" w:gutter="0"/>
          <w:cols w:space="720" w:num="1"/>
          <w:docGrid w:linePitch="312" w:charSpace="0"/>
        </w:sectPr>
      </w:pPr>
    </w:p>
    <w:p>
      <w:pPr>
        <w:autoSpaceDE w:val="0"/>
        <w:autoSpaceDN w:val="0"/>
        <w:spacing w:line="360" w:lineRule="auto"/>
        <w:outlineLvl w:val="1"/>
        <w:rPr>
          <w:b/>
          <w:bCs/>
          <w:kern w:val="0"/>
          <w:sz w:val="28"/>
          <w:szCs w:val="28"/>
        </w:rPr>
      </w:pPr>
      <w:r>
        <w:rPr>
          <w:rFonts w:hint="eastAsia"/>
          <w:b/>
          <w:bCs/>
          <w:kern w:val="0"/>
          <w:sz w:val="28"/>
          <w:szCs w:val="28"/>
        </w:rPr>
        <w:t>附件</w:t>
      </w:r>
      <w:r>
        <w:rPr>
          <w:b/>
          <w:bCs/>
          <w:kern w:val="0"/>
          <w:sz w:val="28"/>
          <w:szCs w:val="28"/>
        </w:rPr>
        <w:t>11</w:t>
      </w:r>
      <w:r>
        <w:rPr>
          <w:rFonts w:hint="eastAsia"/>
          <w:b/>
          <w:bCs/>
          <w:kern w:val="0"/>
          <w:sz w:val="28"/>
          <w:szCs w:val="28"/>
        </w:rPr>
        <w:t>：检测报告</w:t>
      </w:r>
    </w:p>
    <w:p>
      <w:pPr>
        <w:rPr>
          <w:kern w:val="0"/>
          <w:szCs w:val="21"/>
        </w:rPr>
      </w:pPr>
      <w:r>
        <w:rPr>
          <w:kern w:val="0"/>
          <w:szCs w:val="21"/>
        </w:rPr>
        <w:drawing>
          <wp:inline distT="0" distB="0" distL="0" distR="0">
            <wp:extent cx="6081395" cy="8622665"/>
            <wp:effectExtent l="0" t="0" r="0" b="6985"/>
            <wp:docPr id="214548905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89057" name="图片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6083177" cy="8625409"/>
                    </a:xfrm>
                    <a:prstGeom prst="rect">
                      <a:avLst/>
                    </a:prstGeom>
                    <a:noFill/>
                    <a:ln>
                      <a:noFill/>
                    </a:ln>
                  </pic:spPr>
                </pic:pic>
              </a:graphicData>
            </a:graphic>
          </wp:inline>
        </w:drawing>
      </w:r>
      <w:r>
        <w:rPr>
          <w:kern w:val="0"/>
          <w:szCs w:val="21"/>
        </w:rPr>
        <w:drawing>
          <wp:inline distT="0" distB="0" distL="0" distR="0">
            <wp:extent cx="6203950" cy="8796655"/>
            <wp:effectExtent l="0" t="0" r="6350" b="4445"/>
            <wp:docPr id="304016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1674" name="图片 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6203950" cy="8796655"/>
                    </a:xfrm>
                    <a:prstGeom prst="rect">
                      <a:avLst/>
                    </a:prstGeom>
                    <a:noFill/>
                    <a:ln>
                      <a:noFill/>
                    </a:ln>
                  </pic:spPr>
                </pic:pic>
              </a:graphicData>
            </a:graphic>
          </wp:inline>
        </w:drawing>
      </w:r>
      <w:r>
        <w:rPr>
          <w:kern w:val="0"/>
          <w:szCs w:val="21"/>
        </w:rPr>
        <w:drawing>
          <wp:inline distT="0" distB="0" distL="0" distR="0">
            <wp:extent cx="6203950" cy="8796655"/>
            <wp:effectExtent l="0" t="0" r="6350" b="4445"/>
            <wp:docPr id="5929613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61340" name="图片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6203950" cy="8796655"/>
                    </a:xfrm>
                    <a:prstGeom prst="rect">
                      <a:avLst/>
                    </a:prstGeom>
                    <a:noFill/>
                    <a:ln>
                      <a:noFill/>
                    </a:ln>
                  </pic:spPr>
                </pic:pic>
              </a:graphicData>
            </a:graphic>
          </wp:inline>
        </w:drawing>
      </w:r>
      <w:r>
        <w:rPr>
          <w:kern w:val="0"/>
          <w:szCs w:val="21"/>
        </w:rPr>
        <w:drawing>
          <wp:inline distT="0" distB="0" distL="0" distR="0">
            <wp:extent cx="6203950" cy="8796655"/>
            <wp:effectExtent l="0" t="0" r="6350" b="4445"/>
            <wp:docPr id="160828734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87340" name="图片 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6203950" cy="8796655"/>
                    </a:xfrm>
                    <a:prstGeom prst="rect">
                      <a:avLst/>
                    </a:prstGeom>
                    <a:noFill/>
                    <a:ln>
                      <a:noFill/>
                    </a:ln>
                  </pic:spPr>
                </pic:pic>
              </a:graphicData>
            </a:graphic>
          </wp:inline>
        </w:drawing>
      </w:r>
      <w:r>
        <w:rPr>
          <w:kern w:val="0"/>
          <w:szCs w:val="21"/>
        </w:rPr>
        <w:drawing>
          <wp:inline distT="0" distB="0" distL="0" distR="0">
            <wp:extent cx="6203950" cy="8796655"/>
            <wp:effectExtent l="0" t="0" r="6350" b="4445"/>
            <wp:docPr id="64829290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92908" name="图片 1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6203950" cy="8796655"/>
                    </a:xfrm>
                    <a:prstGeom prst="rect">
                      <a:avLst/>
                    </a:prstGeom>
                    <a:noFill/>
                    <a:ln>
                      <a:noFill/>
                    </a:ln>
                  </pic:spPr>
                </pic:pic>
              </a:graphicData>
            </a:graphic>
          </wp:inline>
        </w:drawing>
      </w:r>
      <w:r>
        <w:rPr>
          <w:kern w:val="0"/>
          <w:szCs w:val="21"/>
        </w:rPr>
        <w:drawing>
          <wp:inline distT="0" distB="0" distL="0" distR="0">
            <wp:extent cx="6203950" cy="8785225"/>
            <wp:effectExtent l="0" t="0" r="6350" b="0"/>
            <wp:docPr id="68407276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72764" name="图片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6203950" cy="8785225"/>
                    </a:xfrm>
                    <a:prstGeom prst="rect">
                      <a:avLst/>
                    </a:prstGeom>
                    <a:noFill/>
                    <a:ln>
                      <a:noFill/>
                    </a:ln>
                  </pic:spPr>
                </pic:pic>
              </a:graphicData>
            </a:graphic>
          </wp:inline>
        </w:drawing>
      </w:r>
    </w:p>
    <w:sectPr>
      <w:pgSz w:w="11906" w:h="16838"/>
      <w:pgMar w:top="1276" w:right="991" w:bottom="1276" w:left="1134"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8BC7D1-D771-4BD5-ADDF-A26E7112C2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00" w:usb3="00000000" w:csb0="00040000" w:csb1="00000000"/>
    <w:embedRegular r:id="rId2" w:fontKey="{240D859E-124C-4279-8EA7-AE5DEB76F0C0}"/>
  </w:font>
  <w:font w:name="方正小标宋_GBK">
    <w:panose1 w:val="02000000000000000000"/>
    <w:charset w:val="86"/>
    <w:family w:val="script"/>
    <w:pitch w:val="default"/>
    <w:sig w:usb0="00000001" w:usb1="080E0000" w:usb2="00000000" w:usb3="00000000" w:csb0="00040000" w:csb1="00000000"/>
    <w:embedRegular r:id="rId3" w:fontKey="{0F183B72-F29C-41BB-AF5E-6EB1DE2C6637}"/>
  </w:font>
  <w:font w:name="楷体_GB2312">
    <w:altName w:val="楷体"/>
    <w:panose1 w:val="00000000000000000000"/>
    <w:charset w:val="86"/>
    <w:family w:val="modern"/>
    <w:pitch w:val="default"/>
    <w:sig w:usb0="00000000" w:usb1="00000000" w:usb2="00000000" w:usb3="00000000" w:csb0="00040000" w:csb1="00000000"/>
    <w:embedRegular r:id="rId4" w:fontKey="{D561B315-2058-4FD7-95D7-7B000AC6EDEF}"/>
  </w:font>
  <w:font w:name="仿宋">
    <w:panose1 w:val="02010609060101010101"/>
    <w:charset w:val="86"/>
    <w:family w:val="modern"/>
    <w:pitch w:val="default"/>
    <w:sig w:usb0="800002BF" w:usb1="38CF7CFA" w:usb2="00000016" w:usb3="00000000" w:csb0="00040001" w:csb1="00000000"/>
    <w:embedRegular r:id="rId5" w:fontKey="{14A689D8-2532-4146-91C0-7EF83D4037B9}"/>
  </w:font>
  <w:font w:name="MS Mincho">
    <w:altName w:val="Yu Gothic UI"/>
    <w:panose1 w:val="02020609040205080304"/>
    <w:charset w:val="80"/>
    <w:family w:val="modern"/>
    <w:pitch w:val="default"/>
    <w:sig w:usb0="00000000" w:usb1="00000000" w:usb2="08000012" w:usb3="00000000" w:csb0="0002009F" w:csb1="00000000"/>
    <w:embedRegular r:id="rId6" w:fontKey="{E00A6B50-753B-4222-8C49-0414DC074D3C}"/>
  </w:font>
  <w:font w:name="Wingdings 2">
    <w:panose1 w:val="05020102010507070707"/>
    <w:charset w:val="02"/>
    <w:family w:val="roman"/>
    <w:pitch w:val="default"/>
    <w:sig w:usb0="00000000" w:usb1="00000000" w:usb2="00000000" w:usb3="00000000" w:csb0="80000000" w:csb1="00000000"/>
    <w:embedRegular r:id="rId7" w:fontKey="{99EEFA35-AFA6-4676-8AB2-F1AEA948A07C}"/>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1</w:t>
    </w:r>
    <w:r>
      <w:fldChar w:fldCharType="end"/>
    </w:r>
  </w:p>
  <w:p>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instrText xml:space="preserve">PAGE   \* MERGEFORMAT</w:instrText>
    </w:r>
    <w:r>
      <w:fldChar w:fldCharType="separate"/>
    </w:r>
    <w:r>
      <w:rPr>
        <w:lang w:val="zh-CN"/>
      </w:rPr>
      <w:t>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yOWVkMDQ1ZDJiMmU2YTY0Y2RjZjk2MTY4MmNjZTAifQ=="/>
  </w:docVars>
  <w:rsids>
    <w:rsidRoot w:val="37FD1ED2"/>
    <w:rsid w:val="00002B17"/>
    <w:rsid w:val="000122F6"/>
    <w:rsid w:val="000155E0"/>
    <w:rsid w:val="00030AAA"/>
    <w:rsid w:val="00036FAA"/>
    <w:rsid w:val="000459EF"/>
    <w:rsid w:val="00053162"/>
    <w:rsid w:val="000B6F8F"/>
    <w:rsid w:val="000E7E23"/>
    <w:rsid w:val="000F0E7F"/>
    <w:rsid w:val="000F4937"/>
    <w:rsid w:val="000F5DB1"/>
    <w:rsid w:val="001015A1"/>
    <w:rsid w:val="001023A0"/>
    <w:rsid w:val="00116FB1"/>
    <w:rsid w:val="00136F0C"/>
    <w:rsid w:val="0014223B"/>
    <w:rsid w:val="001441E3"/>
    <w:rsid w:val="00174A8D"/>
    <w:rsid w:val="00185081"/>
    <w:rsid w:val="0019112D"/>
    <w:rsid w:val="00191ECA"/>
    <w:rsid w:val="0019469A"/>
    <w:rsid w:val="001E15B7"/>
    <w:rsid w:val="001E3644"/>
    <w:rsid w:val="001E7E93"/>
    <w:rsid w:val="001F3741"/>
    <w:rsid w:val="00220E55"/>
    <w:rsid w:val="00222688"/>
    <w:rsid w:val="00234292"/>
    <w:rsid w:val="002452B8"/>
    <w:rsid w:val="002A0C0D"/>
    <w:rsid w:val="002B032A"/>
    <w:rsid w:val="002C0790"/>
    <w:rsid w:val="002C1FF5"/>
    <w:rsid w:val="002E5349"/>
    <w:rsid w:val="002F5443"/>
    <w:rsid w:val="003052FA"/>
    <w:rsid w:val="003246D4"/>
    <w:rsid w:val="0033120C"/>
    <w:rsid w:val="0038314D"/>
    <w:rsid w:val="00384631"/>
    <w:rsid w:val="00390F11"/>
    <w:rsid w:val="003B25C0"/>
    <w:rsid w:val="003C2950"/>
    <w:rsid w:val="003D119D"/>
    <w:rsid w:val="003E097D"/>
    <w:rsid w:val="00467DF9"/>
    <w:rsid w:val="00472650"/>
    <w:rsid w:val="00475713"/>
    <w:rsid w:val="004826DE"/>
    <w:rsid w:val="00487F21"/>
    <w:rsid w:val="0049032C"/>
    <w:rsid w:val="00495130"/>
    <w:rsid w:val="00497BC0"/>
    <w:rsid w:val="004B5178"/>
    <w:rsid w:val="004B6997"/>
    <w:rsid w:val="004C2575"/>
    <w:rsid w:val="004F00F3"/>
    <w:rsid w:val="0051379D"/>
    <w:rsid w:val="00526E42"/>
    <w:rsid w:val="005351F9"/>
    <w:rsid w:val="00545B10"/>
    <w:rsid w:val="005530EB"/>
    <w:rsid w:val="005674FE"/>
    <w:rsid w:val="00570C74"/>
    <w:rsid w:val="00572C78"/>
    <w:rsid w:val="005964CA"/>
    <w:rsid w:val="005A725B"/>
    <w:rsid w:val="005C383E"/>
    <w:rsid w:val="005C661A"/>
    <w:rsid w:val="005E2D0D"/>
    <w:rsid w:val="00603A4B"/>
    <w:rsid w:val="00603B77"/>
    <w:rsid w:val="00611D3C"/>
    <w:rsid w:val="006261B5"/>
    <w:rsid w:val="00657344"/>
    <w:rsid w:val="0066189E"/>
    <w:rsid w:val="00663E7C"/>
    <w:rsid w:val="00670308"/>
    <w:rsid w:val="00676A0A"/>
    <w:rsid w:val="0069069D"/>
    <w:rsid w:val="00692A4E"/>
    <w:rsid w:val="006A5DF5"/>
    <w:rsid w:val="006C2CE8"/>
    <w:rsid w:val="006D7C1F"/>
    <w:rsid w:val="00721323"/>
    <w:rsid w:val="00723EB8"/>
    <w:rsid w:val="00743763"/>
    <w:rsid w:val="00743BE6"/>
    <w:rsid w:val="00743C07"/>
    <w:rsid w:val="00781EEE"/>
    <w:rsid w:val="007C47D8"/>
    <w:rsid w:val="007C6A34"/>
    <w:rsid w:val="007E0A2E"/>
    <w:rsid w:val="007F0238"/>
    <w:rsid w:val="008252DF"/>
    <w:rsid w:val="00831AB8"/>
    <w:rsid w:val="00844156"/>
    <w:rsid w:val="00875D9A"/>
    <w:rsid w:val="00897AD1"/>
    <w:rsid w:val="008A33FA"/>
    <w:rsid w:val="008A343A"/>
    <w:rsid w:val="008B2160"/>
    <w:rsid w:val="008C094A"/>
    <w:rsid w:val="008E31DA"/>
    <w:rsid w:val="008F2DCC"/>
    <w:rsid w:val="00934E71"/>
    <w:rsid w:val="0093701F"/>
    <w:rsid w:val="009452B5"/>
    <w:rsid w:val="0095798D"/>
    <w:rsid w:val="0097279A"/>
    <w:rsid w:val="00977653"/>
    <w:rsid w:val="00982A9B"/>
    <w:rsid w:val="009837BB"/>
    <w:rsid w:val="00994B58"/>
    <w:rsid w:val="009A03E7"/>
    <w:rsid w:val="009A06FB"/>
    <w:rsid w:val="009A1843"/>
    <w:rsid w:val="009A2242"/>
    <w:rsid w:val="009B346E"/>
    <w:rsid w:val="009C17E8"/>
    <w:rsid w:val="009D5B93"/>
    <w:rsid w:val="009F2FB6"/>
    <w:rsid w:val="009F4916"/>
    <w:rsid w:val="00A708B0"/>
    <w:rsid w:val="00A747DE"/>
    <w:rsid w:val="00A74C01"/>
    <w:rsid w:val="00AC03F5"/>
    <w:rsid w:val="00AC1FD9"/>
    <w:rsid w:val="00AD2C96"/>
    <w:rsid w:val="00AE563B"/>
    <w:rsid w:val="00B775FE"/>
    <w:rsid w:val="00B83C91"/>
    <w:rsid w:val="00BA3B31"/>
    <w:rsid w:val="00BB5033"/>
    <w:rsid w:val="00BC7B50"/>
    <w:rsid w:val="00BE43DE"/>
    <w:rsid w:val="00C02208"/>
    <w:rsid w:val="00C10A9C"/>
    <w:rsid w:val="00C429E1"/>
    <w:rsid w:val="00C47A66"/>
    <w:rsid w:val="00C65787"/>
    <w:rsid w:val="00C90256"/>
    <w:rsid w:val="00CA6B34"/>
    <w:rsid w:val="00CB3DD6"/>
    <w:rsid w:val="00CC26D3"/>
    <w:rsid w:val="00CE1ED2"/>
    <w:rsid w:val="00CE51E1"/>
    <w:rsid w:val="00D05EEE"/>
    <w:rsid w:val="00D15161"/>
    <w:rsid w:val="00D24C8C"/>
    <w:rsid w:val="00D27A2B"/>
    <w:rsid w:val="00D307DE"/>
    <w:rsid w:val="00D564AD"/>
    <w:rsid w:val="00D56A54"/>
    <w:rsid w:val="00D71651"/>
    <w:rsid w:val="00D801E0"/>
    <w:rsid w:val="00DA67FF"/>
    <w:rsid w:val="00DF46AF"/>
    <w:rsid w:val="00E06479"/>
    <w:rsid w:val="00E24D9F"/>
    <w:rsid w:val="00E550D3"/>
    <w:rsid w:val="00E65D0C"/>
    <w:rsid w:val="00E95AF3"/>
    <w:rsid w:val="00EB6995"/>
    <w:rsid w:val="00EB7262"/>
    <w:rsid w:val="00EC34D1"/>
    <w:rsid w:val="00ED21F1"/>
    <w:rsid w:val="00F039DA"/>
    <w:rsid w:val="00F339B2"/>
    <w:rsid w:val="00F549B8"/>
    <w:rsid w:val="00F67B3C"/>
    <w:rsid w:val="00FA588B"/>
    <w:rsid w:val="00FB6031"/>
    <w:rsid w:val="00FE300E"/>
    <w:rsid w:val="00FF03A9"/>
    <w:rsid w:val="00FF0D01"/>
    <w:rsid w:val="00FF0D02"/>
    <w:rsid w:val="00FF5046"/>
    <w:rsid w:val="03644D32"/>
    <w:rsid w:val="037E6D6A"/>
    <w:rsid w:val="059565ED"/>
    <w:rsid w:val="061C09D9"/>
    <w:rsid w:val="06761402"/>
    <w:rsid w:val="074B3407"/>
    <w:rsid w:val="08252B72"/>
    <w:rsid w:val="08FD35AE"/>
    <w:rsid w:val="0CA05FA3"/>
    <w:rsid w:val="0E3F3599"/>
    <w:rsid w:val="0E7121DC"/>
    <w:rsid w:val="0FA96013"/>
    <w:rsid w:val="12301B77"/>
    <w:rsid w:val="134A6C68"/>
    <w:rsid w:val="185D2F9A"/>
    <w:rsid w:val="1890336F"/>
    <w:rsid w:val="18DA45EA"/>
    <w:rsid w:val="18E84F59"/>
    <w:rsid w:val="19372DD5"/>
    <w:rsid w:val="1AA93F5F"/>
    <w:rsid w:val="1BFA35F5"/>
    <w:rsid w:val="1D3D1123"/>
    <w:rsid w:val="1E373AB0"/>
    <w:rsid w:val="1E7E3139"/>
    <w:rsid w:val="220903C1"/>
    <w:rsid w:val="23EC4953"/>
    <w:rsid w:val="24690EA8"/>
    <w:rsid w:val="283C2BCC"/>
    <w:rsid w:val="2A9D36CA"/>
    <w:rsid w:val="2B7B131F"/>
    <w:rsid w:val="2B8D2153"/>
    <w:rsid w:val="2BA271EA"/>
    <w:rsid w:val="2BC71186"/>
    <w:rsid w:val="2F642A08"/>
    <w:rsid w:val="32455894"/>
    <w:rsid w:val="3293788C"/>
    <w:rsid w:val="33552D94"/>
    <w:rsid w:val="33ED121E"/>
    <w:rsid w:val="355157DD"/>
    <w:rsid w:val="35727C2D"/>
    <w:rsid w:val="36DD557A"/>
    <w:rsid w:val="37FD1ED2"/>
    <w:rsid w:val="385C4BC4"/>
    <w:rsid w:val="39180AEB"/>
    <w:rsid w:val="3E594080"/>
    <w:rsid w:val="3E8B55CC"/>
    <w:rsid w:val="3FA13A1C"/>
    <w:rsid w:val="42C76054"/>
    <w:rsid w:val="45EA75D4"/>
    <w:rsid w:val="490A5710"/>
    <w:rsid w:val="4A280040"/>
    <w:rsid w:val="4A3D5016"/>
    <w:rsid w:val="4BEE392E"/>
    <w:rsid w:val="4CCF550D"/>
    <w:rsid w:val="4CDF5745"/>
    <w:rsid w:val="4DFD6871"/>
    <w:rsid w:val="4E99401C"/>
    <w:rsid w:val="4FCC3F86"/>
    <w:rsid w:val="4FFC41D5"/>
    <w:rsid w:val="510D4856"/>
    <w:rsid w:val="513573BA"/>
    <w:rsid w:val="53187450"/>
    <w:rsid w:val="534C6902"/>
    <w:rsid w:val="537961D3"/>
    <w:rsid w:val="54F2117E"/>
    <w:rsid w:val="557C0051"/>
    <w:rsid w:val="55E02539"/>
    <w:rsid w:val="59030A18"/>
    <w:rsid w:val="5955323E"/>
    <w:rsid w:val="5B426C68"/>
    <w:rsid w:val="5BE2700B"/>
    <w:rsid w:val="5CFB5EAA"/>
    <w:rsid w:val="5D6B54A8"/>
    <w:rsid w:val="5E704A1A"/>
    <w:rsid w:val="5E892586"/>
    <w:rsid w:val="5F092B01"/>
    <w:rsid w:val="63520234"/>
    <w:rsid w:val="653F56B9"/>
    <w:rsid w:val="66FC7AF6"/>
    <w:rsid w:val="70E231B1"/>
    <w:rsid w:val="756D3EB3"/>
    <w:rsid w:val="77F35CA4"/>
    <w:rsid w:val="7AF16E13"/>
    <w:rsid w:val="7B877919"/>
    <w:rsid w:val="7BE10C20"/>
    <w:rsid w:val="7C982661"/>
    <w:rsid w:val="7D6E6C69"/>
    <w:rsid w:val="7D885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16">
    <w:name w:val="Default Paragraph Font"/>
    <w:autoRedefine/>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next w:val="4"/>
    <w:autoRedefine/>
    <w:qFormat/>
    <w:uiPriority w:val="0"/>
    <w:pPr>
      <w:ind w:firstLine="420" w:firstLineChars="200"/>
    </w:pPr>
    <w:rPr>
      <w:rFonts w:ascii="Calibri" w:hAnsi="Calibri"/>
    </w:rPr>
  </w:style>
  <w:style w:type="paragraph" w:styleId="4">
    <w:name w:val="Body Text First Indent 2"/>
    <w:basedOn w:val="5"/>
    <w:next w:val="1"/>
    <w:autoRedefine/>
    <w:qFormat/>
    <w:uiPriority w:val="0"/>
    <w:pPr>
      <w:ind w:firstLine="420" w:firstLineChars="200"/>
    </w:pPr>
    <w:rPr>
      <w:kern w:val="2"/>
      <w:sz w:val="21"/>
      <w:szCs w:val="24"/>
    </w:rPr>
  </w:style>
  <w:style w:type="paragraph" w:styleId="5">
    <w:name w:val="Body Text Indent"/>
    <w:basedOn w:val="1"/>
    <w:next w:val="1"/>
    <w:autoRedefine/>
    <w:qFormat/>
    <w:uiPriority w:val="0"/>
    <w:pPr>
      <w:spacing w:after="120"/>
      <w:ind w:left="420" w:leftChars="200"/>
    </w:pPr>
    <w:rPr>
      <w:kern w:val="0"/>
      <w:sz w:val="24"/>
      <w:szCs w:val="20"/>
    </w:rPr>
  </w:style>
  <w:style w:type="paragraph" w:styleId="6">
    <w:name w:val="caption"/>
    <w:basedOn w:val="1"/>
    <w:next w:val="1"/>
    <w:autoRedefine/>
    <w:qFormat/>
    <w:uiPriority w:val="0"/>
    <w:pPr>
      <w:adjustRightInd w:val="0"/>
      <w:snapToGrid w:val="0"/>
      <w:jc w:val="center"/>
    </w:pPr>
    <w:rPr>
      <w:rFonts w:ascii="Cambria" w:hAnsi="Cambria"/>
      <w:b/>
      <w:szCs w:val="20"/>
    </w:rPr>
  </w:style>
  <w:style w:type="paragraph" w:styleId="7">
    <w:name w:val="annotation text"/>
    <w:basedOn w:val="1"/>
    <w:link w:val="25"/>
    <w:autoRedefine/>
    <w:qFormat/>
    <w:uiPriority w:val="0"/>
    <w:pPr>
      <w:jc w:val="left"/>
    </w:pPr>
  </w:style>
  <w:style w:type="paragraph" w:styleId="8">
    <w:name w:val="Body Text"/>
    <w:basedOn w:val="1"/>
    <w:next w:val="1"/>
    <w:autoRedefine/>
    <w:qFormat/>
    <w:uiPriority w:val="0"/>
    <w:pPr>
      <w:widowControl/>
      <w:snapToGrid w:val="0"/>
      <w:spacing w:before="60" w:after="160" w:line="259" w:lineRule="auto"/>
      <w:ind w:right="113"/>
    </w:pPr>
    <w:rPr>
      <w:kern w:val="0"/>
      <w:sz w:val="18"/>
      <w:szCs w:val="20"/>
    </w:rPr>
  </w:style>
  <w:style w:type="paragraph" w:styleId="9">
    <w:name w:val="Block Text"/>
    <w:basedOn w:val="1"/>
    <w:autoRedefine/>
    <w:qFormat/>
    <w:uiPriority w:val="0"/>
    <w:pPr>
      <w:ind w:left="1272" w:leftChars="601" w:right="-506" w:rightChars="-241" w:hanging="10" w:hangingChars="3"/>
    </w:pPr>
    <w:rPr>
      <w:sz w:val="32"/>
    </w:rPr>
  </w:style>
  <w:style w:type="paragraph" w:styleId="10">
    <w:name w:val="Plain Text"/>
    <w:basedOn w:val="1"/>
    <w:autoRedefine/>
    <w:qFormat/>
    <w:uiPriority w:val="99"/>
    <w:pPr>
      <w:widowControl/>
      <w:spacing w:before="100" w:beforeAutospacing="1" w:after="100" w:afterAutospacing="1"/>
      <w:jc w:val="left"/>
    </w:pPr>
    <w:rPr>
      <w:rFonts w:ascii="ˎ̥" w:hAnsi="ˎ̥"/>
      <w:kern w:val="0"/>
      <w:sz w:val="18"/>
      <w:szCs w:val="18"/>
    </w:rPr>
  </w:style>
  <w:style w:type="paragraph" w:styleId="11">
    <w:name w:val="footer"/>
    <w:basedOn w:val="1"/>
    <w:autoRedefine/>
    <w:qFormat/>
    <w:uiPriority w:val="99"/>
    <w:pPr>
      <w:tabs>
        <w:tab w:val="center" w:pos="4153"/>
        <w:tab w:val="right" w:pos="8306"/>
      </w:tabs>
      <w:snapToGrid w:val="0"/>
      <w:jc w:val="left"/>
    </w:pPr>
    <w:rPr>
      <w:kern w:val="0"/>
      <w:sz w:val="18"/>
      <w:szCs w:val="20"/>
    </w:rPr>
  </w:style>
  <w:style w:type="paragraph" w:styleId="12">
    <w:name w:val="header"/>
    <w:basedOn w:val="1"/>
    <w:link w:val="23"/>
    <w:autoRedefine/>
    <w:qFormat/>
    <w:uiPriority w:val="0"/>
    <w:pPr>
      <w:tabs>
        <w:tab w:val="center" w:pos="4153"/>
        <w:tab w:val="right" w:pos="8306"/>
      </w:tabs>
      <w:snapToGrid w:val="0"/>
      <w:jc w:val="center"/>
    </w:pPr>
    <w:rPr>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kern w:val="0"/>
      <w:sz w:val="24"/>
      <w:szCs w:val="20"/>
    </w:rPr>
  </w:style>
  <w:style w:type="table" w:styleId="15">
    <w:name w:val="Table Grid"/>
    <w:basedOn w:val="14"/>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autoRedefine/>
    <w:qFormat/>
    <w:uiPriority w:val="0"/>
  </w:style>
  <w:style w:type="character" w:styleId="18">
    <w:name w:val="annotation reference"/>
    <w:autoRedefine/>
    <w:qFormat/>
    <w:uiPriority w:val="0"/>
    <w:rPr>
      <w:sz w:val="21"/>
    </w:rPr>
  </w:style>
  <w:style w:type="paragraph" w:customStyle="1" w:styleId="19">
    <w:name w:val="正文_4"/>
    <w:autoRedefine/>
    <w:qFormat/>
    <w:uiPriority w:val="0"/>
    <w:pPr>
      <w:widowControl w:val="0"/>
      <w:jc w:val="both"/>
    </w:pPr>
    <w:rPr>
      <w:rFonts w:ascii="Calibri" w:hAnsi="Calibri" w:eastAsia="宋体" w:cs="Times New Roman"/>
      <w:kern w:val="2"/>
      <w:sz w:val="21"/>
      <w:lang w:val="en-US" w:eastAsia="zh-CN" w:bidi="ar-SA"/>
    </w:rPr>
  </w:style>
  <w:style w:type="paragraph" w:customStyle="1" w:styleId="20">
    <w:name w:val="表格"/>
    <w:basedOn w:val="1"/>
    <w:next w:val="1"/>
    <w:autoRedefine/>
    <w:qFormat/>
    <w:uiPriority w:val="0"/>
    <w:pPr>
      <w:adjustRightInd w:val="0"/>
      <w:snapToGrid w:val="0"/>
      <w:spacing w:beforeLines="10" w:afterLines="10" w:line="259" w:lineRule="auto"/>
      <w:jc w:val="center"/>
    </w:pPr>
    <w:rPr>
      <w:rFonts w:ascii="宋体"/>
      <w:kern w:val="0"/>
      <w:szCs w:val="20"/>
    </w:rPr>
  </w:style>
  <w:style w:type="paragraph" w:customStyle="1" w:styleId="21">
    <w:name w:val="高-正文"/>
    <w:basedOn w:val="1"/>
    <w:autoRedefine/>
    <w:qFormat/>
    <w:uiPriority w:val="0"/>
    <w:pPr>
      <w:topLinePunct/>
      <w:adjustRightInd w:val="0"/>
      <w:snapToGrid w:val="0"/>
      <w:spacing w:line="480" w:lineRule="exact"/>
      <w:ind w:firstLine="600" w:firstLineChars="200"/>
    </w:pPr>
    <w:rPr>
      <w:snapToGrid w:val="0"/>
      <w:kern w:val="0"/>
      <w:sz w:val="24"/>
    </w:rPr>
  </w:style>
  <w:style w:type="paragraph" w:customStyle="1" w:styleId="22">
    <w:name w:val="【表头】"/>
    <w:basedOn w:val="1"/>
    <w:autoRedefine/>
    <w:qFormat/>
    <w:uiPriority w:val="0"/>
    <w:pPr>
      <w:adjustRightInd w:val="0"/>
      <w:snapToGrid w:val="0"/>
      <w:spacing w:line="360" w:lineRule="auto"/>
      <w:jc w:val="center"/>
    </w:pPr>
    <w:rPr>
      <w:b/>
      <w:bCs/>
      <w:sz w:val="24"/>
    </w:rPr>
  </w:style>
  <w:style w:type="character" w:customStyle="1" w:styleId="23">
    <w:name w:val="页眉 字符"/>
    <w:basedOn w:val="16"/>
    <w:link w:val="12"/>
    <w:autoRedefine/>
    <w:qFormat/>
    <w:uiPriority w:val="0"/>
    <w:rPr>
      <w:kern w:val="2"/>
      <w:sz w:val="18"/>
      <w:szCs w:val="18"/>
    </w:rPr>
  </w:style>
  <w:style w:type="paragraph" w:customStyle="1" w:styleId="24">
    <w:name w:val="1正文"/>
    <w:basedOn w:val="1"/>
    <w:autoRedefine/>
    <w:qFormat/>
    <w:uiPriority w:val="0"/>
    <w:pPr>
      <w:widowControl/>
      <w:adjustRightInd w:val="0"/>
      <w:snapToGrid w:val="0"/>
      <w:spacing w:line="360" w:lineRule="auto"/>
      <w:ind w:firstLine="200" w:firstLineChars="200"/>
    </w:pPr>
    <w:rPr>
      <w:color w:val="000000"/>
      <w:kern w:val="1"/>
      <w:sz w:val="24"/>
    </w:rPr>
  </w:style>
  <w:style w:type="character" w:customStyle="1" w:styleId="25">
    <w:name w:val="批注文字 字符"/>
    <w:basedOn w:val="16"/>
    <w:link w:val="7"/>
    <w:autoRedefine/>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customXml" Target="../customXml/item1.xml"/><Relationship Id="rId50" Type="http://schemas.openxmlformats.org/officeDocument/2006/relationships/image" Target="media/image42.jpeg"/><Relationship Id="rId5" Type="http://schemas.openxmlformats.org/officeDocument/2006/relationships/footer" Target="footer3.xml"/><Relationship Id="rId49" Type="http://schemas.openxmlformats.org/officeDocument/2006/relationships/image" Target="media/image41.jpeg"/><Relationship Id="rId48" Type="http://schemas.openxmlformats.org/officeDocument/2006/relationships/image" Target="media/image40.jpeg"/><Relationship Id="rId47" Type="http://schemas.openxmlformats.org/officeDocument/2006/relationships/image" Target="media/image39.jpeg"/><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jpeg"/><Relationship Id="rId43" Type="http://schemas.microsoft.com/office/2007/relationships/hdphoto" Target="media/image35.wdp"/><Relationship Id="rId42" Type="http://schemas.openxmlformats.org/officeDocument/2006/relationships/image" Target="media/image34.png"/><Relationship Id="rId41" Type="http://schemas.microsoft.com/office/2007/relationships/hdphoto" Target="media/image33.wdp"/><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microsoft.com/office/2007/relationships/hdphoto" Target="media/image26.wdp"/><Relationship Id="rId33" Type="http://schemas.openxmlformats.org/officeDocument/2006/relationships/image" Target="media/image25.png"/><Relationship Id="rId32" Type="http://schemas.microsoft.com/office/2007/relationships/hdphoto" Target="media/image24.wdp"/><Relationship Id="rId31" Type="http://schemas.openxmlformats.org/officeDocument/2006/relationships/image" Target="media/image23.png"/><Relationship Id="rId30" Type="http://schemas.microsoft.com/office/2007/relationships/hdphoto" Target="media/image22.wdp"/><Relationship Id="rId3" Type="http://schemas.openxmlformats.org/officeDocument/2006/relationships/footer" Target="footer1.xml"/><Relationship Id="rId29" Type="http://schemas.openxmlformats.org/officeDocument/2006/relationships/image" Target="media/image21.png"/><Relationship Id="rId28" Type="http://schemas.microsoft.com/office/2007/relationships/hdphoto" Target="media/image20.wdp"/><Relationship Id="rId27" Type="http://schemas.openxmlformats.org/officeDocument/2006/relationships/image" Target="media/image19.png"/><Relationship Id="rId26" Type="http://schemas.microsoft.com/office/2007/relationships/hdphoto" Target="media/image18.wdp"/><Relationship Id="rId25" Type="http://schemas.openxmlformats.org/officeDocument/2006/relationships/image" Target="media/image17.png"/><Relationship Id="rId24" Type="http://schemas.microsoft.com/office/2007/relationships/hdphoto" Target="media/image16.wdp"/><Relationship Id="rId23" Type="http://schemas.openxmlformats.org/officeDocument/2006/relationships/image" Target="media/image15.png"/><Relationship Id="rId22" Type="http://schemas.microsoft.com/office/2007/relationships/hdphoto" Target="media/image14.wdp"/><Relationship Id="rId21" Type="http://schemas.openxmlformats.org/officeDocument/2006/relationships/image" Target="media/image13.pn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72FD1C-7642-4E89-BCF4-4F5B92A9D2D6}">
  <ds:schemaRefs/>
</ds:datastoreItem>
</file>

<file path=docProps/app.xml><?xml version="1.0" encoding="utf-8"?>
<Properties xmlns="http://schemas.openxmlformats.org/officeDocument/2006/extended-properties" xmlns:vt="http://schemas.openxmlformats.org/officeDocument/2006/docPropsVTypes">
  <Template>Normal</Template>
  <Pages>67</Pages>
  <Words>3667</Words>
  <Characters>20906</Characters>
  <Lines>174</Lines>
  <Paragraphs>49</Paragraphs>
  <TotalTime>1094</TotalTime>
  <ScaleCrop>false</ScaleCrop>
  <LinksUpToDate>false</LinksUpToDate>
  <CharactersWithSpaces>24524</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2022-07-22T03:31:00Z</dcterms:created>
  <dc:creator>Administrator</dc:creator>
  <cp:lastModifiedBy>初心す</cp:lastModifiedBy>
  <cp:lastPrinted>2023-07-19T01:21:00Z</cp:lastPrinted>
  <dcterms:modified xsi:type="dcterms:W3CDTF">2024-01-22T07:33:23Z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E33191F79FBB4A979E06A198CE292B58</vt:lpwstr>
  </property>
</Properties>
</file>