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BB9F7F">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2026年伊金霍洛旗农用薄膜产品质量监督抽查实施细则</w:t>
      </w:r>
    </w:p>
    <w:p w14:paraId="6E498785">
      <w:pPr>
        <w:pStyle w:val="3"/>
        <w:rPr>
          <w:rFonts w:hint="eastAsia"/>
          <w:color w:val="auto"/>
          <w:highlight w:val="none"/>
        </w:rPr>
      </w:pPr>
    </w:p>
    <w:p w14:paraId="273E0388">
      <w:pPr>
        <w:keepNext w:val="0"/>
        <w:keepLines w:val="0"/>
        <w:pageBreakBefore w:val="0"/>
        <w:widowControl w:val="0"/>
        <w:kinsoku/>
        <w:wordWrap/>
        <w:overflowPunct/>
        <w:topLinePunct w:val="0"/>
        <w:autoSpaceDE/>
        <w:autoSpaceDN/>
        <w:bidi w:val="0"/>
        <w:adjustRightInd/>
        <w:snapToGrid w:val="0"/>
        <w:spacing w:line="440" w:lineRule="exact"/>
        <w:ind w:left="0" w:left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 抽样方法</w:t>
      </w:r>
    </w:p>
    <w:p w14:paraId="3A85201B">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以随机抽样的方式在被抽样生产者、销售者的待销产品中抽取。</w:t>
      </w:r>
    </w:p>
    <w:p w14:paraId="54648DE8">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随机数一般可使用随机数表等方法产生。</w:t>
      </w:r>
    </w:p>
    <w:p w14:paraId="18679B54">
      <w:pPr>
        <w:keepNext w:val="0"/>
        <w:keepLines w:val="0"/>
        <w:pageBreakBefore w:val="0"/>
        <w:widowControl w:val="0"/>
        <w:kinsoku/>
        <w:wordWrap/>
        <w:overflowPunct/>
        <w:topLinePunct w:val="0"/>
        <w:autoSpaceDE/>
        <w:autoSpaceDN/>
        <w:bidi w:val="0"/>
        <w:adjustRightInd/>
        <w:snapToGrid w:val="0"/>
        <w:spacing w:line="4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每批次产品抽样数量见表</w:t>
      </w:r>
      <w:r>
        <w:rPr>
          <w:rFonts w:hint="eastAsia" w:ascii="宋体" w:hAnsi="宋体" w:eastAsia="宋体" w:cs="宋体"/>
          <w:color w:val="auto"/>
          <w:sz w:val="21"/>
          <w:szCs w:val="21"/>
          <w:highlight w:val="none"/>
          <w:lang w:val="en-US" w:eastAsia="zh-CN"/>
        </w:rPr>
        <w:t>1。</w:t>
      </w:r>
    </w:p>
    <w:p w14:paraId="3DC6022A">
      <w:pPr>
        <w:keepNext w:val="0"/>
        <w:keepLines w:val="0"/>
        <w:pageBreakBefore w:val="0"/>
        <w:widowControl w:val="0"/>
        <w:kinsoku/>
        <w:wordWrap/>
        <w:overflowPunct/>
        <w:topLinePunct w:val="0"/>
        <w:autoSpaceDE/>
        <w:autoSpaceDN/>
        <w:bidi w:val="0"/>
        <w:adjustRightInd/>
        <w:snapToGrid/>
        <w:spacing w:line="440" w:lineRule="exact"/>
        <w:ind w:left="0" w:left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表1 抽样数量</w:t>
      </w:r>
    </w:p>
    <w:tbl>
      <w:tblPr>
        <w:tblStyle w:val="11"/>
        <w:tblW w:w="8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2167"/>
        <w:gridCol w:w="1983"/>
        <w:gridCol w:w="1850"/>
        <w:gridCol w:w="1788"/>
      </w:tblGrid>
      <w:tr w14:paraId="099D9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79" w:type="dxa"/>
            <w:noWrap w:val="0"/>
            <w:vAlign w:val="center"/>
          </w:tcPr>
          <w:p w14:paraId="3F9C66EA">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center"/>
              <w:rPr>
                <w:rFonts w:hint="eastAsia" w:ascii="宋体" w:hAnsi="宋体" w:eastAsia="宋体" w:cs="宋体"/>
                <w:b w:val="0"/>
                <w:i w:val="0"/>
                <w:caps w:val="0"/>
                <w:color w:val="000000"/>
                <w:spacing w:val="0"/>
                <w:w w:val="100"/>
                <w:sz w:val="21"/>
                <w:szCs w:val="21"/>
                <w:lang w:val="en-US" w:eastAsia="zh-CN"/>
              </w:rPr>
            </w:pPr>
            <w:r>
              <w:rPr>
                <w:rFonts w:hint="eastAsia" w:ascii="宋体" w:hAnsi="宋体" w:eastAsia="宋体" w:cs="宋体"/>
                <w:b w:val="0"/>
                <w:i w:val="0"/>
                <w:caps w:val="0"/>
                <w:color w:val="000000"/>
                <w:spacing w:val="0"/>
                <w:w w:val="100"/>
                <w:sz w:val="21"/>
                <w:szCs w:val="21"/>
                <w:lang w:val="en-US" w:eastAsia="zh-CN"/>
              </w:rPr>
              <w:t>序号</w:t>
            </w:r>
          </w:p>
        </w:tc>
        <w:tc>
          <w:tcPr>
            <w:tcW w:w="2167" w:type="dxa"/>
            <w:noWrap w:val="0"/>
            <w:vAlign w:val="center"/>
          </w:tcPr>
          <w:p w14:paraId="3A848B20">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center"/>
              <w:rPr>
                <w:rFonts w:hint="eastAsia" w:ascii="宋体" w:hAnsi="宋体" w:eastAsia="宋体" w:cs="宋体"/>
                <w:b w:val="0"/>
                <w:i w:val="0"/>
                <w:caps w:val="0"/>
                <w:color w:val="000000"/>
                <w:spacing w:val="0"/>
                <w:w w:val="100"/>
                <w:sz w:val="21"/>
                <w:szCs w:val="21"/>
                <w:lang w:val="en-US" w:eastAsia="zh-CN"/>
              </w:rPr>
            </w:pPr>
            <w:r>
              <w:rPr>
                <w:rFonts w:hint="eastAsia" w:ascii="宋体" w:hAnsi="宋体" w:eastAsia="宋体" w:cs="宋体"/>
                <w:b w:val="0"/>
                <w:i w:val="0"/>
                <w:caps w:val="0"/>
                <w:color w:val="000000"/>
                <w:spacing w:val="0"/>
                <w:w w:val="100"/>
                <w:sz w:val="21"/>
                <w:szCs w:val="21"/>
                <w:lang w:val="en-US" w:eastAsia="zh-CN"/>
              </w:rPr>
              <w:t>产品名称</w:t>
            </w:r>
          </w:p>
        </w:tc>
        <w:tc>
          <w:tcPr>
            <w:tcW w:w="1983" w:type="dxa"/>
            <w:noWrap w:val="0"/>
            <w:vAlign w:val="center"/>
          </w:tcPr>
          <w:p w14:paraId="37FACF8F">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center"/>
              <w:rPr>
                <w:rFonts w:hint="eastAsia" w:ascii="宋体" w:hAnsi="宋体" w:eastAsia="宋体" w:cs="宋体"/>
                <w:b w:val="0"/>
                <w:i w:val="0"/>
                <w:caps w:val="0"/>
                <w:color w:val="000000"/>
                <w:spacing w:val="0"/>
                <w:w w:val="100"/>
                <w:sz w:val="21"/>
                <w:szCs w:val="21"/>
                <w:lang w:val="en-US" w:eastAsia="zh-CN"/>
              </w:rPr>
            </w:pPr>
            <w:r>
              <w:rPr>
                <w:rFonts w:hint="eastAsia" w:ascii="宋体" w:hAnsi="宋体" w:eastAsia="宋体" w:cs="宋体"/>
                <w:b w:val="0"/>
                <w:i w:val="0"/>
                <w:caps w:val="0"/>
                <w:color w:val="000000"/>
                <w:spacing w:val="0"/>
                <w:w w:val="100"/>
                <w:sz w:val="21"/>
                <w:szCs w:val="21"/>
                <w:lang w:val="en-US" w:eastAsia="zh-CN"/>
              </w:rPr>
              <w:t>抽样数量</w:t>
            </w:r>
          </w:p>
        </w:tc>
        <w:tc>
          <w:tcPr>
            <w:tcW w:w="1850" w:type="dxa"/>
            <w:noWrap w:val="0"/>
            <w:vAlign w:val="center"/>
          </w:tcPr>
          <w:p w14:paraId="5D3B76B0">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center"/>
              <w:rPr>
                <w:rFonts w:hint="eastAsia" w:ascii="宋体" w:hAnsi="宋体" w:eastAsia="宋体" w:cs="宋体"/>
                <w:b w:val="0"/>
                <w:i w:val="0"/>
                <w:caps w:val="0"/>
                <w:color w:val="000000"/>
                <w:spacing w:val="0"/>
                <w:w w:val="100"/>
                <w:sz w:val="21"/>
                <w:szCs w:val="21"/>
                <w:lang w:val="en-US" w:eastAsia="zh-CN"/>
              </w:rPr>
            </w:pPr>
            <w:r>
              <w:rPr>
                <w:rFonts w:hint="eastAsia" w:ascii="宋体" w:hAnsi="宋体" w:eastAsia="宋体" w:cs="宋体"/>
                <w:b w:val="0"/>
                <w:i w:val="0"/>
                <w:caps w:val="0"/>
                <w:color w:val="000000"/>
                <w:spacing w:val="0"/>
                <w:w w:val="100"/>
                <w:sz w:val="21"/>
                <w:szCs w:val="21"/>
                <w:lang w:val="en-US" w:eastAsia="zh-CN"/>
              </w:rPr>
              <w:t>检样数量</w:t>
            </w:r>
          </w:p>
        </w:tc>
        <w:tc>
          <w:tcPr>
            <w:tcW w:w="1788" w:type="dxa"/>
            <w:noWrap w:val="0"/>
            <w:vAlign w:val="center"/>
          </w:tcPr>
          <w:p w14:paraId="3403722C">
            <w:pPr>
              <w:keepNext w:val="0"/>
              <w:keepLines w:val="0"/>
              <w:pageBreakBefore w:val="0"/>
              <w:widowControl/>
              <w:suppressLineNumbers w:val="0"/>
              <w:kinsoku/>
              <w:wordWrap/>
              <w:overflowPunct/>
              <w:topLinePunct w:val="0"/>
              <w:autoSpaceDE/>
              <w:autoSpaceDN/>
              <w:bidi w:val="0"/>
              <w:spacing w:line="440" w:lineRule="exact"/>
              <w:ind w:left="0" w:leftChars="0"/>
              <w:jc w:val="center"/>
              <w:textAlignment w:val="center"/>
              <w:rPr>
                <w:rFonts w:hint="eastAsia" w:ascii="宋体" w:hAnsi="宋体" w:eastAsia="宋体" w:cs="宋体"/>
                <w:b w:val="0"/>
                <w:i w:val="0"/>
                <w:caps w:val="0"/>
                <w:color w:val="000000"/>
                <w:spacing w:val="0"/>
                <w:w w:val="100"/>
                <w:sz w:val="21"/>
                <w:szCs w:val="21"/>
                <w:lang w:val="en-US" w:eastAsia="zh-CN"/>
              </w:rPr>
            </w:pPr>
            <w:r>
              <w:rPr>
                <w:rFonts w:hint="eastAsia" w:ascii="宋体" w:hAnsi="宋体" w:eastAsia="宋体" w:cs="宋体"/>
                <w:b w:val="0"/>
                <w:i w:val="0"/>
                <w:caps w:val="0"/>
                <w:color w:val="000000"/>
                <w:spacing w:val="0"/>
                <w:w w:val="100"/>
                <w:sz w:val="21"/>
                <w:szCs w:val="21"/>
                <w:lang w:val="en-US" w:eastAsia="zh-CN"/>
              </w:rPr>
              <w:t>备样数量</w:t>
            </w:r>
          </w:p>
        </w:tc>
      </w:tr>
      <w:tr w14:paraId="3A11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779" w:type="dxa"/>
            <w:noWrap w:val="0"/>
            <w:vAlign w:val="center"/>
          </w:tcPr>
          <w:p w14:paraId="10B3E94A">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sz w:val="21"/>
                <w:szCs w:val="21"/>
                <w:lang w:val="en-US" w:eastAsia="zh-CN"/>
              </w:rPr>
            </w:pPr>
            <w:r>
              <w:rPr>
                <w:rFonts w:hint="eastAsia" w:ascii="宋体" w:hAnsi="宋体" w:eastAsia="宋体" w:cs="宋体"/>
                <w:b w:val="0"/>
                <w:i w:val="0"/>
                <w:caps w:val="0"/>
                <w:color w:val="auto"/>
                <w:spacing w:val="0"/>
                <w:w w:val="100"/>
                <w:sz w:val="21"/>
                <w:szCs w:val="21"/>
                <w:lang w:val="en-US" w:eastAsia="zh-CN"/>
              </w:rPr>
              <w:t>1</w:t>
            </w:r>
          </w:p>
        </w:tc>
        <w:tc>
          <w:tcPr>
            <w:tcW w:w="2167" w:type="dxa"/>
            <w:noWrap w:val="0"/>
            <w:vAlign w:val="center"/>
          </w:tcPr>
          <w:p w14:paraId="529153F6">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sz w:val="21"/>
                <w:szCs w:val="21"/>
                <w:lang w:val="en-US" w:eastAsia="zh-CN"/>
              </w:rPr>
            </w:pPr>
            <w:r>
              <w:rPr>
                <w:rFonts w:hint="eastAsia" w:ascii="宋体" w:hAnsi="宋体" w:eastAsia="宋体" w:cs="宋体"/>
                <w:b w:val="0"/>
                <w:i w:val="0"/>
                <w:caps w:val="0"/>
                <w:color w:val="auto"/>
                <w:spacing w:val="0"/>
                <w:w w:val="100"/>
                <w:sz w:val="21"/>
                <w:szCs w:val="21"/>
                <w:lang w:val="en-US" w:eastAsia="zh-CN"/>
              </w:rPr>
              <w:t>聚乙烯吹塑农用地面覆盖薄膜</w:t>
            </w:r>
          </w:p>
        </w:tc>
        <w:tc>
          <w:tcPr>
            <w:tcW w:w="1983" w:type="dxa"/>
            <w:noWrap w:val="0"/>
            <w:vAlign w:val="center"/>
          </w:tcPr>
          <w:p w14:paraId="6747646F">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sz w:val="21"/>
                <w:szCs w:val="21"/>
                <w:lang w:val="en-US" w:eastAsia="zh-CN"/>
              </w:rPr>
            </w:pPr>
            <w:r>
              <w:rPr>
                <w:rFonts w:hint="eastAsia" w:ascii="宋体" w:hAnsi="宋体" w:eastAsia="宋体" w:cs="宋体"/>
                <w:b w:val="0"/>
                <w:i w:val="0"/>
                <w:caps w:val="0"/>
                <w:color w:val="auto"/>
                <w:spacing w:val="0"/>
                <w:w w:val="100"/>
                <w:sz w:val="21"/>
                <w:szCs w:val="21"/>
                <w:lang w:val="en-US" w:eastAsia="zh-CN"/>
              </w:rPr>
              <w:t>2卷</w:t>
            </w:r>
          </w:p>
        </w:tc>
        <w:tc>
          <w:tcPr>
            <w:tcW w:w="1850" w:type="dxa"/>
            <w:noWrap w:val="0"/>
            <w:vAlign w:val="center"/>
          </w:tcPr>
          <w:p w14:paraId="2DE0226E">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sz w:val="21"/>
                <w:szCs w:val="21"/>
                <w:lang w:val="en-US" w:eastAsia="zh-CN"/>
              </w:rPr>
            </w:pPr>
            <w:r>
              <w:rPr>
                <w:rFonts w:hint="eastAsia" w:ascii="宋体" w:hAnsi="宋体" w:eastAsia="宋体" w:cs="宋体"/>
                <w:b w:val="0"/>
                <w:i w:val="0"/>
                <w:caps w:val="0"/>
                <w:color w:val="auto"/>
                <w:spacing w:val="0"/>
                <w:w w:val="100"/>
                <w:sz w:val="21"/>
                <w:szCs w:val="21"/>
                <w:lang w:val="en-US" w:eastAsia="zh-CN"/>
              </w:rPr>
              <w:t>1卷</w:t>
            </w:r>
          </w:p>
        </w:tc>
        <w:tc>
          <w:tcPr>
            <w:tcW w:w="1788" w:type="dxa"/>
            <w:noWrap w:val="0"/>
            <w:vAlign w:val="center"/>
          </w:tcPr>
          <w:p w14:paraId="4B035BD6">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sz w:val="21"/>
                <w:szCs w:val="21"/>
                <w:lang w:val="en-US" w:eastAsia="zh-CN"/>
              </w:rPr>
            </w:pPr>
            <w:r>
              <w:rPr>
                <w:rFonts w:hint="eastAsia" w:ascii="宋体" w:hAnsi="宋体" w:eastAsia="宋体" w:cs="宋体"/>
                <w:b w:val="0"/>
                <w:i w:val="0"/>
                <w:caps w:val="0"/>
                <w:color w:val="auto"/>
                <w:spacing w:val="0"/>
                <w:w w:val="100"/>
                <w:sz w:val="21"/>
                <w:szCs w:val="21"/>
                <w:lang w:val="en-US" w:eastAsia="zh-CN"/>
              </w:rPr>
              <w:t>1卷</w:t>
            </w:r>
          </w:p>
        </w:tc>
      </w:tr>
      <w:tr w14:paraId="083F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779" w:type="dxa"/>
            <w:noWrap w:val="0"/>
            <w:vAlign w:val="center"/>
          </w:tcPr>
          <w:p w14:paraId="0BB563E2">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sz w:val="21"/>
                <w:szCs w:val="21"/>
                <w:lang w:val="en-US" w:eastAsia="zh-CN"/>
              </w:rPr>
            </w:pPr>
            <w:r>
              <w:rPr>
                <w:rFonts w:hint="eastAsia" w:ascii="宋体" w:hAnsi="宋体" w:eastAsia="宋体" w:cs="宋体"/>
                <w:b w:val="0"/>
                <w:i w:val="0"/>
                <w:caps w:val="0"/>
                <w:color w:val="auto"/>
                <w:spacing w:val="0"/>
                <w:w w:val="100"/>
                <w:sz w:val="21"/>
                <w:szCs w:val="21"/>
                <w:lang w:val="en-US" w:eastAsia="zh-CN"/>
              </w:rPr>
              <w:t>2</w:t>
            </w:r>
          </w:p>
        </w:tc>
        <w:tc>
          <w:tcPr>
            <w:tcW w:w="2167" w:type="dxa"/>
            <w:shd w:val="clear" w:color="auto" w:fill="auto"/>
            <w:noWrap w:val="0"/>
            <w:vAlign w:val="center"/>
          </w:tcPr>
          <w:p w14:paraId="774FED6F">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kern w:val="2"/>
                <w:sz w:val="21"/>
                <w:szCs w:val="21"/>
                <w:lang w:val="en-US" w:eastAsia="zh-CN" w:bidi="ar-SA"/>
              </w:rPr>
            </w:pPr>
            <w:r>
              <w:rPr>
                <w:rFonts w:hint="eastAsia" w:ascii="宋体" w:hAnsi="宋体" w:eastAsia="宋体" w:cs="宋体"/>
                <w:i w:val="0"/>
                <w:iCs w:val="0"/>
                <w:color w:val="000000"/>
                <w:kern w:val="0"/>
                <w:sz w:val="21"/>
                <w:szCs w:val="21"/>
                <w:u w:val="none"/>
                <w:lang w:val="en-US" w:eastAsia="zh-CN" w:bidi="ar"/>
              </w:rPr>
              <w:t>全生物降解农用地面覆盖薄膜</w:t>
            </w:r>
          </w:p>
        </w:tc>
        <w:tc>
          <w:tcPr>
            <w:tcW w:w="1983" w:type="dxa"/>
            <w:shd w:val="clear" w:color="auto" w:fill="auto"/>
            <w:noWrap w:val="0"/>
            <w:vAlign w:val="center"/>
          </w:tcPr>
          <w:p w14:paraId="45ED625A">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kern w:val="2"/>
                <w:sz w:val="21"/>
                <w:szCs w:val="21"/>
                <w:lang w:val="en-US" w:eastAsia="zh-CN" w:bidi="ar-SA"/>
              </w:rPr>
            </w:pPr>
            <w:r>
              <w:rPr>
                <w:rFonts w:hint="eastAsia" w:ascii="宋体" w:hAnsi="宋体" w:eastAsia="宋体" w:cs="宋体"/>
                <w:b w:val="0"/>
                <w:i w:val="0"/>
                <w:caps w:val="0"/>
                <w:color w:val="auto"/>
                <w:spacing w:val="0"/>
                <w:w w:val="100"/>
                <w:sz w:val="21"/>
                <w:szCs w:val="21"/>
                <w:lang w:val="en-US" w:eastAsia="zh-CN"/>
              </w:rPr>
              <w:t>2卷</w:t>
            </w:r>
          </w:p>
        </w:tc>
        <w:tc>
          <w:tcPr>
            <w:tcW w:w="1850" w:type="dxa"/>
            <w:shd w:val="clear" w:color="auto" w:fill="auto"/>
            <w:noWrap w:val="0"/>
            <w:vAlign w:val="center"/>
          </w:tcPr>
          <w:p w14:paraId="46DE688D">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kern w:val="2"/>
                <w:sz w:val="21"/>
                <w:szCs w:val="21"/>
                <w:lang w:val="en-US" w:eastAsia="zh-CN" w:bidi="ar-SA"/>
              </w:rPr>
            </w:pPr>
            <w:r>
              <w:rPr>
                <w:rFonts w:hint="eastAsia" w:ascii="宋体" w:hAnsi="宋体" w:eastAsia="宋体" w:cs="宋体"/>
                <w:b w:val="0"/>
                <w:i w:val="0"/>
                <w:caps w:val="0"/>
                <w:color w:val="auto"/>
                <w:spacing w:val="0"/>
                <w:w w:val="100"/>
                <w:sz w:val="21"/>
                <w:szCs w:val="21"/>
                <w:lang w:val="en-US" w:eastAsia="zh-CN"/>
              </w:rPr>
              <w:t>1卷</w:t>
            </w:r>
          </w:p>
        </w:tc>
        <w:tc>
          <w:tcPr>
            <w:tcW w:w="1788" w:type="dxa"/>
            <w:shd w:val="clear" w:color="auto" w:fill="auto"/>
            <w:noWrap w:val="0"/>
            <w:vAlign w:val="center"/>
          </w:tcPr>
          <w:p w14:paraId="7C8A1B85">
            <w:pPr>
              <w:keepNext w:val="0"/>
              <w:keepLines w:val="0"/>
              <w:pageBreakBefore w:val="0"/>
              <w:widowControl/>
              <w:suppressLineNumbers w:val="0"/>
              <w:kinsoku/>
              <w:wordWrap/>
              <w:overflowPunct/>
              <w:topLinePunct w:val="0"/>
              <w:autoSpaceDE/>
              <w:autoSpaceDN/>
              <w:bidi w:val="0"/>
              <w:spacing w:line="240" w:lineRule="auto"/>
              <w:ind w:left="0" w:leftChars="0"/>
              <w:jc w:val="center"/>
              <w:textAlignment w:val="center"/>
              <w:rPr>
                <w:rFonts w:hint="eastAsia" w:ascii="宋体" w:hAnsi="宋体" w:eastAsia="宋体" w:cs="宋体"/>
                <w:b w:val="0"/>
                <w:i w:val="0"/>
                <w:caps w:val="0"/>
                <w:color w:val="auto"/>
                <w:spacing w:val="0"/>
                <w:w w:val="100"/>
                <w:kern w:val="2"/>
                <w:sz w:val="21"/>
                <w:szCs w:val="21"/>
                <w:lang w:val="en-US" w:eastAsia="zh-CN" w:bidi="ar-SA"/>
              </w:rPr>
            </w:pPr>
            <w:r>
              <w:rPr>
                <w:rFonts w:hint="eastAsia" w:ascii="宋体" w:hAnsi="宋体" w:eastAsia="宋体" w:cs="宋体"/>
                <w:b w:val="0"/>
                <w:i w:val="0"/>
                <w:caps w:val="0"/>
                <w:color w:val="auto"/>
                <w:spacing w:val="0"/>
                <w:w w:val="100"/>
                <w:sz w:val="21"/>
                <w:szCs w:val="21"/>
                <w:lang w:val="en-US" w:eastAsia="zh-CN"/>
              </w:rPr>
              <w:t>1卷</w:t>
            </w:r>
          </w:p>
        </w:tc>
      </w:tr>
    </w:tbl>
    <w:p w14:paraId="7CE29659">
      <w:pPr>
        <w:keepNext w:val="0"/>
        <w:keepLines w:val="0"/>
        <w:pageBreakBefore w:val="0"/>
        <w:kinsoku/>
        <w:wordWrap/>
        <w:overflowPunct/>
        <w:topLinePunct w:val="0"/>
        <w:autoSpaceDE/>
        <w:autoSpaceDN/>
        <w:bidi w:val="0"/>
        <w:snapToGrid w:val="0"/>
        <w:spacing w:line="440" w:lineRule="exact"/>
        <w:ind w:left="0" w:leftChars="0"/>
        <w:textAlignment w:val="auto"/>
        <w:rPr>
          <w:rFonts w:hint="eastAsia" w:ascii="宋体" w:hAnsi="宋体" w:eastAsia="宋体" w:cs="宋体"/>
          <w:b/>
          <w:bCs/>
          <w:color w:val="auto"/>
          <w:sz w:val="21"/>
          <w:szCs w:val="21"/>
          <w:highlight w:val="none"/>
        </w:rPr>
      </w:pPr>
    </w:p>
    <w:p w14:paraId="1BBE4C9E">
      <w:pPr>
        <w:keepNext w:val="0"/>
        <w:keepLines w:val="0"/>
        <w:pageBreakBefore w:val="0"/>
        <w:kinsoku/>
        <w:wordWrap/>
        <w:overflowPunct/>
        <w:topLinePunct w:val="0"/>
        <w:autoSpaceDE/>
        <w:autoSpaceDN/>
        <w:bidi w:val="0"/>
        <w:snapToGrid w:val="0"/>
        <w:spacing w:line="440" w:lineRule="exact"/>
        <w:ind w:left="0" w:left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检验依据</w:t>
      </w:r>
    </w:p>
    <w:p w14:paraId="7F968D2D">
      <w:pPr>
        <w:keepNext w:val="0"/>
        <w:keepLines w:val="0"/>
        <w:pageBreakBefore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表2 聚乙烯吹塑农用地面覆盖薄膜</w:t>
      </w:r>
      <w:r>
        <w:rPr>
          <w:rFonts w:hint="eastAsia" w:ascii="宋体" w:hAnsi="宋体" w:eastAsia="宋体" w:cs="宋体"/>
          <w:color w:val="auto"/>
          <w:kern w:val="2"/>
          <w:sz w:val="21"/>
          <w:szCs w:val="21"/>
          <w:highlight w:val="none"/>
          <w:lang w:val="en-US" w:eastAsia="zh-CN" w:bidi="ar-SA"/>
        </w:rPr>
        <w:t>检验项目</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4033"/>
        <w:gridCol w:w="3662"/>
      </w:tblGrid>
      <w:tr w14:paraId="195E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noWrap w:val="0"/>
            <w:vAlign w:val="center"/>
          </w:tcPr>
          <w:p w14:paraId="655FFE56">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033" w:type="dxa"/>
            <w:noWrap w:val="0"/>
            <w:vAlign w:val="center"/>
          </w:tcPr>
          <w:p w14:paraId="42342789">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检验项目</w:t>
            </w:r>
          </w:p>
        </w:tc>
        <w:tc>
          <w:tcPr>
            <w:tcW w:w="3662" w:type="dxa"/>
            <w:noWrap w:val="0"/>
            <w:vAlign w:val="center"/>
          </w:tcPr>
          <w:p w14:paraId="449692FB">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w:t>
            </w:r>
          </w:p>
        </w:tc>
      </w:tr>
      <w:tr w14:paraId="38680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1B74D495">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4033" w:type="dxa"/>
            <w:shd w:val="clear" w:color="auto" w:fill="auto"/>
            <w:noWrap w:val="0"/>
            <w:vAlign w:val="center"/>
          </w:tcPr>
          <w:p w14:paraId="3028865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厚度和厚度偏差</w:t>
            </w:r>
          </w:p>
        </w:tc>
        <w:tc>
          <w:tcPr>
            <w:tcW w:w="3662" w:type="dxa"/>
            <w:noWrap w:val="0"/>
            <w:vAlign w:val="center"/>
          </w:tcPr>
          <w:p w14:paraId="6B3913E3">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GB/T 6672-2001</w:t>
            </w:r>
          </w:p>
        </w:tc>
      </w:tr>
      <w:tr w14:paraId="333D2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17A0AE39">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4033" w:type="dxa"/>
            <w:shd w:val="clear" w:color="auto" w:fill="auto"/>
            <w:noWrap w:val="0"/>
            <w:vAlign w:val="center"/>
          </w:tcPr>
          <w:p w14:paraId="7E011D8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宽度极限偏差</w:t>
            </w:r>
          </w:p>
        </w:tc>
        <w:tc>
          <w:tcPr>
            <w:tcW w:w="3662" w:type="dxa"/>
            <w:noWrap w:val="0"/>
            <w:vAlign w:val="center"/>
          </w:tcPr>
          <w:p w14:paraId="7092E6D9">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GB/T 6673-2001</w:t>
            </w:r>
          </w:p>
        </w:tc>
      </w:tr>
      <w:tr w14:paraId="02552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076E0C12">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4033" w:type="dxa"/>
            <w:shd w:val="clear" w:color="auto" w:fill="auto"/>
            <w:noWrap w:val="0"/>
            <w:vAlign w:val="center"/>
          </w:tcPr>
          <w:p w14:paraId="6AF3AD8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直角撕裂负荷</w:t>
            </w:r>
          </w:p>
        </w:tc>
        <w:tc>
          <w:tcPr>
            <w:tcW w:w="3662" w:type="dxa"/>
            <w:shd w:val="clear" w:color="auto" w:fill="auto"/>
            <w:noWrap w:val="0"/>
            <w:vAlign w:val="center"/>
          </w:tcPr>
          <w:p w14:paraId="2758DBF0">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QB/T 1130-1991</w:t>
            </w:r>
          </w:p>
        </w:tc>
      </w:tr>
      <w:tr w14:paraId="3D05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1A535DB1">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4033" w:type="dxa"/>
            <w:shd w:val="clear" w:color="auto" w:fill="auto"/>
            <w:noWrap w:val="0"/>
            <w:vAlign w:val="center"/>
          </w:tcPr>
          <w:p w14:paraId="08CBDB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拉伸负荷</w:t>
            </w:r>
          </w:p>
        </w:tc>
        <w:tc>
          <w:tcPr>
            <w:tcW w:w="3662" w:type="dxa"/>
            <w:shd w:val="clear" w:color="auto" w:fill="auto"/>
            <w:noWrap w:val="0"/>
            <w:vAlign w:val="center"/>
          </w:tcPr>
          <w:p w14:paraId="0881F122">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GB/T 1040.1-2006</w:t>
            </w:r>
          </w:p>
          <w:p w14:paraId="3299BBC7">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GB/T 1040.3-2006</w:t>
            </w:r>
          </w:p>
        </w:tc>
      </w:tr>
      <w:tr w14:paraId="11B25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608D91DC">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4033" w:type="dxa"/>
            <w:shd w:val="clear" w:color="auto" w:fill="auto"/>
            <w:noWrap w:val="0"/>
            <w:vAlign w:val="center"/>
          </w:tcPr>
          <w:p w14:paraId="4EACD0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断裂标称应变</w:t>
            </w:r>
          </w:p>
        </w:tc>
        <w:tc>
          <w:tcPr>
            <w:tcW w:w="3662" w:type="dxa"/>
            <w:shd w:val="clear" w:color="auto" w:fill="auto"/>
            <w:noWrap w:val="0"/>
            <w:vAlign w:val="center"/>
          </w:tcPr>
          <w:p w14:paraId="2C14D9C9">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GB/T 1040.1-2006</w:t>
            </w:r>
          </w:p>
          <w:p w14:paraId="0625EE66">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GB/T 1040.3-2006</w:t>
            </w:r>
          </w:p>
        </w:tc>
      </w:tr>
    </w:tbl>
    <w:p w14:paraId="213EA78E">
      <w:pPr>
        <w:keepNext w:val="0"/>
        <w:keepLines w:val="0"/>
        <w:pageBreakBefore w:val="0"/>
        <w:kinsoku/>
        <w:wordWrap/>
        <w:overflowPunct/>
        <w:topLinePunct w:val="0"/>
        <w:autoSpaceDE/>
        <w:autoSpaceDN/>
        <w:bidi w:val="0"/>
        <w:spacing w:line="440" w:lineRule="exact"/>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表3 </w:t>
      </w:r>
      <w:r>
        <w:rPr>
          <w:rFonts w:hint="eastAsia" w:ascii="宋体" w:hAnsi="宋体" w:eastAsia="宋体" w:cs="宋体"/>
          <w:i w:val="0"/>
          <w:iCs w:val="0"/>
          <w:color w:val="000000"/>
          <w:kern w:val="0"/>
          <w:sz w:val="21"/>
          <w:szCs w:val="21"/>
          <w:u w:val="none"/>
          <w:lang w:val="en-US" w:eastAsia="zh-CN" w:bidi="ar"/>
        </w:rPr>
        <w:t>全生物降解农用地面覆盖薄膜</w:t>
      </w:r>
      <w:r>
        <w:rPr>
          <w:rFonts w:hint="eastAsia" w:ascii="宋体" w:hAnsi="宋体" w:eastAsia="宋体" w:cs="宋体"/>
          <w:color w:val="auto"/>
          <w:kern w:val="2"/>
          <w:sz w:val="21"/>
          <w:szCs w:val="21"/>
          <w:highlight w:val="none"/>
          <w:lang w:val="en-US" w:eastAsia="zh-CN" w:bidi="ar-SA"/>
        </w:rPr>
        <w:t>检验项目</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2"/>
        <w:gridCol w:w="4033"/>
        <w:gridCol w:w="3662"/>
      </w:tblGrid>
      <w:tr w14:paraId="1FC1D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noWrap w:val="0"/>
            <w:vAlign w:val="center"/>
          </w:tcPr>
          <w:p w14:paraId="569358C0">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033" w:type="dxa"/>
            <w:noWrap w:val="0"/>
            <w:vAlign w:val="center"/>
          </w:tcPr>
          <w:p w14:paraId="4FB620E8">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检验项目</w:t>
            </w:r>
          </w:p>
        </w:tc>
        <w:tc>
          <w:tcPr>
            <w:tcW w:w="3662" w:type="dxa"/>
            <w:noWrap w:val="0"/>
            <w:vAlign w:val="center"/>
          </w:tcPr>
          <w:p w14:paraId="0EC58BA0">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检验方法</w:t>
            </w:r>
          </w:p>
        </w:tc>
      </w:tr>
      <w:tr w14:paraId="4154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619D8AC1">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4033" w:type="dxa"/>
            <w:shd w:val="clear" w:color="auto" w:fill="auto"/>
            <w:noWrap w:val="0"/>
            <w:vAlign w:val="center"/>
          </w:tcPr>
          <w:p w14:paraId="0DFA50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厚度及偏差</w:t>
            </w:r>
          </w:p>
        </w:tc>
        <w:tc>
          <w:tcPr>
            <w:tcW w:w="3662" w:type="dxa"/>
            <w:noWrap w:val="0"/>
            <w:vAlign w:val="center"/>
          </w:tcPr>
          <w:p w14:paraId="5BCC3E44">
            <w:pPr>
              <w:pStyle w:val="4"/>
              <w:ind w:firstLine="1050" w:firstLineChars="500"/>
              <w:rPr>
                <w:rFonts w:hint="eastAsia" w:ascii="宋体" w:hAnsi="宋体" w:eastAsia="宋体" w:cs="宋体"/>
                <w:color w:val="auto"/>
                <w:sz w:val="21"/>
                <w:szCs w:val="21"/>
              </w:rPr>
            </w:pPr>
            <w:r>
              <w:rPr>
                <w:rFonts w:hint="eastAsia" w:ascii="宋体" w:hAnsi="宋体" w:eastAsia="宋体" w:cs="宋体"/>
                <w:color w:val="auto"/>
                <w:sz w:val="21"/>
                <w:szCs w:val="21"/>
              </w:rPr>
              <w:t>GB/T 6672-2001</w:t>
            </w:r>
          </w:p>
        </w:tc>
      </w:tr>
      <w:tr w14:paraId="2055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4468A4C8">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4033" w:type="dxa"/>
            <w:shd w:val="clear" w:color="auto" w:fill="auto"/>
            <w:noWrap w:val="0"/>
            <w:vAlign w:val="center"/>
          </w:tcPr>
          <w:p w14:paraId="6073C0A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宽度极限偏差</w:t>
            </w:r>
          </w:p>
        </w:tc>
        <w:tc>
          <w:tcPr>
            <w:tcW w:w="3662" w:type="dxa"/>
            <w:noWrap w:val="0"/>
            <w:vAlign w:val="center"/>
          </w:tcPr>
          <w:p w14:paraId="23507618">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GB/T 6673-2001</w:t>
            </w:r>
          </w:p>
        </w:tc>
      </w:tr>
      <w:tr w14:paraId="24B8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2E23EB60">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4033" w:type="dxa"/>
            <w:shd w:val="clear" w:color="auto" w:fill="auto"/>
            <w:noWrap w:val="0"/>
            <w:vAlign w:val="center"/>
          </w:tcPr>
          <w:p w14:paraId="5B7566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拉伸负荷</w:t>
            </w:r>
          </w:p>
        </w:tc>
        <w:tc>
          <w:tcPr>
            <w:tcW w:w="3662" w:type="dxa"/>
            <w:shd w:val="clear" w:color="auto" w:fill="auto"/>
            <w:noWrap w:val="0"/>
            <w:vAlign w:val="center"/>
          </w:tcPr>
          <w:p w14:paraId="73A07C22">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GB/T 35795-2017</w:t>
            </w:r>
          </w:p>
        </w:tc>
      </w:tr>
      <w:tr w14:paraId="73FC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2E1C47DD">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4033" w:type="dxa"/>
            <w:shd w:val="clear" w:color="auto" w:fill="auto"/>
            <w:noWrap w:val="0"/>
            <w:vAlign w:val="center"/>
          </w:tcPr>
          <w:p w14:paraId="07EA3A3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断裂标称应变</w:t>
            </w:r>
          </w:p>
        </w:tc>
        <w:tc>
          <w:tcPr>
            <w:tcW w:w="3662" w:type="dxa"/>
            <w:shd w:val="clear" w:color="auto" w:fill="auto"/>
            <w:noWrap w:val="0"/>
            <w:vAlign w:val="center"/>
          </w:tcPr>
          <w:p w14:paraId="0E22E9B0">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GB/T 1040.3-2006</w:t>
            </w:r>
          </w:p>
        </w:tc>
      </w:tr>
      <w:tr w14:paraId="74FEF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2" w:type="dxa"/>
            <w:shd w:val="clear" w:color="auto" w:fill="auto"/>
            <w:noWrap w:val="0"/>
            <w:vAlign w:val="center"/>
          </w:tcPr>
          <w:p w14:paraId="2651D094">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4033" w:type="dxa"/>
            <w:shd w:val="clear" w:color="auto" w:fill="auto"/>
            <w:noWrap w:val="0"/>
            <w:vAlign w:val="center"/>
          </w:tcPr>
          <w:p w14:paraId="5E879D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直角撕裂负荷</w:t>
            </w:r>
          </w:p>
        </w:tc>
        <w:tc>
          <w:tcPr>
            <w:tcW w:w="3662" w:type="dxa"/>
            <w:shd w:val="clear" w:color="auto" w:fill="auto"/>
            <w:noWrap w:val="0"/>
            <w:vAlign w:val="center"/>
          </w:tcPr>
          <w:p w14:paraId="402E8304">
            <w:pPr>
              <w:keepNext w:val="0"/>
              <w:keepLines w:val="0"/>
              <w:pageBreakBefore w:val="0"/>
              <w:kinsoku/>
              <w:wordWrap/>
              <w:overflowPunct/>
              <w:topLinePunct w:val="0"/>
              <w:autoSpaceDE/>
              <w:autoSpaceDN/>
              <w:bidi w:val="0"/>
              <w:snapToGrid w:val="0"/>
              <w:spacing w:line="240" w:lineRule="auto"/>
              <w:jc w:val="center"/>
              <w:textAlignment w:val="auto"/>
              <w:rPr>
                <w:rFonts w:hint="eastAsia" w:ascii="宋体" w:hAnsi="宋体" w:eastAsia="宋体" w:cs="宋体"/>
                <w:i w:val="0"/>
                <w:iCs w:val="0"/>
                <w:color w:val="auto"/>
                <w:kern w:val="2"/>
                <w:sz w:val="21"/>
                <w:szCs w:val="21"/>
                <w:u w:val="none"/>
                <w:lang w:val="en-US" w:eastAsia="zh-CN" w:bidi="ar-SA"/>
              </w:rPr>
            </w:pPr>
            <w:r>
              <w:rPr>
                <w:rFonts w:hint="eastAsia" w:ascii="宋体" w:hAnsi="宋体" w:eastAsia="宋体" w:cs="宋体"/>
                <w:i w:val="0"/>
                <w:iCs w:val="0"/>
                <w:color w:val="auto"/>
                <w:kern w:val="2"/>
                <w:sz w:val="21"/>
                <w:szCs w:val="21"/>
                <w:u w:val="none"/>
                <w:lang w:val="en-US" w:eastAsia="zh-CN" w:bidi="ar-SA"/>
              </w:rPr>
              <w:t>QB/T 1130-1991</w:t>
            </w:r>
          </w:p>
        </w:tc>
      </w:tr>
    </w:tbl>
    <w:p w14:paraId="4325B26D">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执行企业标准、团体标准、地方标准的产品，检验项目参照上述内容执行。</w:t>
      </w:r>
    </w:p>
    <w:p w14:paraId="7A0F4749">
      <w:pPr>
        <w:keepNext w:val="0"/>
        <w:keepLines w:val="0"/>
        <w:pageBreakBefore w:val="0"/>
        <w:widowControl w:val="0"/>
        <w:kinsoku/>
        <w:wordWrap/>
        <w:overflowPunct/>
        <w:topLinePunct w:val="0"/>
        <w:autoSpaceDE/>
        <w:autoSpaceDN/>
        <w:bidi w:val="0"/>
        <w:snapToGrid w:val="0"/>
        <w:spacing w:line="440" w:lineRule="exact"/>
        <w:ind w:left="0" w:leftChars="0" w:firstLine="359" w:firstLineChars="171"/>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凡是注日期的文件，其随后所有的修改单（不包括勘误的内容）或修订版不适用于本细则。凡是不注日期的文件，其最新版本适用于本细则。</w:t>
      </w:r>
    </w:p>
    <w:p w14:paraId="090AD989">
      <w:pPr>
        <w:keepNext w:val="0"/>
        <w:keepLines w:val="0"/>
        <w:pageBreakBefore w:val="0"/>
        <w:widowControl w:val="0"/>
        <w:kinsoku/>
        <w:wordWrap/>
        <w:overflowPunct/>
        <w:topLinePunct w:val="0"/>
        <w:autoSpaceDE/>
        <w:autoSpaceDN/>
        <w:bidi w:val="0"/>
        <w:snapToGrid w:val="0"/>
        <w:spacing w:line="440" w:lineRule="exact"/>
        <w:ind w:left="0" w:leftChars="0" w:firstLine="359" w:firstLineChars="171"/>
        <w:textAlignment w:val="auto"/>
        <w:rPr>
          <w:rFonts w:hint="eastAsia" w:ascii="宋体" w:hAnsi="宋体" w:eastAsia="宋体" w:cs="宋体"/>
          <w:color w:val="auto"/>
          <w:sz w:val="21"/>
          <w:szCs w:val="21"/>
          <w:highlight w:val="none"/>
        </w:rPr>
      </w:pPr>
    </w:p>
    <w:p w14:paraId="00EA600B">
      <w:pPr>
        <w:keepNext w:val="0"/>
        <w:keepLines w:val="0"/>
        <w:pageBreakBefore w:val="0"/>
        <w:widowControl w:val="0"/>
        <w:kinsoku/>
        <w:wordWrap/>
        <w:overflowPunct/>
        <w:topLinePunct w:val="0"/>
        <w:autoSpaceDE/>
        <w:autoSpaceDN/>
        <w:bidi w:val="0"/>
        <w:spacing w:line="440" w:lineRule="exact"/>
        <w:ind w:left="0" w:leftChars="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 判定规则</w:t>
      </w:r>
    </w:p>
    <w:p w14:paraId="5D68EFBD">
      <w:pPr>
        <w:keepNext w:val="0"/>
        <w:keepLines w:val="0"/>
        <w:pageBreakBefore w:val="0"/>
        <w:widowControl w:val="0"/>
        <w:kinsoku/>
        <w:wordWrap/>
        <w:overflowPunct/>
        <w:topLinePunct w:val="0"/>
        <w:autoSpaceDE/>
        <w:autoSpaceDN/>
        <w:bidi w:val="0"/>
        <w:snapToGrid w:val="0"/>
        <w:spacing w:line="440" w:lineRule="exact"/>
        <w:ind w:left="0" w:left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3.1依据标准</w:t>
      </w:r>
      <w:bookmarkStart w:id="0" w:name="_Hlk32567754"/>
    </w:p>
    <w:p w14:paraId="7B4A6531">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GB 13735-2017 聚乙烯吹塑农用地面覆盖薄膜</w:t>
      </w:r>
    </w:p>
    <w:p w14:paraId="1C7765E1">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000000"/>
          <w:kern w:val="0"/>
          <w:sz w:val="21"/>
          <w:szCs w:val="21"/>
          <w:u w:val="none"/>
          <w:lang w:val="en-US" w:eastAsia="zh-CN" w:bidi="ar"/>
        </w:rPr>
        <w:t>GB/T 35795-2017 全生物降解农用地面覆盖薄膜</w:t>
      </w:r>
    </w:p>
    <w:p w14:paraId="511F8BA3">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现行有效的企业标准、团体标准、地方标准及产品明示质量要求</w:t>
      </w:r>
    </w:p>
    <w:bookmarkEnd w:id="0"/>
    <w:p w14:paraId="0C93FC58">
      <w:pPr>
        <w:keepNext w:val="0"/>
        <w:keepLines w:val="0"/>
        <w:pageBreakBefore w:val="0"/>
        <w:widowControl w:val="0"/>
        <w:kinsoku/>
        <w:wordWrap/>
        <w:overflowPunct/>
        <w:topLinePunct w:val="0"/>
        <w:autoSpaceDE/>
        <w:autoSpaceDN/>
        <w:bidi w:val="0"/>
        <w:snapToGrid w:val="0"/>
        <w:spacing w:line="440" w:lineRule="exact"/>
        <w:ind w:left="0" w:left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3.2判定原则</w:t>
      </w:r>
    </w:p>
    <w:p w14:paraId="0844A46A">
      <w:pPr>
        <w:keepNext w:val="0"/>
        <w:keepLines w:val="0"/>
        <w:pageBreakBefore w:val="0"/>
        <w:widowControl w:val="0"/>
        <w:kinsoku/>
        <w:wordWrap/>
        <w:overflowPunct/>
        <w:topLinePunct w:val="0"/>
        <w:autoSpaceDE/>
        <w:autoSpaceDN/>
        <w:bidi w:val="0"/>
        <w:snapToGrid w:val="0"/>
        <w:spacing w:line="440" w:lineRule="exact"/>
        <w:ind w:left="0" w:leftChars="0" w:firstLine="420" w:firstLineChars="200"/>
        <w:textAlignment w:val="auto"/>
        <w:rPr>
          <w:rFonts w:hint="eastAsia" w:ascii="宋体" w:hAnsi="宋体" w:eastAsia="宋体" w:cs="宋体"/>
          <w:color w:val="auto"/>
          <w:kern w:val="2"/>
          <w:sz w:val="21"/>
          <w:szCs w:val="21"/>
          <w:highlight w:val="none"/>
          <w:lang w:val="en-US" w:eastAsia="zh-CN" w:bidi="ar-SA"/>
        </w:rPr>
      </w:pPr>
      <w:bookmarkStart w:id="1" w:name="_Hlk33514746"/>
      <w:r>
        <w:rPr>
          <w:rFonts w:hint="eastAsia" w:ascii="宋体" w:hAnsi="宋体" w:eastAsia="宋体" w:cs="宋体"/>
          <w:color w:val="auto"/>
          <w:kern w:val="2"/>
          <w:sz w:val="21"/>
          <w:szCs w:val="21"/>
          <w:highlight w:val="none"/>
          <w:lang w:val="en-US" w:eastAsia="zh-CN" w:bidi="ar-SA"/>
        </w:rPr>
        <w:t>经检验，检验项目全部合格，判定为被抽查产品所检项目未发现不合格；检验项目中任一项或一项以上不合格，判定为被抽查产品不合格。</w:t>
      </w:r>
    </w:p>
    <w:p w14:paraId="0623097F">
      <w:pPr>
        <w:keepNext w:val="0"/>
        <w:keepLines w:val="0"/>
        <w:pageBreakBefore w:val="0"/>
        <w:widowControl w:val="0"/>
        <w:kinsoku/>
        <w:wordWrap/>
        <w:overflowPunct/>
        <w:topLinePunct w:val="0"/>
        <w:autoSpaceDE/>
        <w:autoSpaceDN/>
        <w:bidi w:val="0"/>
        <w:snapToGrid w:val="0"/>
        <w:spacing w:line="440" w:lineRule="exact"/>
        <w:ind w:left="0" w:leftChars="0"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若被检产品明示的质量要求高于本细则中检验项目依据的标准要求时，应按被检产品明示的质量要求判定。</w:t>
      </w:r>
    </w:p>
    <w:p w14:paraId="340E4CB4">
      <w:pPr>
        <w:keepNext w:val="0"/>
        <w:keepLines w:val="0"/>
        <w:pageBreakBefore w:val="0"/>
        <w:widowControl w:val="0"/>
        <w:kinsoku/>
        <w:wordWrap/>
        <w:overflowPunct/>
        <w:topLinePunct w:val="0"/>
        <w:autoSpaceDE/>
        <w:autoSpaceDN/>
        <w:bidi w:val="0"/>
        <w:snapToGrid w:val="0"/>
        <w:spacing w:line="440" w:lineRule="exact"/>
        <w:ind w:left="0" w:leftChars="0"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若被检产品明示的质量要求低于本细则中检验项目依据的强制性标准要求时，应按照强制性标准要求判定。</w:t>
      </w:r>
    </w:p>
    <w:p w14:paraId="45AD0B80">
      <w:pPr>
        <w:keepNext w:val="0"/>
        <w:keepLines w:val="0"/>
        <w:pageBreakBefore w:val="0"/>
        <w:widowControl w:val="0"/>
        <w:kinsoku/>
        <w:wordWrap/>
        <w:overflowPunct/>
        <w:topLinePunct w:val="0"/>
        <w:autoSpaceDE/>
        <w:autoSpaceDN/>
        <w:bidi w:val="0"/>
        <w:snapToGrid w:val="0"/>
        <w:spacing w:line="440" w:lineRule="exact"/>
        <w:ind w:left="0" w:leftChars="0"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若被检产品明示的质量要求低于或包含本细则中检验项目依据的推荐性标准要求时，应以被检产品明示的质量要求判定。</w:t>
      </w:r>
    </w:p>
    <w:p w14:paraId="5BB9C634">
      <w:pPr>
        <w:keepNext w:val="0"/>
        <w:keepLines w:val="0"/>
        <w:pageBreakBefore w:val="0"/>
        <w:widowControl w:val="0"/>
        <w:kinsoku/>
        <w:wordWrap/>
        <w:overflowPunct/>
        <w:topLinePunct w:val="0"/>
        <w:autoSpaceDE/>
        <w:autoSpaceDN/>
        <w:bidi w:val="0"/>
        <w:snapToGrid w:val="0"/>
        <w:spacing w:line="440" w:lineRule="exact"/>
        <w:ind w:left="0" w:leftChars="0"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若被检产品明示的质量要求缺少本细则中检验项目依据的强制性标准要求时，应按照强制性标准要求判定。</w:t>
      </w:r>
    </w:p>
    <w:p w14:paraId="0C07EBF4">
      <w:pPr>
        <w:keepNext w:val="0"/>
        <w:keepLines w:val="0"/>
        <w:pageBreakBefore w:val="0"/>
        <w:widowControl w:val="0"/>
        <w:kinsoku/>
        <w:wordWrap/>
        <w:overflowPunct/>
        <w:topLinePunct w:val="0"/>
        <w:autoSpaceDE/>
        <w:autoSpaceDN/>
        <w:bidi w:val="0"/>
        <w:snapToGrid w:val="0"/>
        <w:spacing w:line="440" w:lineRule="exact"/>
        <w:ind w:left="0" w:leftChars="0" w:firstLine="417" w:firstLineChars="199"/>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若被检产品明示的质量要求缺少本细则中检验项目依据的推荐性标准要求时，该项目不参与判定。</w:t>
      </w:r>
      <w:bookmarkEnd w:id="1"/>
      <w:bookmarkStart w:id="2" w:name="_GoBack"/>
      <w:bookmarkEnd w:id="2"/>
    </w:p>
    <w:p w14:paraId="39987C41"/>
    <w:sectPr>
      <w:headerReference r:id="rId3" w:type="default"/>
      <w:footerReference r:id="rId4" w:type="default"/>
      <w:footerReference r:id="rId5" w:type="even"/>
      <w:pgSz w:w="11906" w:h="16838"/>
      <w:pgMar w:top="1985" w:right="1474" w:bottom="1644" w:left="1474"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973A88">
    <w:pPr>
      <w:pStyle w:val="8"/>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4C5C94C6">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1E31F">
    <w:pPr>
      <w:pStyle w:val="8"/>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14:paraId="5450F985">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53354">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0MTY5ZWZkMWRiZTVmYTYzZTQ5MWFhZmRhZTBhMjEifQ=="/>
    <w:docVar w:name="KSO_WPS_MARK_KEY" w:val="87cac2fa-0a50-46e3-834d-f98d8c64d2fd"/>
  </w:docVars>
  <w:rsids>
    <w:rsidRoot w:val="00000000"/>
    <w:rsid w:val="00B47494"/>
    <w:rsid w:val="01090B26"/>
    <w:rsid w:val="01127559"/>
    <w:rsid w:val="012A6BDB"/>
    <w:rsid w:val="036A2E67"/>
    <w:rsid w:val="05151950"/>
    <w:rsid w:val="05412745"/>
    <w:rsid w:val="06D1542A"/>
    <w:rsid w:val="074A238C"/>
    <w:rsid w:val="078F7DD4"/>
    <w:rsid w:val="095D372A"/>
    <w:rsid w:val="0AB80DB3"/>
    <w:rsid w:val="0BC639A4"/>
    <w:rsid w:val="0C8E3A3C"/>
    <w:rsid w:val="0DD50CEF"/>
    <w:rsid w:val="0E5A609B"/>
    <w:rsid w:val="10944070"/>
    <w:rsid w:val="140636EF"/>
    <w:rsid w:val="14117786"/>
    <w:rsid w:val="14EC6584"/>
    <w:rsid w:val="15167ED2"/>
    <w:rsid w:val="160334C2"/>
    <w:rsid w:val="16684490"/>
    <w:rsid w:val="1A98775E"/>
    <w:rsid w:val="1C4F17AC"/>
    <w:rsid w:val="1C9978FC"/>
    <w:rsid w:val="1DE23265"/>
    <w:rsid w:val="1E7E37DC"/>
    <w:rsid w:val="1F5F3A9B"/>
    <w:rsid w:val="1F937941"/>
    <w:rsid w:val="203A06AF"/>
    <w:rsid w:val="23264FFC"/>
    <w:rsid w:val="240F76C7"/>
    <w:rsid w:val="25C053C3"/>
    <w:rsid w:val="25FA56E9"/>
    <w:rsid w:val="27084A19"/>
    <w:rsid w:val="28AF7842"/>
    <w:rsid w:val="2B17347C"/>
    <w:rsid w:val="2B5835D0"/>
    <w:rsid w:val="2C3562B0"/>
    <w:rsid w:val="2DED6B62"/>
    <w:rsid w:val="2EB03F9E"/>
    <w:rsid w:val="2ED56370"/>
    <w:rsid w:val="2F2457F2"/>
    <w:rsid w:val="2F67728E"/>
    <w:rsid w:val="2F6C3AD9"/>
    <w:rsid w:val="30CA215E"/>
    <w:rsid w:val="31E30F01"/>
    <w:rsid w:val="32B71A49"/>
    <w:rsid w:val="32BE45E3"/>
    <w:rsid w:val="330B1B18"/>
    <w:rsid w:val="35BB368A"/>
    <w:rsid w:val="36FE0D64"/>
    <w:rsid w:val="37175227"/>
    <w:rsid w:val="382043DD"/>
    <w:rsid w:val="38935966"/>
    <w:rsid w:val="3A2B0CF2"/>
    <w:rsid w:val="3A2C6A84"/>
    <w:rsid w:val="3BB014AF"/>
    <w:rsid w:val="3D3103CE"/>
    <w:rsid w:val="41B652BD"/>
    <w:rsid w:val="45625E73"/>
    <w:rsid w:val="45706678"/>
    <w:rsid w:val="459B31D0"/>
    <w:rsid w:val="46BA1434"/>
    <w:rsid w:val="49951C31"/>
    <w:rsid w:val="4D8D0F58"/>
    <w:rsid w:val="4F6A5955"/>
    <w:rsid w:val="4FA233AD"/>
    <w:rsid w:val="562F0A7F"/>
    <w:rsid w:val="5789732C"/>
    <w:rsid w:val="57BD6FD6"/>
    <w:rsid w:val="57E26993"/>
    <w:rsid w:val="58B81349"/>
    <w:rsid w:val="59D223B0"/>
    <w:rsid w:val="5F532BB0"/>
    <w:rsid w:val="610C2B17"/>
    <w:rsid w:val="661001E2"/>
    <w:rsid w:val="682E182A"/>
    <w:rsid w:val="6971712D"/>
    <w:rsid w:val="70A1703D"/>
    <w:rsid w:val="727F20FF"/>
    <w:rsid w:val="72D911C7"/>
    <w:rsid w:val="73E6383D"/>
    <w:rsid w:val="74744A68"/>
    <w:rsid w:val="76BB33B1"/>
    <w:rsid w:val="79264618"/>
    <w:rsid w:val="79AD749A"/>
    <w:rsid w:val="7B58479C"/>
    <w:rsid w:val="7B9A4DB4"/>
    <w:rsid w:val="7BFB64B0"/>
    <w:rsid w:val="7C8252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360" w:lineRule="auto"/>
      <w:jc w:val="center"/>
      <w:outlineLvl w:val="0"/>
    </w:pPr>
    <w:rPr>
      <w:b/>
      <w:kern w:val="44"/>
      <w:sz w:val="28"/>
      <w:szCs w:val="28"/>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table of authorities"/>
    <w:basedOn w:val="1"/>
    <w:next w:val="1"/>
    <w:autoRedefine/>
    <w:unhideWhenUsed/>
    <w:qFormat/>
    <w:uiPriority w:val="99"/>
    <w:pPr>
      <w:ind w:left="420" w:leftChars="200"/>
    </w:pPr>
  </w:style>
  <w:style w:type="paragraph" w:styleId="4">
    <w:name w:val="Normal Indent"/>
    <w:basedOn w:val="1"/>
    <w:qFormat/>
    <w:uiPriority w:val="99"/>
    <w:pPr>
      <w:autoSpaceDE/>
      <w:autoSpaceDN/>
      <w:adjustRightInd/>
      <w:ind w:firstLine="420"/>
      <w:jc w:val="both"/>
      <w:textAlignment w:val="auto"/>
    </w:pPr>
    <w:rPr>
      <w:rFonts w:ascii="Times New Roman"/>
      <w:kern w:val="2"/>
      <w:sz w:val="21"/>
    </w:rPr>
  </w:style>
  <w:style w:type="paragraph" w:styleId="5">
    <w:name w:val="Body Text"/>
    <w:basedOn w:val="1"/>
    <w:next w:val="6"/>
    <w:autoRedefine/>
    <w:qFormat/>
    <w:uiPriority w:val="0"/>
    <w:pPr>
      <w:widowControl w:val="0"/>
      <w:spacing w:after="120"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6">
    <w:name w:val="Body Text Indent"/>
    <w:basedOn w:val="1"/>
    <w:next w:val="1"/>
    <w:qFormat/>
    <w:uiPriority w:val="99"/>
    <w:pPr>
      <w:ind w:firstLine="480"/>
    </w:pPr>
    <w:rPr>
      <w:rFonts w:ascii="宋体" w:hAnsi="宋体" w:cs="宋体"/>
    </w:rPr>
  </w:style>
  <w:style w:type="paragraph" w:styleId="7">
    <w:name w:val="Plain Text"/>
    <w:basedOn w:val="1"/>
    <w:autoRedefine/>
    <w:qFormat/>
    <w:uiPriority w:val="0"/>
    <w:rPr>
      <w:rFonts w:ascii="宋体" w:hAnsi="Courier New"/>
    </w:rPr>
  </w:style>
  <w:style w:type="paragraph" w:styleId="8">
    <w:name w:val="footer"/>
    <w:basedOn w:val="1"/>
    <w:autoRedefine/>
    <w:unhideWhenUsed/>
    <w:qFormat/>
    <w:uiPriority w:val="99"/>
    <w:pPr>
      <w:tabs>
        <w:tab w:val="center" w:pos="4153"/>
        <w:tab w:val="right" w:pos="8306"/>
      </w:tabs>
      <w:snapToGrid w:val="0"/>
      <w:jc w:val="left"/>
    </w:pPr>
    <w:rPr>
      <w:sz w:val="18"/>
      <w:szCs w:val="18"/>
    </w:rPr>
  </w:style>
  <w:style w:type="paragraph" w:styleId="9">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First Indent"/>
    <w:basedOn w:val="5"/>
    <w:next w:val="1"/>
    <w:qFormat/>
    <w:uiPriority w:val="99"/>
    <w:pPr>
      <w:ind w:firstLine="420" w:firstLineChars="100"/>
    </w:pPr>
  </w:style>
  <w:style w:type="character" w:styleId="13">
    <w:name w:val="page number"/>
    <w:basedOn w:val="12"/>
    <w:autoRedefine/>
    <w:qFormat/>
    <w:uiPriority w:val="0"/>
  </w:style>
  <w:style w:type="paragraph" w:customStyle="1" w:styleId="14">
    <w:name w:val="_Style 1"/>
    <w:basedOn w:val="1"/>
    <w:autoRedefine/>
    <w:qFormat/>
    <w:uiPriority w:val="0"/>
    <w:pPr>
      <w:spacing w:line="481" w:lineRule="atLeast"/>
      <w:ind w:firstLine="623"/>
      <w:textAlignment w:val="baseline"/>
    </w:pPr>
    <w:rPr>
      <w:rFonts w:ascii="Times New Roman" w:hAnsi="Times New Roman" w:eastAsia="仿宋_GB2312"/>
      <w:color w:val="000000"/>
      <w:sz w:val="3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770</Words>
  <Characters>942</Characters>
  <Lines>0</Lines>
  <Paragraphs>0</Paragraphs>
  <TotalTime>0</TotalTime>
  <ScaleCrop>false</ScaleCrop>
  <LinksUpToDate>false</LinksUpToDate>
  <CharactersWithSpaces>964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2023-06-20T08:34:00Z</dcterms:created>
  <dc:creator>Administrator</dc:creator>
  <cp:lastModifiedBy>.</cp:lastModifiedBy>
  <dcterms:modified xsi:type="dcterms:W3CDTF">2026-04-15T01:07:59Z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8969FC53EF2945C6AE63FE94B1CCA43D_13</vt:lpwstr>
  </property>
  <property fmtid="{D5CDD505-2E9C-101B-9397-08002B2CF9AE}" pid="4" name="KSOTemplateDocerSaveRecord">
    <vt:lpwstr>eyJoZGlkIjoiNzc0MTY5ZWZkMWRiZTVmYTYzZTQ5MWFhZmRhZTBhMjEiLCJ1c2VySWQiOiI1NDMxMTk2OTYifQ==</vt:lpwstr>
  </property>
</Properties>
</file>