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kern w:val="2"/>
          <w:sz w:val="44"/>
          <w:szCs w:val="44"/>
          <w:lang w:val="en-US" w:eastAsia="zh-CN"/>
        </w:rPr>
      </w:pPr>
      <w:bookmarkStart w:id="0" w:name="_Hlk54713119"/>
      <w:bookmarkStart w:id="29" w:name="_GoBack"/>
      <w:r>
        <w:rPr>
          <w:rFonts w:hint="eastAsia" w:ascii="方正小标宋简体" w:hAnsi="方正小标宋简体" w:eastAsia="方正小标宋简体" w:cs="方正小标宋简体"/>
          <w:kern w:val="2"/>
          <w:sz w:val="44"/>
          <w:szCs w:val="44"/>
          <w:lang w:val="en-US" w:eastAsia="zh-CN"/>
        </w:rPr>
        <w:t>伊金霍洛旗农牧和水利局关于《伊金霍洛旗规范和加强设施农业用地管理实施方案</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kern w:val="2"/>
          <w:sz w:val="44"/>
          <w:szCs w:val="44"/>
          <w:lang w:val="en-US" w:eastAsia="zh-CN"/>
        </w:rPr>
      </w:pPr>
      <w:r>
        <w:rPr>
          <w:rFonts w:hint="eastAsia" w:ascii="方正小标宋简体" w:hAnsi="方正小标宋简体" w:eastAsia="方正小标宋简体" w:cs="方正小标宋简体"/>
          <w:kern w:val="2"/>
          <w:sz w:val="44"/>
          <w:szCs w:val="44"/>
          <w:lang w:val="en-US" w:eastAsia="zh-CN"/>
        </w:rPr>
        <w:t>（征求意见稿）》公开征求意见的通知</w:t>
      </w:r>
    </w:p>
    <w:bookmarkEnd w:id="29"/>
    <w:p>
      <w:pPr>
        <w:spacing w:line="360" w:lineRule="auto"/>
        <w:ind w:firstLine="640" w:firstLineChars="200"/>
        <w:rPr>
          <w:rFonts w:hint="eastAsia" w:ascii="仿宋" w:hAnsi="仿宋" w:eastAsia="仿宋"/>
          <w:sz w:val="32"/>
          <w:szCs w:val="32"/>
          <w:lang w:val="en-US" w:eastAsia="zh-CN"/>
        </w:rPr>
      </w:pPr>
    </w:p>
    <w:p>
      <w:pPr>
        <w:spacing w:line="360" w:lineRule="auto"/>
        <w:rPr>
          <w:rFonts w:hint="eastAsia" w:ascii="仿宋" w:hAnsi="仿宋" w:eastAsia="仿宋"/>
          <w:sz w:val="32"/>
          <w:szCs w:val="32"/>
          <w:lang w:val="en-US" w:eastAsia="zh-CN"/>
        </w:rPr>
      </w:pPr>
      <w:r>
        <w:rPr>
          <w:rFonts w:hint="eastAsia" w:ascii="仿宋" w:hAnsi="仿宋" w:eastAsia="仿宋"/>
          <w:sz w:val="32"/>
          <w:szCs w:val="32"/>
          <w:lang w:val="en-US" w:eastAsia="zh-CN"/>
        </w:rPr>
        <w:t>各镇人民政府，旗人民政府各相关部门，各直属单位，各园区，各相关企事业单位:</w:t>
      </w:r>
    </w:p>
    <w:p>
      <w:pPr>
        <w:spacing w:line="360" w:lineRule="auto"/>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按照旗人民政府的要求，请就《伊金霍洛旗规范和加强设施农业用地管理实施方案（征求意见稿）》提出意见建议，务必于2024年8月10日下班前反馈至伊金霍洛旗农牧和水利局。</w:t>
      </w:r>
    </w:p>
    <w:p>
      <w:pPr>
        <w:spacing w:line="360" w:lineRule="auto"/>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联系人：贺勇鹏</w:t>
      </w:r>
    </w:p>
    <w:p>
      <w:pPr>
        <w:spacing w:line="360" w:lineRule="auto"/>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电  话：15047350704（微信同号）</w:t>
      </w:r>
    </w:p>
    <w:p>
      <w:pPr>
        <w:spacing w:line="360" w:lineRule="auto"/>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邮  箱：277313914@qq.com</w:t>
      </w:r>
    </w:p>
    <w:p>
      <w:pPr>
        <w:spacing w:line="360" w:lineRule="auto"/>
        <w:ind w:firstLine="640" w:firstLineChars="200"/>
        <w:rPr>
          <w:rFonts w:hint="eastAsia" w:ascii="仿宋" w:hAnsi="仿宋" w:eastAsia="仿宋"/>
          <w:sz w:val="32"/>
          <w:szCs w:val="32"/>
          <w:lang w:eastAsia="zh-CN"/>
        </w:rPr>
      </w:pPr>
    </w:p>
    <w:p>
      <w:pPr>
        <w:spacing w:line="360" w:lineRule="auto"/>
        <w:ind w:firstLine="640" w:firstLineChars="200"/>
        <w:rPr>
          <w:rFonts w:hint="default" w:ascii="仿宋_GB2312" w:hAnsi="仿宋_GB2312" w:cs="仿宋_GB2312"/>
          <w:kern w:val="2"/>
          <w:sz w:val="32"/>
          <w:szCs w:val="32"/>
          <w:lang w:val="en-US" w:eastAsia="zh-CN"/>
        </w:rPr>
      </w:pPr>
      <w:r>
        <w:rPr>
          <w:rFonts w:hint="eastAsia" w:ascii="仿宋" w:hAnsi="仿宋" w:eastAsia="仿宋"/>
          <w:sz w:val="32"/>
          <w:szCs w:val="32"/>
          <w:lang w:val="en-US" w:eastAsia="zh-CN"/>
        </w:rPr>
        <w:t>附件：《伊金霍洛旗规范和加强设施农业用地管理实施方案（征求意见稿）》</w:t>
      </w:r>
      <w:r>
        <w:rPr>
          <w:rFonts w:hint="eastAsia" w:ascii="仿宋_GB2312" w:hAnsi="仿宋_GB2312" w:cs="仿宋_GB2312"/>
          <w:kern w:val="2"/>
          <w:sz w:val="32"/>
          <w:szCs w:val="32"/>
          <w:lang w:val="en-US" w:eastAsia="zh-CN"/>
        </w:rPr>
        <w:t xml:space="preserve">     </w:t>
      </w:r>
    </w:p>
    <w:p>
      <w:pPr>
        <w:spacing w:line="360" w:lineRule="auto"/>
        <w:ind w:firstLine="640" w:firstLineChars="200"/>
        <w:rPr>
          <w:rFonts w:hint="eastAsia" w:ascii="仿宋" w:hAnsi="仿宋" w:eastAsia="仿宋"/>
          <w:sz w:val="32"/>
          <w:szCs w:val="32"/>
          <w:lang w:val="en-US" w:eastAsia="zh-CN"/>
        </w:rPr>
      </w:pPr>
    </w:p>
    <w:p>
      <w:pPr>
        <w:spacing w:line="360" w:lineRule="auto"/>
        <w:ind w:firstLine="640" w:firstLineChars="200"/>
        <w:rPr>
          <w:rFonts w:hint="eastAsia" w:ascii="仿宋" w:hAnsi="仿宋" w:eastAsia="仿宋"/>
          <w:sz w:val="32"/>
          <w:szCs w:val="32"/>
          <w:lang w:val="en-US" w:eastAsia="zh-CN"/>
        </w:rPr>
      </w:pPr>
    </w:p>
    <w:p>
      <w:pPr>
        <w:spacing w:line="360" w:lineRule="auto"/>
        <w:ind w:firstLine="4480" w:firstLineChars="1400"/>
        <w:rPr>
          <w:rFonts w:hint="eastAsia" w:ascii="仿宋" w:hAnsi="仿宋" w:eastAsia="仿宋"/>
          <w:sz w:val="32"/>
          <w:szCs w:val="32"/>
          <w:lang w:val="en-US" w:eastAsia="zh-CN"/>
        </w:rPr>
      </w:pPr>
      <w:r>
        <w:rPr>
          <w:rFonts w:hint="eastAsia" w:ascii="仿宋" w:hAnsi="仿宋" w:eastAsia="仿宋"/>
          <w:sz w:val="32"/>
          <w:szCs w:val="32"/>
          <w:lang w:val="en-US" w:eastAsia="zh-CN"/>
        </w:rPr>
        <w:t>伊金霍洛旗农牧和水利局</w:t>
      </w:r>
    </w:p>
    <w:p>
      <w:pPr>
        <w:spacing w:line="360" w:lineRule="auto"/>
        <w:ind w:firstLine="640" w:firstLineChars="200"/>
        <w:rPr>
          <w:rFonts w:hint="eastAsia" w:ascii="仿宋_GB2312" w:hAnsi="仿宋_GB2312" w:cs="仿宋_GB2312"/>
          <w:kern w:val="2"/>
          <w:sz w:val="32"/>
          <w:szCs w:val="32"/>
          <w:lang w:val="en-US" w:eastAsia="zh-CN"/>
        </w:rPr>
      </w:pPr>
      <w:r>
        <w:rPr>
          <w:rFonts w:hint="eastAsia" w:ascii="仿宋" w:hAnsi="仿宋" w:eastAsia="仿宋"/>
          <w:sz w:val="32"/>
          <w:szCs w:val="32"/>
          <w:lang w:val="en-US" w:eastAsia="zh-CN"/>
        </w:rPr>
        <w:t xml:space="preserve">                          2024年7月25日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Arial" w:hAnsi="Arial" w:eastAsia="Arial" w:cs="Arial"/>
          <w:i w:val="0"/>
          <w:iCs w:val="0"/>
          <w:caps w:val="0"/>
          <w:color w:val="2F6698"/>
          <w:spacing w:val="0"/>
          <w:sz w:val="27"/>
          <w:szCs w:val="27"/>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left"/>
        <w:textAlignment w:val="baseline"/>
        <w:rPr>
          <w:rFonts w:hint="eastAsia" w:ascii="仿宋_GB2312" w:hAnsi="仿宋_GB2312" w:cs="仿宋_GB2312"/>
          <w:kern w:val="2"/>
          <w:sz w:val="32"/>
          <w:szCs w:val="32"/>
          <w:lang w:val="en-US" w:eastAsia="zh-CN"/>
        </w:rPr>
      </w:pPr>
    </w:p>
    <w:p>
      <w:pPr>
        <w:jc w:val="both"/>
        <w:rPr>
          <w:rFonts w:hint="eastAsia" w:asciiTheme="majorEastAsia" w:hAnsiTheme="majorEastAsia" w:eastAsiaTheme="majorEastAsia"/>
          <w:b/>
          <w:bCs/>
          <w:sz w:val="44"/>
          <w:szCs w:val="44"/>
        </w:rPr>
      </w:pPr>
    </w:p>
    <w:p>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伊金霍洛旗规范和加强设施农业</w:t>
      </w:r>
    </w:p>
    <w:p>
      <w:pPr>
        <w:jc w:val="center"/>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rPr>
        <w:t>用地管理实施方案</w:t>
      </w:r>
      <w:r>
        <w:rPr>
          <w:rFonts w:hint="eastAsia" w:ascii="方正小标宋简体" w:hAnsi="方正小标宋简体" w:eastAsia="方正小标宋简体" w:cs="方正小标宋简体"/>
          <w:b w:val="0"/>
          <w:bCs w:val="0"/>
          <w:sz w:val="44"/>
          <w:szCs w:val="44"/>
          <w:lang w:eastAsia="zh-CN"/>
        </w:rPr>
        <w:t>（</w:t>
      </w:r>
      <w:r>
        <w:rPr>
          <w:rFonts w:hint="eastAsia" w:ascii="方正小标宋简体" w:hAnsi="方正小标宋简体" w:eastAsia="方正小标宋简体" w:cs="方正小标宋简体"/>
          <w:b w:val="0"/>
          <w:bCs w:val="0"/>
          <w:sz w:val="44"/>
          <w:szCs w:val="44"/>
          <w:lang w:val="en-US" w:eastAsia="zh-CN"/>
        </w:rPr>
        <w:t>征求意见稿</w:t>
      </w:r>
      <w:r>
        <w:rPr>
          <w:rFonts w:hint="eastAsia" w:ascii="方正小标宋简体" w:hAnsi="方正小标宋简体" w:eastAsia="方正小标宋简体" w:cs="方正小标宋简体"/>
          <w:b w:val="0"/>
          <w:bCs w:val="0"/>
          <w:sz w:val="44"/>
          <w:szCs w:val="44"/>
          <w:lang w:eastAsia="zh-CN"/>
        </w:rPr>
        <w:t>）</w:t>
      </w:r>
    </w:p>
    <w:p>
      <w:pPr>
        <w:spacing w:line="360" w:lineRule="auto"/>
        <w:rPr>
          <w:rFonts w:ascii="仿宋" w:hAnsi="仿宋" w:eastAsia="仿宋"/>
          <w:sz w:val="32"/>
          <w:szCs w:val="32"/>
        </w:rPr>
      </w:pPr>
    </w:p>
    <w:p>
      <w:pPr>
        <w:spacing w:line="360" w:lineRule="auto"/>
        <w:ind w:firstLine="640" w:firstLineChars="200"/>
        <w:rPr>
          <w:rFonts w:ascii="仿宋" w:hAnsi="仿宋" w:eastAsia="仿宋"/>
          <w:sz w:val="32"/>
          <w:szCs w:val="32"/>
        </w:rPr>
      </w:pPr>
      <w:r>
        <w:rPr>
          <w:rFonts w:hint="eastAsia" w:ascii="仿宋" w:hAnsi="仿宋" w:eastAsia="仿宋"/>
          <w:sz w:val="32"/>
          <w:szCs w:val="32"/>
        </w:rPr>
        <w:t>为切实规范和加强设施农业用地管理，根据《自然资源部农业农村部关于设施农业用地管理有关问题的通知》（自然资规【2019】4号）、《内蒙古自治区自然资源厅农牧厅关于规范和加强设施农业用地管理的通知》（</w:t>
      </w:r>
      <w:r>
        <w:rPr>
          <w:rFonts w:ascii="仿宋" w:hAnsi="仿宋" w:eastAsia="仿宋"/>
          <w:sz w:val="32"/>
          <w:szCs w:val="32"/>
        </w:rPr>
        <w:t>内自然资字</w:t>
      </w:r>
      <w:r>
        <w:rPr>
          <w:rFonts w:hint="eastAsia" w:ascii="仿宋" w:hAnsi="仿宋" w:eastAsia="仿宋"/>
          <w:sz w:val="32"/>
          <w:szCs w:val="32"/>
        </w:rPr>
        <w:t>【</w:t>
      </w:r>
      <w:r>
        <w:rPr>
          <w:rFonts w:ascii="仿宋" w:hAnsi="仿宋" w:eastAsia="仿宋"/>
          <w:sz w:val="32"/>
          <w:szCs w:val="32"/>
        </w:rPr>
        <w:t>2020</w:t>
      </w:r>
      <w:r>
        <w:rPr>
          <w:rFonts w:hint="eastAsia" w:ascii="仿宋" w:hAnsi="仿宋" w:eastAsia="仿宋"/>
          <w:sz w:val="32"/>
          <w:szCs w:val="32"/>
        </w:rPr>
        <w:t>】</w:t>
      </w:r>
      <w:r>
        <w:rPr>
          <w:rFonts w:ascii="仿宋" w:hAnsi="仿宋" w:eastAsia="仿宋"/>
          <w:sz w:val="32"/>
          <w:szCs w:val="32"/>
        </w:rPr>
        <w:t>310号</w:t>
      </w:r>
      <w:r>
        <w:rPr>
          <w:rFonts w:hint="eastAsia" w:ascii="仿宋" w:hAnsi="仿宋" w:eastAsia="仿宋"/>
          <w:sz w:val="32"/>
          <w:szCs w:val="32"/>
        </w:rPr>
        <w:t>）、《自然资源部办公厅关于保障生猪养殖用地有关问题的通知》（自然资电发【2019】39号）、《鄂尔多斯市</w:t>
      </w:r>
      <w:r>
        <w:rPr>
          <w:rFonts w:hint="eastAsia" w:ascii="仿宋" w:hAnsi="仿宋" w:eastAsia="仿宋"/>
          <w:sz w:val="32"/>
          <w:szCs w:val="32"/>
          <w:lang w:eastAsia="zh-CN"/>
        </w:rPr>
        <w:t>农牧局</w:t>
      </w:r>
      <w:r>
        <w:rPr>
          <w:rFonts w:hint="eastAsia" w:ascii="仿宋" w:hAnsi="仿宋" w:eastAsia="仿宋"/>
          <w:sz w:val="32"/>
          <w:szCs w:val="32"/>
        </w:rPr>
        <w:t xml:space="preserve"> 市自然资源局关于建立健全设施农业长效监管机制防止“大棚房”问题反弹的通知》（鄂农牧函【2</w:t>
      </w:r>
      <w:r>
        <w:rPr>
          <w:rFonts w:ascii="仿宋" w:hAnsi="仿宋" w:eastAsia="仿宋"/>
          <w:sz w:val="32"/>
          <w:szCs w:val="32"/>
        </w:rPr>
        <w:t>019</w:t>
      </w:r>
      <w:r>
        <w:rPr>
          <w:rFonts w:hint="eastAsia" w:ascii="仿宋" w:hAnsi="仿宋" w:eastAsia="仿宋"/>
          <w:sz w:val="32"/>
          <w:szCs w:val="32"/>
        </w:rPr>
        <w:t>】</w:t>
      </w:r>
      <w:r>
        <w:rPr>
          <w:rFonts w:ascii="仿宋" w:hAnsi="仿宋" w:eastAsia="仿宋"/>
          <w:sz w:val="32"/>
          <w:szCs w:val="32"/>
        </w:rPr>
        <w:t>295</w:t>
      </w:r>
      <w:r>
        <w:rPr>
          <w:rFonts w:hint="eastAsia" w:ascii="仿宋" w:hAnsi="仿宋" w:eastAsia="仿宋"/>
          <w:sz w:val="32"/>
          <w:szCs w:val="32"/>
        </w:rPr>
        <w:t>号）、《关于进一步加强设施农业用地管理的通知》（内自然资字【2</w:t>
      </w:r>
      <w:r>
        <w:rPr>
          <w:rFonts w:ascii="仿宋" w:hAnsi="仿宋" w:eastAsia="仿宋"/>
          <w:sz w:val="32"/>
          <w:szCs w:val="32"/>
        </w:rPr>
        <w:t>020</w:t>
      </w:r>
      <w:r>
        <w:rPr>
          <w:rFonts w:hint="eastAsia" w:ascii="仿宋" w:hAnsi="仿宋" w:eastAsia="仿宋"/>
          <w:sz w:val="32"/>
          <w:szCs w:val="32"/>
        </w:rPr>
        <w:t>】5</w:t>
      </w:r>
      <w:r>
        <w:rPr>
          <w:rFonts w:ascii="仿宋" w:hAnsi="仿宋" w:eastAsia="仿宋"/>
          <w:sz w:val="32"/>
          <w:szCs w:val="32"/>
        </w:rPr>
        <w:t>77</w:t>
      </w:r>
      <w:r>
        <w:rPr>
          <w:rFonts w:hint="eastAsia" w:ascii="仿宋" w:hAnsi="仿宋" w:eastAsia="仿宋"/>
          <w:sz w:val="32"/>
          <w:szCs w:val="32"/>
        </w:rPr>
        <w:t>号）文件要求，结合我旗实际，</w:t>
      </w:r>
      <w:bookmarkStart w:id="1" w:name="bookmark8"/>
      <w:bookmarkStart w:id="2" w:name="bookmark6"/>
      <w:bookmarkStart w:id="3" w:name="bookmark7"/>
      <w:bookmarkStart w:id="4" w:name="bookmark9"/>
      <w:r>
        <w:rPr>
          <w:rFonts w:hint="eastAsia" w:ascii="仿宋" w:hAnsi="仿宋" w:eastAsia="仿宋"/>
          <w:sz w:val="32"/>
          <w:szCs w:val="32"/>
        </w:rPr>
        <w:t>特制定本方案。</w:t>
      </w:r>
    </w:p>
    <w:p>
      <w:pPr>
        <w:spacing w:line="360" w:lineRule="auto"/>
        <w:ind w:firstLine="640" w:firstLineChars="200"/>
        <w:rPr>
          <w:rFonts w:ascii="黑体" w:hAnsi="黑体" w:eastAsia="黑体"/>
          <w:sz w:val="32"/>
          <w:szCs w:val="32"/>
        </w:rPr>
      </w:pPr>
      <w:r>
        <w:rPr>
          <w:rFonts w:ascii="黑体" w:hAnsi="黑体" w:eastAsia="黑体"/>
          <w:sz w:val="32"/>
          <w:szCs w:val="32"/>
        </w:rPr>
        <w:t>一</w:t>
      </w:r>
      <w:bookmarkEnd w:id="1"/>
      <w:r>
        <w:rPr>
          <w:rFonts w:ascii="黑体" w:hAnsi="黑体" w:eastAsia="黑体"/>
          <w:sz w:val="32"/>
          <w:szCs w:val="32"/>
        </w:rPr>
        <w:t>、设施农业用地与范围界定</w:t>
      </w:r>
      <w:bookmarkEnd w:id="2"/>
      <w:bookmarkEnd w:id="3"/>
      <w:bookmarkEnd w:id="4"/>
    </w:p>
    <w:p>
      <w:pPr>
        <w:spacing w:line="360" w:lineRule="auto"/>
        <w:ind w:firstLine="640" w:firstLineChars="200"/>
        <w:rPr>
          <w:rFonts w:ascii="仿宋" w:hAnsi="仿宋" w:eastAsia="仿宋"/>
          <w:sz w:val="32"/>
          <w:szCs w:val="32"/>
        </w:rPr>
      </w:pPr>
      <w:r>
        <w:rPr>
          <w:rFonts w:ascii="仿宋" w:hAnsi="仿宋" w:eastAsia="仿宋"/>
          <w:sz w:val="32"/>
          <w:szCs w:val="32"/>
        </w:rPr>
        <w:t>设施农业用地属于农用地，分为生产设施用地和附属设施用地。国家要求依法按照建设用地管理的项目用地不在设施农业用地管理范围</w:t>
      </w:r>
      <w:r>
        <w:rPr>
          <w:rFonts w:hint="eastAsia" w:ascii="仿宋" w:hAnsi="仿宋" w:eastAsia="仿宋"/>
          <w:sz w:val="32"/>
          <w:szCs w:val="32"/>
        </w:rPr>
        <w:t>。</w:t>
      </w:r>
    </w:p>
    <w:p>
      <w:pPr>
        <w:spacing w:line="360" w:lineRule="auto"/>
        <w:ind w:firstLine="640" w:firstLineChars="200"/>
        <w:rPr>
          <w:rFonts w:ascii="楷体" w:hAnsi="楷体" w:eastAsia="楷体"/>
          <w:sz w:val="32"/>
          <w:szCs w:val="32"/>
        </w:rPr>
      </w:pPr>
      <w:r>
        <w:rPr>
          <w:rFonts w:ascii="楷体" w:hAnsi="楷体" w:eastAsia="楷体"/>
          <w:sz w:val="32"/>
          <w:szCs w:val="32"/>
        </w:rPr>
        <w:t>（一）生产设施用地。</w:t>
      </w:r>
    </w:p>
    <w:p>
      <w:pPr>
        <w:spacing w:line="360" w:lineRule="auto"/>
        <w:ind w:firstLine="640" w:firstLineChars="200"/>
        <w:rPr>
          <w:rFonts w:ascii="仿宋" w:hAnsi="仿宋" w:eastAsia="仿宋"/>
          <w:sz w:val="32"/>
          <w:szCs w:val="32"/>
        </w:rPr>
      </w:pPr>
      <w:r>
        <w:rPr>
          <w:rFonts w:ascii="仿宋" w:hAnsi="仿宋" w:eastAsia="仿宋"/>
          <w:sz w:val="32"/>
          <w:szCs w:val="32"/>
        </w:rPr>
        <w:t>指直接用于农产品生产的设施用地。主要包括：作物栽培中的一般大棚或温室（育种育苗场所）；工厂化作物栽培中有钢架、混凝土等结构的独栋或连栋温室及其他建（构）筑物等作物生产用地；规模化养殖中畜禽蚕舍（含畜禽活动场地、挤奶厅等）、引种隔离等生产设施及绿化</w:t>
      </w:r>
      <w:r>
        <w:rPr>
          <w:rFonts w:hint="eastAsia" w:ascii="仿宋" w:hAnsi="仿宋" w:eastAsia="仿宋"/>
          <w:sz w:val="32"/>
          <w:szCs w:val="32"/>
        </w:rPr>
        <w:t>防火</w:t>
      </w:r>
      <w:r>
        <w:rPr>
          <w:rFonts w:ascii="仿宋" w:hAnsi="仿宋" w:eastAsia="仿宋"/>
          <w:sz w:val="32"/>
          <w:szCs w:val="32"/>
        </w:rPr>
        <w:t>隔离带用地;规模化种养殖中低于“农村道路”最高标准要求的园（场）区内通道</w:t>
      </w:r>
      <w:r>
        <w:rPr>
          <w:rFonts w:hint="eastAsia" w:ascii="仿宋" w:hAnsi="仿宋" w:eastAsia="仿宋"/>
          <w:sz w:val="32"/>
          <w:szCs w:val="32"/>
          <w:lang w:eastAsia="zh-CN"/>
        </w:rPr>
        <w:t>（</w:t>
      </w:r>
      <w:r>
        <w:rPr>
          <w:rFonts w:hint="eastAsia" w:ascii="仿宋" w:hAnsi="仿宋" w:eastAsia="仿宋"/>
          <w:sz w:val="32"/>
          <w:szCs w:val="32"/>
          <w:lang w:val="en-US" w:eastAsia="zh-CN"/>
        </w:rPr>
        <w:t>草原防火</w:t>
      </w:r>
      <w:r>
        <w:rPr>
          <w:rFonts w:ascii="仿宋" w:hAnsi="仿宋" w:eastAsia="仿宋"/>
          <w:sz w:val="32"/>
          <w:szCs w:val="32"/>
        </w:rPr>
        <w:t>通道</w:t>
      </w:r>
      <w:r>
        <w:rPr>
          <w:rFonts w:hint="eastAsia" w:ascii="仿宋" w:hAnsi="仿宋" w:eastAsia="仿宋"/>
          <w:sz w:val="32"/>
          <w:szCs w:val="32"/>
          <w:lang w:eastAsia="zh-CN"/>
        </w:rPr>
        <w:t>）</w:t>
      </w:r>
      <w:r>
        <w:rPr>
          <w:rFonts w:ascii="仿宋" w:hAnsi="仿宋" w:eastAsia="仿宋"/>
          <w:sz w:val="32"/>
          <w:szCs w:val="32"/>
        </w:rPr>
        <w:t>、给排水设施用地；水产养殖池塘、工厂化养殖池和进排水渠道等用地；食用菌堆料场、菌种与菌包（菌棒、培养料）生产及培育、出菇场所（大棚、钢架、PC板房）等用地。</w:t>
      </w:r>
    </w:p>
    <w:p>
      <w:pPr>
        <w:spacing w:line="360" w:lineRule="auto"/>
        <w:ind w:firstLine="640" w:firstLineChars="200"/>
        <w:rPr>
          <w:rFonts w:ascii="仿宋" w:hAnsi="仿宋" w:eastAsia="仿宋"/>
          <w:sz w:val="32"/>
          <w:szCs w:val="32"/>
        </w:rPr>
      </w:pPr>
      <w:r>
        <w:rPr>
          <w:rFonts w:ascii="楷体" w:hAnsi="楷体" w:eastAsia="楷体"/>
          <w:sz w:val="32"/>
          <w:szCs w:val="32"/>
        </w:rPr>
        <w:t>（二）附属设施用地。</w:t>
      </w:r>
      <w:r>
        <w:rPr>
          <w:rFonts w:ascii="仿宋" w:hAnsi="仿宋" w:eastAsia="仿宋"/>
          <w:sz w:val="32"/>
          <w:szCs w:val="32"/>
        </w:rPr>
        <w:t>指直接服务于农业生产项目辅助或配套设施用地。</w:t>
      </w:r>
    </w:p>
    <w:p>
      <w:pPr>
        <w:spacing w:line="360" w:lineRule="auto"/>
        <w:ind w:firstLine="642" w:firstLineChars="200"/>
        <w:rPr>
          <w:rFonts w:ascii="仿宋" w:hAnsi="仿宋" w:eastAsia="仿宋"/>
          <w:sz w:val="32"/>
          <w:szCs w:val="32"/>
        </w:rPr>
      </w:pPr>
      <w:r>
        <w:rPr>
          <w:rFonts w:ascii="仿宋" w:hAnsi="仿宋" w:eastAsia="仿宋"/>
          <w:b/>
          <w:bCs/>
          <w:sz w:val="32"/>
          <w:szCs w:val="32"/>
        </w:rPr>
        <w:t>1.种植类附属设施用地。</w:t>
      </w:r>
      <w:r>
        <w:rPr>
          <w:rFonts w:ascii="仿宋" w:hAnsi="仿宋" w:eastAsia="仿宋"/>
          <w:sz w:val="32"/>
          <w:szCs w:val="32"/>
        </w:rPr>
        <w:t>为种植类设施农业生产配套的作物栽培后废弃物收集、存储、处理等环保设施用地；种植类有机肥料生产设施用地；种植业生产必需的设备、原料等农资和农机具临时存放场所用地；植物疫病虫害防控等技术设施及必要的水</w:t>
      </w:r>
      <w:r>
        <w:rPr>
          <w:rFonts w:hint="eastAsia" w:ascii="仿宋" w:hAnsi="仿宋" w:eastAsia="仿宋"/>
          <w:sz w:val="32"/>
          <w:szCs w:val="32"/>
        </w:rPr>
        <w:t>、</w:t>
      </w:r>
      <w:r>
        <w:rPr>
          <w:rFonts w:ascii="仿宋" w:hAnsi="仿宋" w:eastAsia="仿宋"/>
          <w:sz w:val="32"/>
          <w:szCs w:val="32"/>
        </w:rPr>
        <w:t>电</w:t>
      </w:r>
      <w:r>
        <w:rPr>
          <w:rFonts w:hint="eastAsia" w:ascii="仿宋" w:hAnsi="仿宋" w:eastAsia="仿宋"/>
          <w:sz w:val="32"/>
          <w:szCs w:val="32"/>
        </w:rPr>
        <w:t>、</w:t>
      </w:r>
      <w:r>
        <w:rPr>
          <w:rFonts w:ascii="仿宋" w:hAnsi="仿宋" w:eastAsia="仿宋"/>
          <w:sz w:val="32"/>
          <w:szCs w:val="32"/>
        </w:rPr>
        <w:t>温调控管理场所用地；生产看护房（耳房）用地（单层，小于40平方米）；与生产直接关联的保鲜存储用地、产品分级处理场所（含分拣、包装、晾 晒、烘干等）用地；从事规模化粮食、蔬菜、饲草料等作物种植所需的设施用地（包括小型的粮食晾晒场、农业灌溉小型储水池、粮食烘干设施、粮食和农资临时存放场所、农机具存放场所等）。</w:t>
      </w:r>
    </w:p>
    <w:p>
      <w:pPr>
        <w:spacing w:line="360" w:lineRule="auto"/>
        <w:ind w:firstLine="642" w:firstLineChars="200"/>
        <w:rPr>
          <w:rFonts w:hint="eastAsia" w:ascii="仿宋" w:hAnsi="仿宋" w:eastAsia="仿宋"/>
          <w:sz w:val="32"/>
          <w:szCs w:val="32"/>
          <w:lang w:eastAsia="zh-CN"/>
        </w:rPr>
      </w:pPr>
      <w:r>
        <w:rPr>
          <w:rFonts w:ascii="仿宋" w:hAnsi="仿宋" w:eastAsia="仿宋"/>
          <w:b/>
          <w:bCs/>
          <w:sz w:val="32"/>
          <w:szCs w:val="32"/>
        </w:rPr>
        <w:t>2.养殖类附属设施用地。</w:t>
      </w:r>
      <w:r>
        <w:rPr>
          <w:rFonts w:ascii="仿宋" w:hAnsi="仿宋" w:eastAsia="仿宋"/>
          <w:sz w:val="32"/>
          <w:szCs w:val="32"/>
        </w:rPr>
        <w:t>为养殖类设施农业生产配套的检验检疫监测、动物疫病虫害防控等技术设施，生产看护房用地（耳房），配种</w:t>
      </w:r>
      <w:r>
        <w:rPr>
          <w:rFonts w:hint="eastAsia" w:ascii="仿宋" w:hAnsi="仿宋" w:eastAsia="仿宋"/>
          <w:sz w:val="32"/>
          <w:szCs w:val="32"/>
          <w:lang w:val="en-US" w:eastAsia="zh-CN"/>
        </w:rPr>
        <w:t>室</w:t>
      </w:r>
      <w:r>
        <w:rPr>
          <w:rFonts w:hint="eastAsia" w:ascii="仿宋" w:hAnsi="仿宋" w:eastAsia="仿宋"/>
          <w:sz w:val="32"/>
          <w:szCs w:val="32"/>
          <w:lang w:eastAsia="zh-CN"/>
        </w:rPr>
        <w:t>，</w:t>
      </w:r>
      <w:r>
        <w:rPr>
          <w:rFonts w:ascii="仿宋" w:hAnsi="仿宋" w:eastAsia="仿宋"/>
          <w:sz w:val="32"/>
          <w:szCs w:val="32"/>
        </w:rPr>
        <w:t>剪毛</w:t>
      </w:r>
      <w:r>
        <w:rPr>
          <w:rFonts w:hint="eastAsia" w:ascii="仿宋" w:hAnsi="仿宋" w:eastAsia="仿宋"/>
          <w:sz w:val="32"/>
          <w:szCs w:val="32"/>
          <w:lang w:val="en-US" w:eastAsia="zh-CN"/>
        </w:rPr>
        <w:t>室</w:t>
      </w:r>
      <w:r>
        <w:rPr>
          <w:rFonts w:hint="eastAsia" w:ascii="仿宋" w:hAnsi="仿宋" w:eastAsia="仿宋"/>
          <w:sz w:val="32"/>
          <w:szCs w:val="32"/>
          <w:lang w:eastAsia="zh-CN"/>
        </w:rPr>
        <w:t>，</w:t>
      </w:r>
      <w:r>
        <w:rPr>
          <w:rFonts w:ascii="仿宋" w:hAnsi="仿宋" w:eastAsia="仿宋"/>
          <w:sz w:val="32"/>
          <w:szCs w:val="32"/>
        </w:rPr>
        <w:t>药浴</w:t>
      </w:r>
      <w:r>
        <w:rPr>
          <w:rFonts w:hint="eastAsia" w:ascii="仿宋" w:hAnsi="仿宋" w:eastAsia="仿宋"/>
          <w:sz w:val="32"/>
          <w:szCs w:val="32"/>
          <w:lang w:val="en-US" w:eastAsia="zh-CN"/>
        </w:rPr>
        <w:t>室</w:t>
      </w:r>
      <w:r>
        <w:rPr>
          <w:rFonts w:hint="eastAsia" w:ascii="仿宋" w:hAnsi="仿宋" w:eastAsia="仿宋"/>
          <w:sz w:val="32"/>
          <w:szCs w:val="32"/>
          <w:lang w:eastAsia="zh-CN"/>
        </w:rPr>
        <w:t>，</w:t>
      </w:r>
      <w:r>
        <w:rPr>
          <w:rFonts w:ascii="仿宋" w:hAnsi="仿宋" w:eastAsia="仿宋"/>
          <w:sz w:val="32"/>
          <w:szCs w:val="32"/>
        </w:rPr>
        <w:t>人畜饮水设施</w:t>
      </w:r>
      <w:r>
        <w:rPr>
          <w:rFonts w:hint="eastAsia" w:ascii="仿宋" w:hAnsi="仿宋" w:eastAsia="仿宋"/>
          <w:sz w:val="32"/>
          <w:szCs w:val="32"/>
          <w:lang w:val="en-US" w:eastAsia="zh-CN"/>
        </w:rPr>
        <w:t>控制室</w:t>
      </w:r>
      <w:r>
        <w:rPr>
          <w:rFonts w:hint="eastAsia" w:ascii="仿宋" w:hAnsi="仿宋" w:eastAsia="仿宋"/>
          <w:sz w:val="32"/>
          <w:szCs w:val="32"/>
          <w:lang w:eastAsia="zh-CN"/>
        </w:rPr>
        <w:t>，</w:t>
      </w:r>
      <w:r>
        <w:rPr>
          <w:rFonts w:ascii="仿宋" w:hAnsi="仿宋" w:eastAsia="仿宋"/>
          <w:sz w:val="32"/>
          <w:szCs w:val="32"/>
        </w:rPr>
        <w:t>草原灌溉设施</w:t>
      </w:r>
      <w:r>
        <w:rPr>
          <w:rFonts w:hint="eastAsia" w:ascii="仿宋" w:hAnsi="仿宋" w:eastAsia="仿宋"/>
          <w:sz w:val="32"/>
          <w:szCs w:val="32"/>
          <w:lang w:eastAsia="zh-CN"/>
        </w:rPr>
        <w:t>，</w:t>
      </w:r>
      <w:r>
        <w:rPr>
          <w:rFonts w:ascii="仿宋" w:hAnsi="仿宋" w:eastAsia="仿宋"/>
          <w:sz w:val="32"/>
          <w:szCs w:val="32"/>
        </w:rPr>
        <w:t>与畜禽水产养殖直接关联的粪污处置、病死禽无害化处理等设施用地</w:t>
      </w:r>
      <w:r>
        <w:rPr>
          <w:rFonts w:hint="eastAsia" w:ascii="仿宋" w:hAnsi="仿宋" w:eastAsia="仿宋"/>
          <w:sz w:val="32"/>
          <w:szCs w:val="32"/>
        </w:rPr>
        <w:t>。</w:t>
      </w:r>
    </w:p>
    <w:p>
      <w:pPr>
        <w:spacing w:line="360" w:lineRule="auto"/>
        <w:ind w:firstLine="640" w:firstLineChars="200"/>
        <w:rPr>
          <w:rFonts w:ascii="黑体" w:hAnsi="黑体" w:eastAsia="黑体"/>
          <w:sz w:val="32"/>
          <w:szCs w:val="32"/>
        </w:rPr>
      </w:pPr>
      <w:bookmarkStart w:id="5" w:name="bookmark12"/>
      <w:bookmarkStart w:id="6" w:name="bookmark10"/>
      <w:bookmarkStart w:id="7" w:name="bookmark13"/>
      <w:bookmarkStart w:id="8" w:name="bookmark11"/>
      <w:r>
        <w:rPr>
          <w:rFonts w:ascii="黑体" w:hAnsi="黑体" w:eastAsia="黑体"/>
          <w:sz w:val="32"/>
          <w:szCs w:val="32"/>
        </w:rPr>
        <w:t>二</w:t>
      </w:r>
      <w:bookmarkEnd w:id="5"/>
      <w:r>
        <w:rPr>
          <w:rFonts w:ascii="黑体" w:hAnsi="黑体" w:eastAsia="黑体"/>
          <w:sz w:val="32"/>
          <w:szCs w:val="32"/>
        </w:rPr>
        <w:t>、设施农业选址与用地标准</w:t>
      </w:r>
      <w:bookmarkEnd w:id="6"/>
      <w:bookmarkEnd w:id="7"/>
      <w:bookmarkEnd w:id="8"/>
    </w:p>
    <w:p>
      <w:pPr>
        <w:spacing w:line="360" w:lineRule="auto"/>
        <w:ind w:firstLine="640" w:firstLineChars="200"/>
        <w:rPr>
          <w:rFonts w:ascii="楷体" w:hAnsi="楷体" w:eastAsia="楷体"/>
          <w:sz w:val="32"/>
          <w:szCs w:val="32"/>
        </w:rPr>
      </w:pPr>
      <w:r>
        <w:rPr>
          <w:rFonts w:ascii="楷体" w:hAnsi="楷体" w:eastAsia="楷体"/>
          <w:sz w:val="32"/>
          <w:szCs w:val="32"/>
        </w:rPr>
        <w:t>（一）引导设施建设合理选址。</w:t>
      </w:r>
    </w:p>
    <w:p>
      <w:pPr>
        <w:spacing w:line="360" w:lineRule="auto"/>
        <w:ind w:firstLine="640" w:firstLineChars="200"/>
        <w:rPr>
          <w:rFonts w:ascii="仿宋" w:hAnsi="仿宋" w:eastAsia="仿宋"/>
          <w:sz w:val="32"/>
          <w:szCs w:val="32"/>
        </w:rPr>
      </w:pPr>
      <w:r>
        <w:rPr>
          <w:rFonts w:hint="eastAsia" w:ascii="仿宋" w:hAnsi="仿宋" w:eastAsia="仿宋"/>
          <w:sz w:val="32"/>
          <w:szCs w:val="32"/>
        </w:rPr>
        <w:t>引导设施建设合理选址，尽量利用荒山荒坡等未利用地、非耕地或质量较差的耕地、农村闲置设施农业用地、存量低效建设用地发展设施农业，禁止占用永久基本农田，落实最严格的耕地保护制度。耕地上只允许种植粮食、蔬菜等不破坏耕地耕作层的作物；养殖设施原则上不允许使用耕地。</w:t>
      </w:r>
    </w:p>
    <w:p>
      <w:pPr>
        <w:spacing w:line="360" w:lineRule="auto"/>
        <w:ind w:firstLine="640" w:firstLineChars="200"/>
        <w:rPr>
          <w:rFonts w:hint="eastAsia" w:ascii="仿宋" w:hAnsi="仿宋" w:eastAsia="仿宋"/>
          <w:sz w:val="32"/>
          <w:szCs w:val="32"/>
          <w:highlight w:val="none"/>
        </w:rPr>
      </w:pPr>
      <w:r>
        <w:rPr>
          <w:rFonts w:hint="eastAsia" w:ascii="仿宋" w:hAnsi="仿宋" w:eastAsia="仿宋"/>
          <w:sz w:val="32"/>
          <w:szCs w:val="32"/>
        </w:rPr>
        <w:t>各镇、各有关部门要根据土地利用总体规划和农牧业发展规划，积极引导设施农业合理选址。未经许可不得在水源地保护区、自然保护区、生态红线、风景名胜区以及不适宜设施农业发展或其他的应当进行建设管控的区域进行项目选址。禁止在畜禽禁养区范围内发展规模化设施养殖业。</w:t>
      </w:r>
      <w:r>
        <w:rPr>
          <w:rFonts w:hint="eastAsia" w:ascii="仿宋" w:hAnsi="仿宋" w:eastAsia="仿宋"/>
          <w:sz w:val="32"/>
          <w:szCs w:val="32"/>
          <w:highlight w:val="none"/>
        </w:rPr>
        <w:t>在煤矿露天开采复垦区、采矿塌陷区内的设施农业项目需经属地镇人民政府出具同意项目选址意见书，征得旗自然资源局同意后，在确保安全的前提下，可由国有企业、村集体经济和矿山治理责任主体企业进行设施农业项目建设。</w:t>
      </w:r>
    </w:p>
    <w:p>
      <w:pPr>
        <w:spacing w:line="360" w:lineRule="auto"/>
        <w:ind w:firstLine="640" w:firstLineChars="200"/>
        <w:rPr>
          <w:rFonts w:ascii="楷体" w:hAnsi="楷体" w:eastAsia="楷体"/>
          <w:sz w:val="32"/>
          <w:szCs w:val="32"/>
        </w:rPr>
      </w:pPr>
      <w:r>
        <w:rPr>
          <w:rFonts w:hint="eastAsia" w:ascii="楷体" w:hAnsi="楷体" w:eastAsia="楷体"/>
          <w:sz w:val="32"/>
          <w:szCs w:val="32"/>
        </w:rPr>
        <w:t>（二）严格保护森林资源。</w:t>
      </w:r>
    </w:p>
    <w:p>
      <w:pPr>
        <w:spacing w:line="360" w:lineRule="auto"/>
        <w:ind w:firstLine="640" w:firstLineChars="200"/>
        <w:rPr>
          <w:rFonts w:ascii="仿宋" w:hAnsi="仿宋" w:eastAsia="仿宋"/>
          <w:sz w:val="32"/>
          <w:szCs w:val="32"/>
        </w:rPr>
      </w:pPr>
      <w:r>
        <w:rPr>
          <w:rFonts w:hint="eastAsia" w:ascii="仿宋" w:hAnsi="仿宋" w:eastAsia="仿宋"/>
          <w:sz w:val="32"/>
          <w:szCs w:val="32"/>
        </w:rPr>
        <w:t>设施农业建设不得使用林地，确需使用林地进行建设的，应当按照《建设项目使用林地审核审批管理办法》（国家林业局令第3</w:t>
      </w:r>
      <w:r>
        <w:rPr>
          <w:rFonts w:ascii="仿宋" w:hAnsi="仿宋" w:eastAsia="仿宋"/>
          <w:sz w:val="32"/>
          <w:szCs w:val="32"/>
        </w:rPr>
        <w:t>5</w:t>
      </w:r>
      <w:r>
        <w:rPr>
          <w:rFonts w:hint="eastAsia" w:ascii="仿宋" w:hAnsi="仿宋" w:eastAsia="仿宋"/>
          <w:sz w:val="32"/>
          <w:szCs w:val="32"/>
        </w:rPr>
        <w:t>号）的规定，依法办理林地审批手续。对于设施农业用地范围内有林地但不破坏仍保持现状的，要在土地勘测定界技术报告书和平面布置图中标定范围和面积，并由经营者出具不占用林地的承诺书。</w:t>
      </w:r>
    </w:p>
    <w:p>
      <w:pPr>
        <w:spacing w:line="360" w:lineRule="auto"/>
        <w:ind w:firstLine="640" w:firstLineChars="200"/>
        <w:rPr>
          <w:rFonts w:ascii="楷体" w:hAnsi="楷体" w:eastAsia="楷体"/>
          <w:sz w:val="32"/>
          <w:szCs w:val="32"/>
        </w:rPr>
      </w:pPr>
      <w:r>
        <w:rPr>
          <w:rFonts w:hint="eastAsia" w:ascii="楷体" w:hAnsi="楷体" w:eastAsia="楷体"/>
          <w:sz w:val="32"/>
          <w:szCs w:val="32"/>
        </w:rPr>
        <w:t>（三）切实保护草原生态环境。</w:t>
      </w:r>
    </w:p>
    <w:p>
      <w:pPr>
        <w:spacing w:line="360" w:lineRule="auto"/>
        <w:ind w:firstLine="640" w:firstLineChars="200"/>
        <w:rPr>
          <w:rFonts w:ascii="仿宋" w:hAnsi="仿宋" w:eastAsia="仿宋"/>
          <w:sz w:val="32"/>
          <w:szCs w:val="32"/>
        </w:rPr>
      </w:pPr>
      <w:r>
        <w:rPr>
          <w:rFonts w:ascii="仿宋" w:hAnsi="仿宋" w:eastAsia="仿宋"/>
          <w:sz w:val="32"/>
          <w:szCs w:val="32"/>
          <w:highlight w:val="none"/>
        </w:rPr>
        <w:t>在草原上修建直接为草原保护和畜牧业生产服务的工程设施</w:t>
      </w:r>
      <w:r>
        <w:rPr>
          <w:rFonts w:hint="eastAsia" w:ascii="仿宋" w:hAnsi="仿宋" w:eastAsia="仿宋"/>
          <w:sz w:val="32"/>
          <w:szCs w:val="32"/>
          <w:highlight w:val="none"/>
        </w:rPr>
        <w:t>的审批</w:t>
      </w:r>
      <w:r>
        <w:rPr>
          <w:rFonts w:ascii="仿宋" w:hAnsi="仿宋" w:eastAsia="仿宋"/>
          <w:sz w:val="32"/>
          <w:szCs w:val="32"/>
          <w:highlight w:val="none"/>
        </w:rPr>
        <w:t>，使用草原</w:t>
      </w:r>
      <w:r>
        <w:rPr>
          <w:rFonts w:hint="eastAsia" w:ascii="仿宋" w:hAnsi="仿宋" w:eastAsia="仿宋"/>
          <w:sz w:val="32"/>
          <w:szCs w:val="32"/>
          <w:highlight w:val="none"/>
        </w:rPr>
        <w:t>1</w:t>
      </w:r>
      <w:r>
        <w:rPr>
          <w:rFonts w:ascii="仿宋" w:hAnsi="仿宋" w:eastAsia="仿宋"/>
          <w:sz w:val="32"/>
          <w:szCs w:val="32"/>
          <w:highlight w:val="none"/>
        </w:rPr>
        <w:t>0亩以下的，由</w:t>
      </w:r>
      <w:r>
        <w:rPr>
          <w:rFonts w:hint="eastAsia" w:ascii="仿宋" w:hAnsi="仿宋" w:eastAsia="仿宋"/>
          <w:sz w:val="32"/>
          <w:szCs w:val="32"/>
          <w:highlight w:val="none"/>
          <w:lang w:val="en-US" w:eastAsia="zh-CN"/>
        </w:rPr>
        <w:t>旗林业和草原局</w:t>
      </w:r>
      <w:r>
        <w:rPr>
          <w:rFonts w:ascii="仿宋" w:hAnsi="仿宋" w:eastAsia="仿宋"/>
          <w:sz w:val="32"/>
          <w:szCs w:val="32"/>
          <w:highlight w:val="none"/>
        </w:rPr>
        <w:t>批准；</w:t>
      </w:r>
      <w:r>
        <w:rPr>
          <w:rFonts w:hint="eastAsia" w:ascii="仿宋" w:hAnsi="仿宋" w:eastAsia="仿宋"/>
          <w:sz w:val="32"/>
          <w:szCs w:val="32"/>
          <w:highlight w:val="none"/>
        </w:rPr>
        <w:t>依据《内蒙古自治区林业和草原局关于印发〈内蒙古自治区草原征占用审核审批管理规定〉的通知》内林草草监发【2</w:t>
      </w:r>
      <w:r>
        <w:rPr>
          <w:rFonts w:ascii="仿宋" w:hAnsi="仿宋" w:eastAsia="仿宋"/>
          <w:sz w:val="32"/>
          <w:szCs w:val="32"/>
          <w:highlight w:val="none"/>
        </w:rPr>
        <w:t>020</w:t>
      </w:r>
      <w:r>
        <w:rPr>
          <w:rFonts w:hint="eastAsia" w:ascii="仿宋" w:hAnsi="仿宋" w:eastAsia="仿宋"/>
          <w:sz w:val="32"/>
          <w:szCs w:val="32"/>
          <w:highlight w:val="none"/>
        </w:rPr>
        <w:t>】3</w:t>
      </w:r>
      <w:r>
        <w:rPr>
          <w:rFonts w:ascii="仿宋" w:hAnsi="仿宋" w:eastAsia="仿宋"/>
          <w:sz w:val="32"/>
          <w:szCs w:val="32"/>
          <w:highlight w:val="none"/>
        </w:rPr>
        <w:t>80</w:t>
      </w:r>
      <w:r>
        <w:rPr>
          <w:rFonts w:hint="eastAsia" w:ascii="仿宋" w:hAnsi="仿宋" w:eastAsia="仿宋"/>
          <w:sz w:val="32"/>
          <w:szCs w:val="32"/>
          <w:highlight w:val="none"/>
        </w:rPr>
        <w:t>号，</w:t>
      </w:r>
      <w:r>
        <w:rPr>
          <w:rFonts w:ascii="仿宋" w:hAnsi="仿宋" w:eastAsia="仿宋"/>
          <w:sz w:val="32"/>
          <w:szCs w:val="32"/>
        </w:rPr>
        <w:t>使用草原</w:t>
      </w:r>
      <w:r>
        <w:rPr>
          <w:rFonts w:hint="eastAsia" w:ascii="仿宋" w:hAnsi="仿宋" w:eastAsia="仿宋"/>
          <w:sz w:val="32"/>
          <w:szCs w:val="32"/>
        </w:rPr>
        <w:t>超过七十公顷的，由自治区林业和草原局审批；</w:t>
      </w:r>
      <w:r>
        <w:rPr>
          <w:rFonts w:ascii="仿宋" w:hAnsi="仿宋" w:eastAsia="仿宋"/>
          <w:sz w:val="32"/>
          <w:szCs w:val="32"/>
        </w:rPr>
        <w:t>使用草原</w:t>
      </w:r>
      <w:r>
        <w:rPr>
          <w:rFonts w:hint="eastAsia" w:ascii="仿宋" w:hAnsi="仿宋" w:eastAsia="仿宋"/>
          <w:sz w:val="32"/>
          <w:szCs w:val="32"/>
        </w:rPr>
        <w:t>七十公顷及以下的，由旗县级以上人民政府林业和草原主管部门依据权限分级审批。</w:t>
      </w:r>
    </w:p>
    <w:p>
      <w:pPr>
        <w:spacing w:line="360" w:lineRule="auto"/>
        <w:ind w:firstLine="640" w:firstLineChars="200"/>
        <w:rPr>
          <w:rFonts w:ascii="仿宋" w:hAnsi="仿宋" w:eastAsia="仿宋"/>
          <w:sz w:val="32"/>
          <w:szCs w:val="32"/>
        </w:rPr>
      </w:pPr>
      <w:r>
        <w:rPr>
          <w:rFonts w:ascii="仿宋" w:hAnsi="仿宋" w:eastAsia="仿宋"/>
          <w:sz w:val="32"/>
          <w:szCs w:val="32"/>
        </w:rPr>
        <w:t>直接为草原保护和畜牧业生产服务的工程设施是指：</w:t>
      </w:r>
    </w:p>
    <w:p>
      <w:pPr>
        <w:spacing w:line="360" w:lineRule="auto"/>
        <w:ind w:firstLine="640" w:firstLineChars="200"/>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.生产、贮存草种和饲草饲料的设施；</w:t>
      </w:r>
    </w:p>
    <w:p>
      <w:pPr>
        <w:spacing w:line="360" w:lineRule="auto"/>
        <w:ind w:firstLine="640" w:firstLineChars="200"/>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.牲畜圈舍、配种点、剪毛点、药浴池、人畜饮水设施；</w:t>
      </w:r>
    </w:p>
    <w:p>
      <w:pPr>
        <w:spacing w:line="360" w:lineRule="auto"/>
        <w:ind w:firstLine="640" w:firstLineChars="200"/>
        <w:rPr>
          <w:rFonts w:ascii="仿宋" w:hAnsi="仿宋" w:eastAsia="仿宋"/>
          <w:sz w:val="32"/>
          <w:szCs w:val="32"/>
        </w:rPr>
      </w:pPr>
      <w:r>
        <w:rPr>
          <w:rFonts w:hint="eastAsia" w:ascii="仿宋" w:hAnsi="仿宋" w:eastAsia="仿宋"/>
          <w:sz w:val="32"/>
          <w:szCs w:val="32"/>
        </w:rPr>
        <w:t>3</w:t>
      </w:r>
      <w:r>
        <w:rPr>
          <w:rFonts w:ascii="仿宋" w:hAnsi="仿宋" w:eastAsia="仿宋"/>
          <w:sz w:val="32"/>
          <w:szCs w:val="32"/>
        </w:rPr>
        <w:t>.科研、试验、示范基地；</w:t>
      </w:r>
    </w:p>
    <w:p>
      <w:pPr>
        <w:spacing w:line="360" w:lineRule="auto"/>
        <w:ind w:firstLine="640" w:firstLineChars="200"/>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.草原防火和灌溉设施。</w:t>
      </w:r>
    </w:p>
    <w:p>
      <w:pPr>
        <w:spacing w:line="360" w:lineRule="auto"/>
        <w:ind w:firstLine="640" w:firstLineChars="200"/>
        <w:rPr>
          <w:rFonts w:ascii="仿宋" w:hAnsi="仿宋" w:eastAsia="仿宋"/>
          <w:sz w:val="32"/>
          <w:szCs w:val="32"/>
        </w:rPr>
      </w:pPr>
      <w:r>
        <w:rPr>
          <w:rFonts w:hint="eastAsia" w:ascii="仿宋" w:hAnsi="仿宋" w:eastAsia="仿宋"/>
          <w:sz w:val="32"/>
          <w:szCs w:val="32"/>
        </w:rPr>
        <w:t>在草原上因修建</w:t>
      </w:r>
      <w:r>
        <w:rPr>
          <w:rFonts w:ascii="仿宋" w:hAnsi="仿宋" w:eastAsia="仿宋"/>
          <w:sz w:val="32"/>
          <w:szCs w:val="32"/>
        </w:rPr>
        <w:t>直接为草原保护和畜牧业生产服务的工程设施</w:t>
      </w:r>
      <w:r>
        <w:rPr>
          <w:rFonts w:hint="eastAsia" w:ascii="仿宋" w:hAnsi="仿宋" w:eastAsia="仿宋"/>
          <w:sz w:val="32"/>
          <w:szCs w:val="32"/>
        </w:rPr>
        <w:t>的</w:t>
      </w:r>
      <w:r>
        <w:rPr>
          <w:rFonts w:ascii="仿宋" w:hAnsi="仿宋" w:eastAsia="仿宋"/>
          <w:sz w:val="32"/>
          <w:szCs w:val="32"/>
        </w:rPr>
        <w:t>，</w:t>
      </w:r>
      <w:r>
        <w:rPr>
          <w:rFonts w:hint="eastAsia" w:ascii="仿宋" w:hAnsi="仿宋" w:eastAsia="仿宋"/>
          <w:sz w:val="32"/>
          <w:szCs w:val="32"/>
        </w:rPr>
        <w:t>不缴纳草原植被恢复费。除以上四种情形外的农业建设占用草原的，要按照《草原征占用审核审批管理办法》依法办理草原使用手续，并依据《内蒙古自治区草原植被恢复费征收使用管理办法》缴纳草原植被恢复费。</w:t>
      </w:r>
    </w:p>
    <w:p>
      <w:pPr>
        <w:spacing w:line="360" w:lineRule="auto"/>
        <w:ind w:firstLine="640" w:firstLineChars="200"/>
        <w:rPr>
          <w:rFonts w:ascii="楷体" w:hAnsi="楷体" w:eastAsia="楷体"/>
          <w:sz w:val="32"/>
          <w:szCs w:val="32"/>
        </w:rPr>
      </w:pPr>
      <w:bookmarkStart w:id="9" w:name="bookmark17"/>
      <w:r>
        <w:rPr>
          <w:rFonts w:hint="eastAsia" w:ascii="楷体" w:hAnsi="楷体" w:eastAsia="楷体"/>
          <w:sz w:val="32"/>
          <w:szCs w:val="32"/>
        </w:rPr>
        <w:t>（四）切实加强水资源和水环境保护</w:t>
      </w:r>
    </w:p>
    <w:p>
      <w:pPr>
        <w:spacing w:line="360" w:lineRule="auto"/>
        <w:ind w:firstLine="640" w:firstLineChars="200"/>
        <w:rPr>
          <w:rFonts w:ascii="仿宋" w:hAnsi="仿宋" w:eastAsia="仿宋"/>
          <w:sz w:val="32"/>
          <w:szCs w:val="32"/>
        </w:rPr>
      </w:pPr>
      <w:r>
        <w:rPr>
          <w:rFonts w:hint="eastAsia" w:ascii="仿宋" w:hAnsi="仿宋" w:eastAsia="仿宋"/>
          <w:sz w:val="32"/>
          <w:szCs w:val="32"/>
        </w:rPr>
        <w:t>严格执行畜禽养殖禁养区制度，推广生态养殖模式，禁止在河道</w:t>
      </w:r>
      <w:r>
        <w:rPr>
          <w:rFonts w:ascii="仿宋" w:hAnsi="仿宋" w:eastAsia="仿宋"/>
          <w:sz w:val="32"/>
          <w:szCs w:val="32"/>
        </w:rPr>
        <w:t>和</w:t>
      </w:r>
      <w:r>
        <w:rPr>
          <w:rFonts w:hint="eastAsia" w:ascii="仿宋" w:hAnsi="仿宋" w:eastAsia="仿宋"/>
          <w:sz w:val="32"/>
          <w:szCs w:val="32"/>
        </w:rPr>
        <w:t>水利工程管理</w:t>
      </w:r>
      <w:r>
        <w:rPr>
          <w:rFonts w:ascii="仿宋" w:hAnsi="仿宋" w:eastAsia="仿宋"/>
          <w:sz w:val="32"/>
          <w:szCs w:val="32"/>
        </w:rPr>
        <w:t>范围</w:t>
      </w:r>
      <w:r>
        <w:rPr>
          <w:rFonts w:hint="eastAsia" w:ascii="仿宋" w:hAnsi="仿宋" w:eastAsia="仿宋"/>
          <w:sz w:val="32"/>
          <w:szCs w:val="32"/>
        </w:rPr>
        <w:t>区内发展规模化设施种养殖业，未经许可不得建设取水工程设施。</w:t>
      </w:r>
    </w:p>
    <w:p>
      <w:pPr>
        <w:pStyle w:val="13"/>
        <w:numPr>
          <w:ilvl w:val="0"/>
          <w:numId w:val="1"/>
        </w:numPr>
        <w:spacing w:line="360" w:lineRule="auto"/>
        <w:ind w:firstLineChars="0"/>
        <w:rPr>
          <w:rFonts w:ascii="楷体" w:hAnsi="楷体" w:eastAsia="楷体"/>
          <w:sz w:val="32"/>
          <w:szCs w:val="32"/>
        </w:rPr>
      </w:pPr>
      <w:r>
        <w:rPr>
          <w:rFonts w:ascii="楷体" w:hAnsi="楷体" w:eastAsia="楷体"/>
          <w:sz w:val="32"/>
          <w:szCs w:val="32"/>
        </w:rPr>
        <w:t>合理确定设施用地规模。</w:t>
      </w:r>
      <w:bookmarkEnd w:id="9"/>
    </w:p>
    <w:p>
      <w:pPr>
        <w:spacing w:line="360" w:lineRule="auto"/>
        <w:ind w:firstLine="640" w:firstLineChars="200"/>
        <w:rPr>
          <w:rFonts w:ascii="仿宋" w:hAnsi="仿宋" w:eastAsia="仿宋"/>
          <w:sz w:val="32"/>
          <w:szCs w:val="32"/>
        </w:rPr>
      </w:pPr>
      <w:r>
        <w:rPr>
          <w:rFonts w:ascii="仿宋" w:hAnsi="仿宋" w:eastAsia="仿宋"/>
          <w:sz w:val="32"/>
          <w:szCs w:val="32"/>
        </w:rPr>
        <w:t>要坚持实用、够用，节约用地的原则。看护房用地（含多栋大棚或温室集中配建的看护房，单栋控制在单层、40平方米以内）计入附属设施用地规模。“大棚房”清理整治中允许保留的耳房可继续使用，但翻建改建须按此标准执行。生产设施用地规模根据种养殖规模确定。附属设施农业用地规模与生产设施农业用地规模同步确定。养殖设施允许建设多层建（构）筑</w:t>
      </w:r>
      <w:r>
        <w:rPr>
          <w:rFonts w:hint="eastAsia" w:ascii="仿宋" w:hAnsi="仿宋" w:eastAsia="仿宋"/>
          <w:sz w:val="32"/>
          <w:szCs w:val="32"/>
        </w:rPr>
        <w:t>，</w:t>
      </w:r>
      <w:r>
        <w:rPr>
          <w:rFonts w:ascii="仿宋" w:hAnsi="仿宋" w:eastAsia="仿宋"/>
          <w:sz w:val="32"/>
          <w:szCs w:val="32"/>
        </w:rPr>
        <w:t>粮食烘干场所允许建设多层建筑</w:t>
      </w:r>
      <w:r>
        <w:rPr>
          <w:rFonts w:hint="eastAsia" w:ascii="仿宋" w:hAnsi="仿宋" w:eastAsia="仿宋"/>
          <w:sz w:val="32"/>
          <w:szCs w:val="32"/>
        </w:rPr>
        <w:t>，除</w:t>
      </w:r>
      <w:r>
        <w:rPr>
          <w:rFonts w:ascii="仿宋" w:hAnsi="仿宋" w:eastAsia="仿宋"/>
          <w:sz w:val="32"/>
          <w:szCs w:val="32"/>
        </w:rPr>
        <w:t>养殖设施</w:t>
      </w:r>
      <w:r>
        <w:rPr>
          <w:rFonts w:hint="eastAsia" w:ascii="仿宋" w:hAnsi="仿宋" w:eastAsia="仿宋"/>
          <w:sz w:val="32"/>
          <w:szCs w:val="32"/>
        </w:rPr>
        <w:t>和</w:t>
      </w:r>
      <w:r>
        <w:rPr>
          <w:rFonts w:ascii="仿宋" w:hAnsi="仿宋" w:eastAsia="仿宋"/>
          <w:sz w:val="32"/>
          <w:szCs w:val="32"/>
        </w:rPr>
        <w:t>粮食烘干场</w:t>
      </w:r>
      <w:r>
        <w:rPr>
          <w:rFonts w:hint="eastAsia" w:ascii="仿宋" w:hAnsi="仿宋" w:eastAsia="仿宋"/>
          <w:sz w:val="32"/>
          <w:szCs w:val="32"/>
        </w:rPr>
        <w:t>外的设施均应为1层。</w:t>
      </w:r>
      <w:bookmarkStart w:id="10" w:name="bookmark19"/>
      <w:bookmarkEnd w:id="10"/>
      <w:bookmarkStart w:id="11" w:name="bookmark18"/>
      <w:bookmarkEnd w:id="11"/>
    </w:p>
    <w:p>
      <w:pPr>
        <w:spacing w:line="360" w:lineRule="auto"/>
        <w:ind w:firstLine="640" w:firstLineChars="200"/>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规模化种植类附属设施农业用地规模。要坚持实用、够用，节约用地的原则。规模化种植的附属设施用地，1000亩及以下的，原则上控制在占地面积的5%以内，且附属设施用地规模控制在10亩以内；1000至5000亩之间的，控制在15亩以内； 5000至10000亩之间的，控制在20亩以内；10000亩及以上的，最大面积控制在30亩以内。</w:t>
      </w:r>
      <w:bookmarkStart w:id="12" w:name="bookmark20"/>
      <w:bookmarkEnd w:id="12"/>
    </w:p>
    <w:p>
      <w:pPr>
        <w:spacing w:line="360" w:lineRule="auto"/>
        <w:ind w:firstLine="640" w:firstLineChars="200"/>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.畜禽蚕等养殖类附属设施用地规模。一般畜禽规模化养殖类的附属设施用地规模最多不超过15亩，养蚕附属设施用地最多不超过5亩。取消生猪和牛、羊养殖附属设施用地规模15亩上限规定。</w:t>
      </w:r>
    </w:p>
    <w:p>
      <w:pPr>
        <w:spacing w:line="360" w:lineRule="auto"/>
        <w:ind w:firstLine="640" w:firstLineChars="200"/>
        <w:rPr>
          <w:rFonts w:ascii="仿宋" w:hAnsi="仿宋" w:eastAsia="仿宋"/>
          <w:sz w:val="32"/>
          <w:szCs w:val="32"/>
        </w:rPr>
      </w:pPr>
      <w:r>
        <w:rPr>
          <w:rFonts w:hint="eastAsia" w:ascii="仿宋" w:hAnsi="仿宋" w:eastAsia="仿宋"/>
          <w:sz w:val="32"/>
          <w:szCs w:val="32"/>
        </w:rPr>
        <w:t>3</w:t>
      </w:r>
      <w:r>
        <w:rPr>
          <w:rFonts w:ascii="仿宋" w:hAnsi="仿宋" w:eastAsia="仿宋"/>
          <w:sz w:val="32"/>
          <w:szCs w:val="32"/>
        </w:rPr>
        <w:t>.水产养殖类附属设施用地规模。水产养殖面积30亩（不含）以下的，附属设施用地规模最多不超过3亩；30亩（含）以上200亩（不含）以下的，附属设施用地规模最多不超过10亩；200亩（含）以上的，附属设施用地规模最多不超过20亩。</w:t>
      </w:r>
    </w:p>
    <w:p>
      <w:pPr>
        <w:spacing w:line="360" w:lineRule="auto"/>
        <w:ind w:firstLine="640" w:firstLineChars="200"/>
        <w:rPr>
          <w:rFonts w:ascii="楷体" w:hAnsi="楷体" w:eastAsia="楷体"/>
          <w:sz w:val="32"/>
          <w:szCs w:val="32"/>
        </w:rPr>
      </w:pPr>
      <w:r>
        <w:rPr>
          <w:rFonts w:hint="eastAsia" w:ascii="楷体" w:hAnsi="楷体" w:eastAsia="楷体"/>
          <w:sz w:val="32"/>
          <w:szCs w:val="32"/>
        </w:rPr>
        <w:t>（六）土地流转及其它相关措施。</w:t>
      </w:r>
    </w:p>
    <w:p>
      <w:pPr>
        <w:spacing w:line="360" w:lineRule="auto"/>
        <w:ind w:firstLine="640" w:firstLineChars="200"/>
        <w:rPr>
          <w:rFonts w:ascii="仿宋" w:hAnsi="仿宋" w:eastAsia="仿宋"/>
          <w:sz w:val="32"/>
          <w:szCs w:val="32"/>
        </w:rPr>
      </w:pPr>
      <w:r>
        <w:rPr>
          <w:rFonts w:hint="eastAsia" w:ascii="仿宋" w:hAnsi="仿宋" w:eastAsia="仿宋"/>
          <w:sz w:val="32"/>
          <w:szCs w:val="32"/>
        </w:rPr>
        <w:t>项目区涉及土地承包经营权流转的，经营者应依法先行与农村集体经济组织和承包农户签订土地承包经营权流转合同，并到旗</w:t>
      </w:r>
      <w:r>
        <w:rPr>
          <w:rFonts w:hint="eastAsia" w:ascii="仿宋" w:hAnsi="仿宋" w:eastAsia="仿宋"/>
          <w:sz w:val="32"/>
          <w:szCs w:val="32"/>
          <w:lang w:eastAsia="zh-CN"/>
        </w:rPr>
        <w:t>农牧和水利局</w:t>
      </w:r>
      <w:r>
        <w:rPr>
          <w:rFonts w:hint="eastAsia" w:ascii="仿宋" w:hAnsi="仿宋" w:eastAsia="仿宋"/>
          <w:sz w:val="32"/>
          <w:szCs w:val="32"/>
        </w:rPr>
        <w:t>备案。</w:t>
      </w:r>
    </w:p>
    <w:p>
      <w:pPr>
        <w:spacing w:line="360" w:lineRule="auto"/>
        <w:ind w:firstLine="640" w:firstLineChars="200"/>
        <w:rPr>
          <w:rFonts w:ascii="黑体" w:hAnsi="黑体" w:eastAsia="黑体"/>
          <w:sz w:val="32"/>
          <w:szCs w:val="32"/>
        </w:rPr>
      </w:pPr>
      <w:bookmarkStart w:id="13" w:name="bookmark24"/>
      <w:bookmarkStart w:id="14" w:name="bookmark23"/>
      <w:bookmarkStart w:id="15" w:name="bookmark25"/>
      <w:bookmarkStart w:id="16" w:name="bookmark22"/>
      <w:r>
        <w:rPr>
          <w:rFonts w:hint="eastAsia" w:ascii="黑体" w:hAnsi="黑体" w:eastAsia="黑体"/>
          <w:sz w:val="32"/>
          <w:szCs w:val="32"/>
        </w:rPr>
        <w:t>三</w:t>
      </w:r>
      <w:bookmarkEnd w:id="13"/>
      <w:r>
        <w:rPr>
          <w:rFonts w:hint="eastAsia" w:ascii="黑体" w:hAnsi="黑体" w:eastAsia="黑体"/>
          <w:sz w:val="32"/>
          <w:szCs w:val="32"/>
        </w:rPr>
        <w:t>、严格规范使用设施农业用地</w:t>
      </w:r>
      <w:bookmarkEnd w:id="14"/>
      <w:bookmarkEnd w:id="15"/>
      <w:bookmarkEnd w:id="16"/>
    </w:p>
    <w:p>
      <w:pPr>
        <w:spacing w:line="360" w:lineRule="auto"/>
        <w:ind w:firstLine="640" w:firstLineChars="200"/>
        <w:rPr>
          <w:rFonts w:ascii="仿宋" w:hAnsi="仿宋" w:eastAsia="仿宋"/>
          <w:sz w:val="32"/>
          <w:szCs w:val="32"/>
        </w:rPr>
      </w:pPr>
      <w:bookmarkStart w:id="17" w:name="bookmark29"/>
      <w:r>
        <w:rPr>
          <w:rFonts w:hint="eastAsia" w:ascii="仿宋" w:hAnsi="仿宋" w:eastAsia="仿宋"/>
          <w:sz w:val="32"/>
          <w:szCs w:val="32"/>
        </w:rPr>
        <w:t>1</w:t>
      </w:r>
      <w:bookmarkEnd w:id="17"/>
      <w:r>
        <w:rPr>
          <w:rFonts w:hint="eastAsia" w:ascii="仿宋" w:hAnsi="仿宋" w:eastAsia="仿宋"/>
          <w:sz w:val="32"/>
          <w:szCs w:val="32"/>
        </w:rPr>
        <w:t>.设施农业用地按原地类进行管理，占用农用地的，不需办理农用地转用审批手续</w:t>
      </w:r>
      <w:r>
        <w:rPr>
          <w:rFonts w:ascii="仿宋" w:hAnsi="仿宋" w:eastAsia="仿宋"/>
          <w:sz w:val="32"/>
          <w:szCs w:val="32"/>
        </w:rPr>
        <w:t>。</w:t>
      </w:r>
    </w:p>
    <w:p>
      <w:pPr>
        <w:spacing w:line="360" w:lineRule="auto"/>
        <w:ind w:firstLine="640" w:firstLineChars="200"/>
        <w:rPr>
          <w:rFonts w:ascii="仿宋" w:hAnsi="仿宋" w:eastAsia="仿宋"/>
          <w:sz w:val="32"/>
          <w:szCs w:val="32"/>
        </w:rPr>
      </w:pPr>
      <w:bookmarkStart w:id="18" w:name="bookmark30"/>
      <w:r>
        <w:rPr>
          <w:rFonts w:hint="eastAsia" w:ascii="仿宋" w:hAnsi="仿宋" w:eastAsia="仿宋"/>
          <w:sz w:val="32"/>
          <w:szCs w:val="32"/>
        </w:rPr>
        <w:t>2</w:t>
      </w:r>
      <w:bookmarkEnd w:id="18"/>
      <w:r>
        <w:rPr>
          <w:rFonts w:hint="eastAsia" w:ascii="仿宋" w:hAnsi="仿宋" w:eastAsia="仿宋"/>
          <w:sz w:val="32"/>
          <w:szCs w:val="32"/>
        </w:rPr>
        <w:t>.利用耕作层土壤的农业生产简易大棚不纳入设施农业用地范围，按原地类管理。设施农业用地确需占用耕地且影响耕作层的，通过耕作层土壤剥离、架空、隔离布或预制板铺面隔离等保护土壤耕作层的工程技术措施，减少对耕作层的破坏。</w:t>
      </w:r>
    </w:p>
    <w:p>
      <w:pPr>
        <w:spacing w:line="360" w:lineRule="auto"/>
        <w:ind w:firstLine="640" w:firstLineChars="200"/>
        <w:rPr>
          <w:rFonts w:ascii="仿宋" w:hAnsi="仿宋" w:eastAsia="仿宋"/>
          <w:sz w:val="32"/>
          <w:szCs w:val="32"/>
        </w:rPr>
      </w:pPr>
      <w:bookmarkStart w:id="19" w:name="bookmark31"/>
      <w:r>
        <w:rPr>
          <w:rFonts w:hint="eastAsia" w:ascii="仿宋" w:hAnsi="仿宋" w:eastAsia="仿宋"/>
          <w:sz w:val="32"/>
          <w:szCs w:val="32"/>
        </w:rPr>
        <w:t>3</w:t>
      </w:r>
      <w:bookmarkEnd w:id="19"/>
      <w:r>
        <w:rPr>
          <w:rFonts w:hint="eastAsia" w:ascii="仿宋" w:hAnsi="仿宋" w:eastAsia="仿宋"/>
          <w:sz w:val="32"/>
          <w:szCs w:val="32"/>
        </w:rPr>
        <w:t>.畜禽规模养殖需配建综合利用和无害化处理设施，未建设合格的污染防治配套设施，或者未委托他人对畜禽养殖废弃物进行综合利用和无害化处理的，畜禽养殖场、养殖小区不得投入生产或者使用。</w:t>
      </w:r>
    </w:p>
    <w:p>
      <w:pPr>
        <w:spacing w:line="360" w:lineRule="auto"/>
        <w:ind w:firstLine="640" w:firstLineChars="200"/>
        <w:rPr>
          <w:rFonts w:ascii="仿宋" w:hAnsi="仿宋" w:eastAsia="仿宋"/>
          <w:sz w:val="32"/>
          <w:szCs w:val="32"/>
        </w:rPr>
      </w:pPr>
      <w:bookmarkStart w:id="20" w:name="bookmark32"/>
      <w:r>
        <w:rPr>
          <w:rFonts w:hint="eastAsia" w:ascii="仿宋" w:hAnsi="仿宋" w:eastAsia="仿宋"/>
          <w:sz w:val="32"/>
          <w:szCs w:val="32"/>
        </w:rPr>
        <w:t>4</w:t>
      </w:r>
      <w:bookmarkEnd w:id="20"/>
      <w:r>
        <w:rPr>
          <w:rFonts w:hint="eastAsia" w:ascii="仿宋" w:hAnsi="仿宋" w:eastAsia="仿宋"/>
          <w:sz w:val="32"/>
          <w:szCs w:val="32"/>
        </w:rPr>
        <w:t>.设施农业用地不再使用的，必须恢复原用途。设施农业用地被非农建设占用的，依法办理建设用地审批手续。</w:t>
      </w:r>
    </w:p>
    <w:p>
      <w:pPr>
        <w:spacing w:line="360" w:lineRule="auto"/>
        <w:ind w:firstLine="640" w:firstLineChars="200"/>
        <w:rPr>
          <w:rFonts w:ascii="仿宋" w:hAnsi="仿宋" w:eastAsia="仿宋"/>
          <w:sz w:val="32"/>
          <w:szCs w:val="32"/>
        </w:rPr>
      </w:pPr>
      <w:bookmarkStart w:id="21" w:name="bookmark33"/>
      <w:r>
        <w:rPr>
          <w:rFonts w:hint="eastAsia" w:ascii="仿宋" w:hAnsi="仿宋" w:eastAsia="仿宋"/>
          <w:sz w:val="32"/>
          <w:szCs w:val="32"/>
        </w:rPr>
        <w:t>5</w:t>
      </w:r>
      <w:bookmarkEnd w:id="21"/>
      <w:r>
        <w:rPr>
          <w:rFonts w:hint="eastAsia" w:ascii="仿宋" w:hAnsi="仿宋" w:eastAsia="仿宋"/>
          <w:sz w:val="32"/>
          <w:szCs w:val="32"/>
        </w:rPr>
        <w:t>.设施农业用地的使用期限。设施农业用地的使用期限因生产需要而定，在签订用地协议中明确，不得超过土地承包经营期或土地经营权流转合同确定的期限。设施农业用地使用期限到期的，如果需继续使用，必须重新办理续期手续。</w:t>
      </w:r>
    </w:p>
    <w:p>
      <w:pPr>
        <w:spacing w:line="360" w:lineRule="auto"/>
        <w:ind w:firstLine="640" w:firstLineChars="200"/>
        <w:rPr>
          <w:rFonts w:ascii="黑体" w:hAnsi="黑体" w:eastAsia="黑体"/>
          <w:sz w:val="32"/>
          <w:szCs w:val="32"/>
        </w:rPr>
      </w:pPr>
      <w:bookmarkStart w:id="22" w:name="_Hlk60066818"/>
      <w:r>
        <w:rPr>
          <w:rFonts w:hint="eastAsia" w:ascii="黑体" w:hAnsi="黑体" w:eastAsia="黑体"/>
          <w:sz w:val="32"/>
          <w:szCs w:val="32"/>
        </w:rPr>
        <w:t>四、规范设施农业建设项目审批程序</w:t>
      </w:r>
    </w:p>
    <w:p>
      <w:pPr>
        <w:spacing w:line="360" w:lineRule="auto"/>
        <w:ind w:firstLine="640" w:firstLineChars="200"/>
        <w:rPr>
          <w:rFonts w:ascii="仿宋" w:hAnsi="仿宋" w:eastAsia="仿宋"/>
          <w:sz w:val="32"/>
          <w:szCs w:val="32"/>
        </w:rPr>
      </w:pPr>
      <w:r>
        <w:rPr>
          <w:rFonts w:hint="eastAsia" w:ascii="仿宋" w:hAnsi="仿宋" w:eastAsia="仿宋"/>
          <w:sz w:val="32"/>
          <w:szCs w:val="32"/>
        </w:rPr>
        <w:t>设施农业用地实行用地协议备案制，由辖区镇人民政府备案，镇人民政府、村（嘎查）集体经济组织是设施农业用地的管理主体，旗自然资源局和</w:t>
      </w:r>
      <w:r>
        <w:rPr>
          <w:rFonts w:hint="eastAsia" w:ascii="仿宋" w:hAnsi="仿宋" w:eastAsia="仿宋"/>
          <w:sz w:val="32"/>
          <w:szCs w:val="32"/>
          <w:lang w:eastAsia="zh-CN"/>
        </w:rPr>
        <w:t>农牧和水利局</w:t>
      </w:r>
      <w:r>
        <w:rPr>
          <w:rFonts w:hint="eastAsia" w:ascii="仿宋" w:hAnsi="仿宋" w:eastAsia="仿宋"/>
          <w:sz w:val="32"/>
          <w:szCs w:val="32"/>
        </w:rPr>
        <w:t>负责设施农业用地的监管。为提高服务质量和审批效率，减轻农牧业生产经营者负担，设施农业建设项目的审批过程不得收取费用，但编写可研、勘界等费用应由经营者承担。具体审批程序如下：</w:t>
      </w:r>
    </w:p>
    <w:p>
      <w:pPr>
        <w:spacing w:line="360" w:lineRule="auto"/>
        <w:ind w:firstLine="640" w:firstLineChars="200"/>
        <w:rPr>
          <w:rFonts w:ascii="仿宋" w:hAnsi="仿宋" w:eastAsia="仿宋"/>
          <w:sz w:val="32"/>
          <w:szCs w:val="32"/>
        </w:rPr>
      </w:pPr>
      <w:r>
        <w:rPr>
          <w:rFonts w:hint="eastAsia" w:ascii="楷体" w:hAnsi="楷体" w:eastAsia="楷体"/>
          <w:sz w:val="32"/>
          <w:szCs w:val="32"/>
        </w:rPr>
        <w:t>（一）签订用地协议。</w:t>
      </w:r>
      <w:r>
        <w:rPr>
          <w:rFonts w:hint="eastAsia" w:ascii="仿宋" w:hAnsi="仿宋" w:eastAsia="仿宋"/>
          <w:sz w:val="32"/>
          <w:szCs w:val="32"/>
        </w:rPr>
        <w:t>设施兴建前，与土地承包者和土地实际经营者达成一致意见后，设施农业用地经营者与村（嘎查）集体经济组织、镇人民政府协商土地使用年限、设施用途、土地复垦要求及时限、土地交还和违约责任等有关土地使用条件。并持设施农业用地经营者身份证明、设施农业建设方案（内容包括设施农业项目名称、建设地点、设施类型和用途、数量、生产及附属设施用地规模，含用地范围的最新土地利用现状平面布置图等）向村（嘎查）集体经济组织提出用地申请。经村（嘎查）集体经济组织审核同意后，通过村（嘎查）政务公开等形式向社会予以公告，时间不少于10天。公示公告无异议的，设施农业用地经营者与村（嘎查）集体经济组织签订用地协议。</w:t>
      </w:r>
    </w:p>
    <w:p>
      <w:pPr>
        <w:spacing w:line="360" w:lineRule="auto"/>
        <w:ind w:firstLine="640" w:firstLineChars="200"/>
        <w:rPr>
          <w:rFonts w:ascii="仿宋" w:hAnsi="仿宋" w:eastAsia="仿宋"/>
          <w:sz w:val="32"/>
          <w:szCs w:val="32"/>
        </w:rPr>
      </w:pPr>
      <w:r>
        <w:rPr>
          <w:rFonts w:hint="eastAsia" w:ascii="楷体" w:hAnsi="楷体" w:eastAsia="楷体"/>
          <w:sz w:val="32"/>
          <w:szCs w:val="32"/>
        </w:rPr>
        <w:t>（二）经营者提出申请。</w:t>
      </w:r>
      <w:r>
        <w:rPr>
          <w:rFonts w:hint="eastAsia" w:ascii="仿宋" w:hAnsi="仿宋" w:eastAsia="仿宋"/>
          <w:sz w:val="32"/>
          <w:szCs w:val="32"/>
        </w:rPr>
        <w:t>申请设施农业建设项目的单位或个人，需向项目所在地镇人民政府提交设施农业建设项目的书面申请，申请报告要包括项目名称、建设地点、用地面积、拟建设施的类型、数量和用地规模等。同时，提供建设规划图纸，对各种项目的位置、面积进行确定（附坐标图），一次性提交设施农业用地审批所需的组件材料，便于提供服务和监管。</w:t>
      </w:r>
    </w:p>
    <w:p>
      <w:pPr>
        <w:spacing w:line="360" w:lineRule="auto"/>
        <w:ind w:firstLine="640" w:firstLineChars="200"/>
        <w:rPr>
          <w:rFonts w:ascii="仿宋" w:hAnsi="仿宋" w:eastAsia="仿宋"/>
          <w:sz w:val="32"/>
          <w:szCs w:val="32"/>
        </w:rPr>
      </w:pPr>
      <w:r>
        <w:rPr>
          <w:rFonts w:hint="eastAsia" w:ascii="楷体" w:hAnsi="楷体" w:eastAsia="楷体"/>
          <w:sz w:val="32"/>
          <w:szCs w:val="32"/>
        </w:rPr>
        <w:t>（三）镇人民政府审查。</w:t>
      </w:r>
      <w:r>
        <w:rPr>
          <w:rFonts w:hint="eastAsia" w:ascii="仿宋" w:hAnsi="仿宋" w:eastAsia="仿宋"/>
          <w:sz w:val="32"/>
          <w:szCs w:val="32"/>
        </w:rPr>
        <w:t>镇人民政府接到申请后，要立足本地区的农牧业发展实际，对申请者提交的</w:t>
      </w:r>
      <w:r>
        <w:rPr>
          <w:rFonts w:ascii="仿宋" w:hAnsi="仿宋" w:eastAsia="仿宋"/>
          <w:sz w:val="32"/>
          <w:szCs w:val="32"/>
        </w:rPr>
        <w:t>设施农业建设方案（内容包括设施农业项目名称、建设地点、设施类型</w:t>
      </w:r>
      <w:r>
        <w:rPr>
          <w:rFonts w:hint="eastAsia" w:ascii="仿宋" w:hAnsi="仿宋" w:eastAsia="仿宋"/>
          <w:sz w:val="32"/>
          <w:szCs w:val="32"/>
        </w:rPr>
        <w:t>、项目选址</w:t>
      </w:r>
      <w:r>
        <w:rPr>
          <w:rFonts w:ascii="仿宋" w:hAnsi="仿宋" w:eastAsia="仿宋"/>
          <w:sz w:val="32"/>
          <w:szCs w:val="32"/>
        </w:rPr>
        <w:t>和用途、数量、生产及附属设施用地规模，含用地范围的最新土地利用现状平面布置图等）</w:t>
      </w:r>
      <w:r>
        <w:rPr>
          <w:rFonts w:hint="eastAsia" w:ascii="仿宋" w:hAnsi="仿宋" w:eastAsia="仿宋"/>
          <w:sz w:val="32"/>
          <w:szCs w:val="32"/>
        </w:rPr>
        <w:t>等进行审查；组织镇人民政府相关部门对辖区内新申报的设施农业项目进行现场勘验，对申请者提交的</w:t>
      </w:r>
      <w:r>
        <w:rPr>
          <w:rFonts w:ascii="仿宋" w:hAnsi="仿宋" w:eastAsia="仿宋"/>
          <w:sz w:val="32"/>
          <w:szCs w:val="32"/>
        </w:rPr>
        <w:t>设施农业</w:t>
      </w:r>
      <w:r>
        <w:rPr>
          <w:rFonts w:hint="eastAsia" w:ascii="仿宋" w:hAnsi="仿宋" w:eastAsia="仿宋"/>
          <w:sz w:val="32"/>
          <w:szCs w:val="32"/>
        </w:rPr>
        <w:t>用地审批所需的组件材料进行审核，审核通过后，报至旗投资项目 “一站式”服务中心。</w:t>
      </w:r>
    </w:p>
    <w:p>
      <w:pPr>
        <w:spacing w:line="360" w:lineRule="auto"/>
        <w:ind w:firstLine="640" w:firstLineChars="200"/>
        <w:rPr>
          <w:rFonts w:ascii="仿宋" w:hAnsi="仿宋" w:eastAsia="仿宋"/>
          <w:sz w:val="32"/>
          <w:szCs w:val="32"/>
        </w:rPr>
      </w:pPr>
      <w:r>
        <w:rPr>
          <w:rFonts w:hint="eastAsia" w:ascii="楷体" w:hAnsi="楷体" w:eastAsia="楷体"/>
          <w:sz w:val="32"/>
          <w:szCs w:val="32"/>
        </w:rPr>
        <w:t>（四）旗投资项目“一站式”服务。</w:t>
      </w:r>
      <w:r>
        <w:rPr>
          <w:rFonts w:hint="eastAsia" w:ascii="仿宋" w:hAnsi="仿宋" w:eastAsia="仿宋"/>
          <w:sz w:val="32"/>
          <w:szCs w:val="32"/>
        </w:rPr>
        <w:t>旗投资项目“一站式”服务中心</w:t>
      </w:r>
      <w:bookmarkStart w:id="23" w:name="_Hlk54713485"/>
      <w:r>
        <w:rPr>
          <w:rFonts w:hint="eastAsia" w:ascii="仿宋" w:hAnsi="仿宋" w:eastAsia="仿宋"/>
          <w:sz w:val="32"/>
          <w:szCs w:val="32"/>
        </w:rPr>
        <w:t>组织各相关部门审批窗口首席代表对相关材料进行审核</w:t>
      </w:r>
      <w:bookmarkEnd w:id="23"/>
      <w:r>
        <w:rPr>
          <w:rFonts w:hint="eastAsia" w:ascii="仿宋" w:hAnsi="仿宋" w:eastAsia="仿宋"/>
          <w:sz w:val="32"/>
          <w:szCs w:val="32"/>
        </w:rPr>
        <w:t>。</w:t>
      </w:r>
    </w:p>
    <w:p>
      <w:pPr>
        <w:spacing w:line="360" w:lineRule="auto"/>
        <w:ind w:firstLine="642" w:firstLineChars="200"/>
        <w:rPr>
          <w:rFonts w:ascii="仿宋" w:hAnsi="仿宋" w:eastAsia="仿宋"/>
          <w:sz w:val="32"/>
          <w:szCs w:val="32"/>
        </w:rPr>
      </w:pPr>
      <w:r>
        <w:rPr>
          <w:rFonts w:hint="eastAsia" w:ascii="仿宋" w:hAnsi="仿宋" w:eastAsia="仿宋"/>
          <w:b/>
          <w:bCs/>
          <w:sz w:val="32"/>
          <w:szCs w:val="32"/>
        </w:rPr>
        <w:t>审批流程：</w:t>
      </w:r>
      <w:r>
        <w:rPr>
          <w:rFonts w:hint="eastAsia" w:ascii="仿宋" w:hAnsi="仿宋" w:eastAsia="仿宋"/>
          <w:sz w:val="32"/>
          <w:szCs w:val="32"/>
        </w:rPr>
        <w:t>接件（1天）—审核（</w:t>
      </w:r>
      <w:r>
        <w:rPr>
          <w:rFonts w:ascii="仿宋" w:hAnsi="仿宋" w:eastAsia="仿宋"/>
          <w:sz w:val="32"/>
          <w:szCs w:val="32"/>
        </w:rPr>
        <w:t>18</w:t>
      </w:r>
      <w:r>
        <w:rPr>
          <w:rFonts w:hint="eastAsia" w:ascii="仿宋" w:hAnsi="仿宋" w:eastAsia="仿宋"/>
          <w:sz w:val="32"/>
          <w:szCs w:val="32"/>
        </w:rPr>
        <w:t>天）—办结（1天）</w:t>
      </w:r>
    </w:p>
    <w:p>
      <w:pPr>
        <w:spacing w:line="360" w:lineRule="auto"/>
        <w:ind w:firstLine="642" w:firstLineChars="200"/>
        <w:rPr>
          <w:rFonts w:ascii="仿宋" w:hAnsi="仿宋" w:eastAsia="仿宋"/>
          <w:sz w:val="32"/>
          <w:szCs w:val="32"/>
        </w:rPr>
      </w:pPr>
      <w:r>
        <w:rPr>
          <w:rFonts w:hint="eastAsia" w:ascii="仿宋" w:hAnsi="仿宋" w:eastAsia="仿宋"/>
          <w:b/>
          <w:bCs/>
          <w:sz w:val="32"/>
          <w:szCs w:val="32"/>
        </w:rPr>
        <w:t>审批时限：</w:t>
      </w:r>
      <w:r>
        <w:rPr>
          <w:rFonts w:hint="eastAsia" w:ascii="仿宋" w:hAnsi="仿宋" w:eastAsia="仿宋"/>
          <w:sz w:val="32"/>
          <w:szCs w:val="32"/>
        </w:rPr>
        <w:t>2</w:t>
      </w:r>
      <w:r>
        <w:rPr>
          <w:rFonts w:ascii="仿宋" w:hAnsi="仿宋" w:eastAsia="仿宋"/>
          <w:sz w:val="32"/>
          <w:szCs w:val="32"/>
        </w:rPr>
        <w:t>0</w:t>
      </w:r>
      <w:r>
        <w:rPr>
          <w:rFonts w:hint="eastAsia" w:ascii="仿宋" w:hAnsi="仿宋" w:eastAsia="仿宋"/>
          <w:sz w:val="32"/>
          <w:szCs w:val="32"/>
        </w:rPr>
        <w:t>个工作日</w:t>
      </w:r>
    </w:p>
    <w:p>
      <w:pPr>
        <w:spacing w:line="360" w:lineRule="auto"/>
        <w:ind w:firstLine="642" w:firstLineChars="200"/>
        <w:rPr>
          <w:rFonts w:ascii="仿宋" w:hAnsi="仿宋" w:eastAsia="仿宋"/>
          <w:sz w:val="32"/>
          <w:szCs w:val="32"/>
        </w:rPr>
      </w:pPr>
      <w:r>
        <w:rPr>
          <w:rFonts w:hint="eastAsia" w:ascii="仿宋" w:hAnsi="仿宋" w:eastAsia="仿宋"/>
          <w:b/>
          <w:bCs/>
          <w:sz w:val="32"/>
          <w:szCs w:val="32"/>
        </w:rPr>
        <w:t>1.旗农牧</w:t>
      </w:r>
      <w:r>
        <w:rPr>
          <w:rFonts w:hint="eastAsia" w:ascii="仿宋" w:hAnsi="仿宋" w:eastAsia="仿宋"/>
          <w:b/>
          <w:bCs/>
          <w:sz w:val="32"/>
          <w:szCs w:val="32"/>
          <w:lang w:val="en-US" w:eastAsia="zh-CN"/>
        </w:rPr>
        <w:t>和水利</w:t>
      </w:r>
      <w:r>
        <w:rPr>
          <w:rFonts w:hint="eastAsia" w:ascii="仿宋" w:hAnsi="仿宋" w:eastAsia="仿宋"/>
          <w:b/>
          <w:bCs/>
          <w:sz w:val="32"/>
          <w:szCs w:val="32"/>
        </w:rPr>
        <w:t>局审核。</w:t>
      </w:r>
      <w:r>
        <w:rPr>
          <w:rFonts w:hint="eastAsia" w:ascii="仿宋" w:hAnsi="仿宋" w:eastAsia="仿宋"/>
          <w:sz w:val="32"/>
          <w:szCs w:val="32"/>
        </w:rPr>
        <w:t>旗农牧</w:t>
      </w:r>
      <w:r>
        <w:rPr>
          <w:rFonts w:hint="eastAsia" w:ascii="仿宋" w:hAnsi="仿宋" w:eastAsia="仿宋"/>
          <w:sz w:val="32"/>
          <w:szCs w:val="32"/>
          <w:lang w:val="en-US" w:eastAsia="zh-CN"/>
        </w:rPr>
        <w:t>和水利</w:t>
      </w:r>
      <w:r>
        <w:rPr>
          <w:rFonts w:hint="eastAsia" w:ascii="仿宋" w:hAnsi="仿宋" w:eastAsia="仿宋"/>
          <w:sz w:val="32"/>
          <w:szCs w:val="32"/>
        </w:rPr>
        <w:t>局要对项目设施建设的必要性和可行性，承包土地用途调整的必要性和合理性，土地流转合同等进行审核；对项目的</w:t>
      </w:r>
      <w:r>
        <w:rPr>
          <w:rFonts w:ascii="仿宋" w:hAnsi="仿宋" w:eastAsia="仿宋"/>
          <w:sz w:val="32"/>
          <w:szCs w:val="32"/>
        </w:rPr>
        <w:t>设施农业建设方案（内容包括设施农业项目名称、建设地点、设施类型</w:t>
      </w:r>
      <w:r>
        <w:rPr>
          <w:rFonts w:hint="eastAsia" w:ascii="仿宋" w:hAnsi="仿宋" w:eastAsia="仿宋"/>
          <w:sz w:val="32"/>
          <w:szCs w:val="32"/>
        </w:rPr>
        <w:t>、项目选址</w:t>
      </w:r>
      <w:r>
        <w:rPr>
          <w:rFonts w:ascii="仿宋" w:hAnsi="仿宋" w:eastAsia="仿宋"/>
          <w:sz w:val="32"/>
          <w:szCs w:val="32"/>
        </w:rPr>
        <w:t>和用途、数量、生产及附属设施用地规模，含用地范围的最新土地利用现状平面布置图等）</w:t>
      </w:r>
      <w:r>
        <w:rPr>
          <w:rFonts w:hint="eastAsia" w:ascii="仿宋" w:hAnsi="仿宋" w:eastAsia="仿宋"/>
          <w:sz w:val="32"/>
          <w:szCs w:val="32"/>
        </w:rPr>
        <w:t>等进行分析和审核；对该项目的规划和合理布局进行指导；对达到一定的规模的</w:t>
      </w:r>
      <w:r>
        <w:rPr>
          <w:rFonts w:ascii="仿宋" w:hAnsi="仿宋" w:eastAsia="仿宋"/>
          <w:sz w:val="32"/>
          <w:szCs w:val="32"/>
        </w:rPr>
        <w:t>设施农业</w:t>
      </w:r>
      <w:r>
        <w:rPr>
          <w:rFonts w:hint="eastAsia" w:ascii="仿宋" w:hAnsi="仿宋" w:eastAsia="仿宋"/>
          <w:sz w:val="32"/>
          <w:szCs w:val="32"/>
        </w:rPr>
        <w:t>项目，是否按照相关规定配套建设畜禽粪污处理设施等进行审核；对</w:t>
      </w:r>
      <w:r>
        <w:rPr>
          <w:rFonts w:ascii="仿宋" w:hAnsi="仿宋" w:eastAsia="仿宋"/>
          <w:sz w:val="32"/>
          <w:szCs w:val="32"/>
        </w:rPr>
        <w:t>设施农业</w:t>
      </w:r>
      <w:r>
        <w:rPr>
          <w:rFonts w:hint="eastAsia" w:ascii="仿宋" w:hAnsi="仿宋" w:eastAsia="仿宋"/>
          <w:sz w:val="32"/>
          <w:szCs w:val="32"/>
        </w:rPr>
        <w:t>项目用地在取水以及是否占河道及水利工程管理</w:t>
      </w:r>
      <w:r>
        <w:rPr>
          <w:rFonts w:ascii="仿宋" w:hAnsi="仿宋" w:eastAsia="仿宋"/>
          <w:sz w:val="32"/>
          <w:szCs w:val="32"/>
        </w:rPr>
        <w:t>范围</w:t>
      </w:r>
      <w:r>
        <w:rPr>
          <w:rFonts w:hint="eastAsia" w:ascii="仿宋" w:hAnsi="仿宋" w:eastAsia="仿宋"/>
          <w:sz w:val="32"/>
          <w:szCs w:val="32"/>
        </w:rPr>
        <w:t>等方面进行审核，出具审核意见；配合旗</w:t>
      </w:r>
      <w:r>
        <w:rPr>
          <w:rFonts w:ascii="仿宋" w:hAnsi="仿宋" w:eastAsia="仿宋"/>
          <w:sz w:val="32"/>
          <w:szCs w:val="32"/>
        </w:rPr>
        <w:t>自然资源</w:t>
      </w:r>
      <w:r>
        <w:rPr>
          <w:rFonts w:hint="eastAsia" w:ascii="仿宋" w:hAnsi="仿宋" w:eastAsia="仿宋"/>
          <w:sz w:val="32"/>
          <w:szCs w:val="32"/>
        </w:rPr>
        <w:t>局</w:t>
      </w:r>
      <w:r>
        <w:rPr>
          <w:rFonts w:ascii="仿宋" w:hAnsi="仿宋" w:eastAsia="仿宋"/>
          <w:sz w:val="32"/>
          <w:szCs w:val="32"/>
        </w:rPr>
        <w:t>对设施农业项目使用</w:t>
      </w:r>
      <w:r>
        <w:rPr>
          <w:rFonts w:hint="eastAsia" w:ascii="仿宋" w:hAnsi="仿宋" w:eastAsia="仿宋"/>
          <w:sz w:val="32"/>
          <w:szCs w:val="32"/>
        </w:rPr>
        <w:t>一般耕地</w:t>
      </w:r>
      <w:r>
        <w:rPr>
          <w:rFonts w:ascii="仿宋" w:hAnsi="仿宋" w:eastAsia="仿宋"/>
          <w:sz w:val="32"/>
          <w:szCs w:val="32"/>
        </w:rPr>
        <w:t>的必要性和是否破坏耕地耕作层进行认定</w:t>
      </w:r>
      <w:r>
        <w:rPr>
          <w:rFonts w:hint="eastAsia" w:ascii="仿宋" w:hAnsi="仿宋" w:eastAsia="仿宋"/>
          <w:sz w:val="32"/>
          <w:szCs w:val="32"/>
        </w:rPr>
        <w:t>；负责协调市级及以上农牧</w:t>
      </w:r>
      <w:r>
        <w:rPr>
          <w:rFonts w:hint="eastAsia" w:ascii="仿宋" w:hAnsi="仿宋" w:eastAsia="仿宋"/>
          <w:sz w:val="32"/>
          <w:szCs w:val="32"/>
          <w:lang w:val="en-US" w:eastAsia="zh-CN"/>
        </w:rPr>
        <w:t>和水利</w:t>
      </w:r>
      <w:r>
        <w:rPr>
          <w:rFonts w:hint="eastAsia" w:ascii="仿宋" w:hAnsi="仿宋" w:eastAsia="仿宋"/>
          <w:sz w:val="32"/>
          <w:szCs w:val="32"/>
        </w:rPr>
        <w:t>主管部门的相关审批事项；</w:t>
      </w:r>
      <w:r>
        <w:rPr>
          <w:rFonts w:ascii="仿宋" w:hAnsi="仿宋" w:eastAsia="仿宋"/>
          <w:sz w:val="32"/>
          <w:szCs w:val="32"/>
        </w:rPr>
        <w:t>要建立设施农业用地台账（内容包括设施农业项目名称、建设地点、设施类型和用途、数量、生产及附属设施用地规模、用地期限、是否破坏耕作层和用地坐标等）并进行年度更新</w:t>
      </w:r>
      <w:r>
        <w:rPr>
          <w:rFonts w:hint="eastAsia" w:ascii="仿宋" w:hAnsi="仿宋" w:eastAsia="仿宋"/>
          <w:sz w:val="32"/>
          <w:szCs w:val="32"/>
        </w:rPr>
        <w:t>。在对</w:t>
      </w:r>
      <w:r>
        <w:rPr>
          <w:rFonts w:ascii="仿宋" w:hAnsi="仿宋" w:eastAsia="仿宋"/>
          <w:sz w:val="32"/>
          <w:szCs w:val="32"/>
        </w:rPr>
        <w:t>设施农业</w:t>
      </w:r>
      <w:r>
        <w:rPr>
          <w:rFonts w:hint="eastAsia" w:ascii="仿宋" w:hAnsi="仿宋" w:eastAsia="仿宋"/>
          <w:sz w:val="32"/>
          <w:szCs w:val="32"/>
        </w:rPr>
        <w:t>用地审批所需的组件材料（涉及农牧</w:t>
      </w:r>
      <w:r>
        <w:rPr>
          <w:rFonts w:hint="eastAsia" w:ascii="仿宋" w:hAnsi="仿宋" w:eastAsia="仿宋"/>
          <w:sz w:val="32"/>
          <w:szCs w:val="32"/>
          <w:lang w:val="en-US" w:eastAsia="zh-CN"/>
        </w:rPr>
        <w:t>和水利</w:t>
      </w:r>
      <w:r>
        <w:rPr>
          <w:rFonts w:hint="eastAsia" w:ascii="仿宋" w:hAnsi="仿宋" w:eastAsia="仿宋"/>
          <w:sz w:val="32"/>
          <w:szCs w:val="32"/>
        </w:rPr>
        <w:t>局审核的部分）审核后，对存在的问题及时汇总反馈至相关镇人民政府，及时整改。</w:t>
      </w:r>
      <w:r>
        <w:rPr>
          <w:rFonts w:ascii="仿宋" w:hAnsi="仿宋" w:eastAsia="仿宋"/>
          <w:sz w:val="32"/>
          <w:szCs w:val="32"/>
        </w:rPr>
        <w:t xml:space="preserve"> </w:t>
      </w:r>
    </w:p>
    <w:p>
      <w:pPr>
        <w:spacing w:line="360" w:lineRule="auto"/>
        <w:ind w:firstLine="642" w:firstLineChars="200"/>
        <w:rPr>
          <w:rFonts w:ascii="仿宋" w:hAnsi="仿宋" w:eastAsia="仿宋"/>
          <w:sz w:val="32"/>
          <w:szCs w:val="32"/>
        </w:rPr>
      </w:pPr>
      <w:r>
        <w:rPr>
          <w:rFonts w:hint="eastAsia" w:ascii="仿宋" w:hAnsi="仿宋" w:eastAsia="仿宋"/>
          <w:b/>
          <w:bCs/>
          <w:sz w:val="32"/>
          <w:szCs w:val="32"/>
        </w:rPr>
        <w:t>2.旗生态环境局。</w:t>
      </w:r>
      <w:r>
        <w:rPr>
          <w:rFonts w:hint="eastAsia" w:ascii="仿宋" w:hAnsi="仿宋" w:eastAsia="仿宋"/>
          <w:sz w:val="32"/>
          <w:szCs w:val="32"/>
        </w:rPr>
        <w:t>旗生态环境局对</w:t>
      </w:r>
      <w:r>
        <w:rPr>
          <w:rFonts w:ascii="仿宋" w:hAnsi="仿宋" w:eastAsia="仿宋"/>
          <w:sz w:val="32"/>
          <w:szCs w:val="32"/>
        </w:rPr>
        <w:t>设施农业</w:t>
      </w:r>
      <w:r>
        <w:rPr>
          <w:rFonts w:hint="eastAsia" w:ascii="仿宋" w:hAnsi="仿宋" w:eastAsia="仿宋"/>
          <w:sz w:val="32"/>
          <w:szCs w:val="32"/>
        </w:rPr>
        <w:t>项目用地在生态环境保护以及是否占水源地等方面进行审核，出具审核意见；负责协调市级及以上生态环境主管部门的相关审批事项。在对</w:t>
      </w:r>
      <w:r>
        <w:rPr>
          <w:rFonts w:ascii="仿宋" w:hAnsi="仿宋" w:eastAsia="仿宋"/>
          <w:sz w:val="32"/>
          <w:szCs w:val="32"/>
        </w:rPr>
        <w:t>设施农业</w:t>
      </w:r>
      <w:r>
        <w:rPr>
          <w:rFonts w:hint="eastAsia" w:ascii="仿宋" w:hAnsi="仿宋" w:eastAsia="仿宋"/>
          <w:sz w:val="32"/>
          <w:szCs w:val="32"/>
        </w:rPr>
        <w:t>用地审批所需的组件材料（涉及生态环境局审核的部分）审核后，对存在的问题及时汇总反馈至相关镇人民政府，及时整改。</w:t>
      </w:r>
    </w:p>
    <w:p>
      <w:pPr>
        <w:spacing w:line="360" w:lineRule="auto"/>
        <w:ind w:firstLine="642" w:firstLineChars="200"/>
        <w:rPr>
          <w:rFonts w:ascii="仿宋" w:hAnsi="仿宋" w:eastAsia="仿宋"/>
          <w:sz w:val="32"/>
          <w:szCs w:val="32"/>
        </w:rPr>
      </w:pPr>
      <w:r>
        <w:rPr>
          <w:rFonts w:hint="eastAsia" w:ascii="仿宋" w:hAnsi="仿宋" w:eastAsia="仿宋"/>
          <w:b/>
          <w:bCs/>
          <w:sz w:val="32"/>
          <w:szCs w:val="32"/>
        </w:rPr>
        <w:t>3.旗林业和草原局审核。</w:t>
      </w:r>
      <w:r>
        <w:rPr>
          <w:rFonts w:hint="eastAsia" w:ascii="仿宋" w:hAnsi="仿宋" w:eastAsia="仿宋"/>
          <w:sz w:val="32"/>
          <w:szCs w:val="32"/>
        </w:rPr>
        <w:t>旗林业和草原局对</w:t>
      </w:r>
      <w:r>
        <w:rPr>
          <w:rFonts w:ascii="仿宋" w:hAnsi="仿宋" w:eastAsia="仿宋"/>
          <w:sz w:val="32"/>
          <w:szCs w:val="32"/>
        </w:rPr>
        <w:t>设施农业</w:t>
      </w:r>
      <w:r>
        <w:rPr>
          <w:rFonts w:hint="eastAsia" w:ascii="仿宋" w:hAnsi="仿宋" w:eastAsia="仿宋"/>
          <w:sz w:val="32"/>
          <w:szCs w:val="32"/>
        </w:rPr>
        <w:t>项目用地是否占用林地、草地，以及是否办理完成林地、草地审批手续等进行审核，出具审核意见；负责协调市级及以上林业和草原主管部门的相关审批事项。在对</w:t>
      </w:r>
      <w:r>
        <w:rPr>
          <w:rFonts w:ascii="仿宋" w:hAnsi="仿宋" w:eastAsia="仿宋"/>
          <w:sz w:val="32"/>
          <w:szCs w:val="32"/>
        </w:rPr>
        <w:t>设施农业</w:t>
      </w:r>
      <w:r>
        <w:rPr>
          <w:rFonts w:hint="eastAsia" w:ascii="仿宋" w:hAnsi="仿宋" w:eastAsia="仿宋"/>
          <w:sz w:val="32"/>
          <w:szCs w:val="32"/>
        </w:rPr>
        <w:t>用地审批所需的组件材料（涉及旗林业和草原局审核的部分）审核后，对存在的问题及时汇总反馈至相关镇人民政府，及时整改。</w:t>
      </w:r>
    </w:p>
    <w:p>
      <w:pPr>
        <w:spacing w:line="360" w:lineRule="auto"/>
        <w:ind w:firstLine="642" w:firstLineChars="200"/>
        <w:rPr>
          <w:rFonts w:ascii="仿宋" w:hAnsi="仿宋" w:eastAsia="仿宋"/>
          <w:sz w:val="32"/>
          <w:szCs w:val="32"/>
        </w:rPr>
      </w:pPr>
      <w:r>
        <w:rPr>
          <w:rFonts w:hint="eastAsia" w:ascii="仿宋" w:hAnsi="仿宋" w:eastAsia="仿宋"/>
          <w:b/>
          <w:bCs/>
          <w:sz w:val="32"/>
          <w:szCs w:val="32"/>
        </w:rPr>
        <w:t>4.旗自然资源局审核。</w:t>
      </w:r>
      <w:r>
        <w:rPr>
          <w:rFonts w:hint="eastAsia" w:ascii="仿宋" w:hAnsi="仿宋" w:eastAsia="仿宋"/>
          <w:sz w:val="32"/>
          <w:szCs w:val="32"/>
        </w:rPr>
        <w:t>旗自然资源局对</w:t>
      </w:r>
      <w:r>
        <w:rPr>
          <w:rFonts w:ascii="仿宋" w:hAnsi="仿宋" w:eastAsia="仿宋"/>
          <w:sz w:val="32"/>
          <w:szCs w:val="32"/>
        </w:rPr>
        <w:t>设施农业</w:t>
      </w:r>
      <w:r>
        <w:rPr>
          <w:rFonts w:hint="eastAsia" w:ascii="仿宋" w:hAnsi="仿宋" w:eastAsia="仿宋"/>
          <w:sz w:val="32"/>
          <w:szCs w:val="32"/>
        </w:rPr>
        <w:t>项目用地是否压覆矿产资源，占用一般耕地的备案等相关手续等方面进行审核，出具审核意见；对申请者提交的</w:t>
      </w:r>
      <w:r>
        <w:rPr>
          <w:rFonts w:ascii="仿宋" w:hAnsi="仿宋" w:eastAsia="仿宋"/>
          <w:sz w:val="32"/>
          <w:szCs w:val="32"/>
        </w:rPr>
        <w:t>设施农业建设方案（内容包括设施农业项目名称、建设地点、设施类型</w:t>
      </w:r>
      <w:r>
        <w:rPr>
          <w:rFonts w:hint="eastAsia" w:ascii="仿宋" w:hAnsi="仿宋" w:eastAsia="仿宋"/>
          <w:sz w:val="32"/>
          <w:szCs w:val="32"/>
        </w:rPr>
        <w:t>、项目选址</w:t>
      </w:r>
      <w:r>
        <w:rPr>
          <w:rFonts w:ascii="仿宋" w:hAnsi="仿宋" w:eastAsia="仿宋"/>
          <w:sz w:val="32"/>
          <w:szCs w:val="32"/>
        </w:rPr>
        <w:t>和用途、数量、生产及附属设施用地规模，含用地范围的最新土地利用现状平面布置图等）</w:t>
      </w:r>
      <w:r>
        <w:rPr>
          <w:rFonts w:hint="eastAsia" w:ascii="仿宋" w:hAnsi="仿宋" w:eastAsia="仿宋"/>
          <w:sz w:val="32"/>
          <w:szCs w:val="32"/>
        </w:rPr>
        <w:t>等进行审核；</w:t>
      </w:r>
      <w:r>
        <w:rPr>
          <w:rFonts w:ascii="仿宋" w:hAnsi="仿宋" w:eastAsia="仿宋"/>
          <w:sz w:val="32"/>
          <w:szCs w:val="32"/>
        </w:rPr>
        <w:t>要做好设施农业用地信息上图入库及日常变更工作</w:t>
      </w:r>
      <w:r>
        <w:rPr>
          <w:rFonts w:hint="eastAsia" w:ascii="仿宋" w:hAnsi="仿宋" w:eastAsia="仿宋"/>
          <w:sz w:val="32"/>
          <w:szCs w:val="32"/>
        </w:rPr>
        <w:t>；联合旗</w:t>
      </w:r>
      <w:r>
        <w:rPr>
          <w:rFonts w:hint="eastAsia" w:ascii="仿宋" w:hAnsi="仿宋" w:eastAsia="仿宋"/>
          <w:sz w:val="32"/>
          <w:szCs w:val="32"/>
          <w:lang w:eastAsia="zh-CN"/>
        </w:rPr>
        <w:t>农牧和水利局</w:t>
      </w:r>
      <w:r>
        <w:rPr>
          <w:rFonts w:ascii="仿宋" w:hAnsi="仿宋" w:eastAsia="仿宋"/>
          <w:sz w:val="32"/>
          <w:szCs w:val="32"/>
        </w:rPr>
        <w:t>对设施农业项目使用</w:t>
      </w:r>
      <w:r>
        <w:rPr>
          <w:rFonts w:hint="eastAsia" w:ascii="仿宋" w:hAnsi="仿宋" w:eastAsia="仿宋"/>
          <w:sz w:val="32"/>
          <w:szCs w:val="32"/>
        </w:rPr>
        <w:t>一般耕地</w:t>
      </w:r>
      <w:r>
        <w:rPr>
          <w:rFonts w:ascii="仿宋" w:hAnsi="仿宋" w:eastAsia="仿宋"/>
          <w:sz w:val="32"/>
          <w:szCs w:val="32"/>
        </w:rPr>
        <w:t>的必要性和是否破坏耕地耕作层进行认定</w:t>
      </w:r>
      <w:r>
        <w:rPr>
          <w:rFonts w:hint="eastAsia" w:ascii="仿宋" w:hAnsi="仿宋" w:eastAsia="仿宋"/>
          <w:sz w:val="32"/>
          <w:szCs w:val="32"/>
        </w:rPr>
        <w:t>；负责协调市级及以上自然资源主管部门的相关审批事项；</w:t>
      </w:r>
      <w:r>
        <w:rPr>
          <w:rFonts w:ascii="仿宋" w:hAnsi="仿宋" w:eastAsia="仿宋"/>
          <w:sz w:val="32"/>
          <w:szCs w:val="32"/>
        </w:rPr>
        <w:t>要建立设施农业用地台账（内容包括设施农业项目名称、建设地点、设施类型和用途、数 量、生产及附属设施用地规模、用地期限、是否破坏耕作层和用地坐标等）并进行年度更新</w:t>
      </w:r>
      <w:r>
        <w:rPr>
          <w:rFonts w:hint="eastAsia" w:ascii="仿宋" w:hAnsi="仿宋" w:eastAsia="仿宋"/>
          <w:sz w:val="32"/>
          <w:szCs w:val="32"/>
        </w:rPr>
        <w:t>；对</w:t>
      </w:r>
      <w:r>
        <w:rPr>
          <w:rFonts w:ascii="仿宋" w:hAnsi="仿宋" w:eastAsia="仿宋"/>
          <w:sz w:val="32"/>
          <w:szCs w:val="32"/>
        </w:rPr>
        <w:t>设施农业</w:t>
      </w:r>
      <w:r>
        <w:rPr>
          <w:rFonts w:hint="eastAsia" w:ascii="仿宋" w:hAnsi="仿宋" w:eastAsia="仿宋"/>
          <w:sz w:val="32"/>
          <w:szCs w:val="32"/>
        </w:rPr>
        <w:t>用地审批所需的组件材料（涉及自然资源局审核的部分）审核后，将所有</w:t>
      </w:r>
      <w:r>
        <w:rPr>
          <w:rFonts w:ascii="仿宋" w:hAnsi="仿宋" w:eastAsia="仿宋"/>
          <w:sz w:val="32"/>
          <w:szCs w:val="32"/>
        </w:rPr>
        <w:t>设施农业</w:t>
      </w:r>
      <w:r>
        <w:rPr>
          <w:rFonts w:hint="eastAsia" w:ascii="仿宋" w:hAnsi="仿宋" w:eastAsia="仿宋"/>
          <w:sz w:val="32"/>
          <w:szCs w:val="32"/>
        </w:rPr>
        <w:t>用地审批所需的组件材料以及存在的问题及时移交和反馈至相关镇人民政府，及时整改</w:t>
      </w:r>
      <w:r>
        <w:rPr>
          <w:rFonts w:hint="eastAsia" w:ascii="仿宋" w:hAnsi="仿宋" w:eastAsia="仿宋" w:cs="仿宋_GB2312"/>
          <w:sz w:val="32"/>
          <w:szCs w:val="32"/>
        </w:rPr>
        <w:t>。</w:t>
      </w:r>
    </w:p>
    <w:p>
      <w:pPr>
        <w:spacing w:line="360" w:lineRule="auto"/>
        <w:ind w:firstLine="640" w:firstLineChars="200"/>
        <w:rPr>
          <w:rFonts w:ascii="仿宋" w:hAnsi="仿宋" w:eastAsia="仿宋"/>
          <w:sz w:val="32"/>
          <w:szCs w:val="32"/>
        </w:rPr>
      </w:pPr>
      <w:r>
        <w:rPr>
          <w:rFonts w:hint="eastAsia" w:ascii="楷体" w:hAnsi="楷体" w:eastAsia="楷体"/>
          <w:sz w:val="32"/>
          <w:szCs w:val="32"/>
        </w:rPr>
        <w:t>（五）镇人民政府备案批准。</w:t>
      </w:r>
      <w:r>
        <w:rPr>
          <w:rFonts w:hint="eastAsia" w:ascii="仿宋" w:hAnsi="仿宋" w:eastAsia="仿宋"/>
          <w:sz w:val="32"/>
          <w:szCs w:val="32"/>
        </w:rPr>
        <w:t>镇人民政府对旗投资项目“一站式”服务中心组织所有部门审核通过的设施农业项目进行研究，研究同意后予以备案批准。在备案批准文件中约定建设内容、规模和期限，明确缴纳违约保证金。备案批准的设施农业建设项目应在审批后的2年内完成建设任务。</w:t>
      </w:r>
    </w:p>
    <w:bookmarkEnd w:id="22"/>
    <w:p>
      <w:pPr>
        <w:spacing w:line="360" w:lineRule="auto"/>
        <w:ind w:firstLine="640" w:firstLineChars="200"/>
        <w:rPr>
          <w:rFonts w:ascii="黑体" w:hAnsi="黑体" w:eastAsia="黑体"/>
          <w:sz w:val="32"/>
          <w:szCs w:val="32"/>
        </w:rPr>
      </w:pPr>
      <w:r>
        <w:rPr>
          <w:rFonts w:hint="eastAsia" w:ascii="黑体" w:hAnsi="黑体" w:eastAsia="黑体"/>
          <w:sz w:val="32"/>
          <w:szCs w:val="32"/>
        </w:rPr>
        <w:t>五、加强设施农业用地的监督管理</w:t>
      </w:r>
    </w:p>
    <w:p>
      <w:pPr>
        <w:spacing w:line="360" w:lineRule="auto"/>
        <w:ind w:firstLine="640" w:firstLineChars="200"/>
        <w:rPr>
          <w:rFonts w:ascii="仿宋" w:hAnsi="仿宋" w:eastAsia="仿宋"/>
          <w:sz w:val="32"/>
          <w:szCs w:val="32"/>
        </w:rPr>
      </w:pPr>
      <w:bookmarkStart w:id="24" w:name="bookmark38"/>
      <w:r>
        <w:rPr>
          <w:rFonts w:hint="eastAsia" w:ascii="楷体" w:hAnsi="楷体" w:eastAsia="楷体"/>
          <w:sz w:val="32"/>
          <w:szCs w:val="32"/>
        </w:rPr>
        <w:t>（</w:t>
      </w:r>
      <w:bookmarkEnd w:id="24"/>
      <w:r>
        <w:rPr>
          <w:rFonts w:hint="eastAsia" w:ascii="楷体" w:hAnsi="楷体" w:eastAsia="楷体"/>
          <w:sz w:val="32"/>
          <w:szCs w:val="32"/>
        </w:rPr>
        <w:t>一）强化政务公开，做好政策宣传与用地服务。</w:t>
      </w:r>
      <w:r>
        <w:rPr>
          <w:rFonts w:hint="eastAsia" w:ascii="仿宋" w:hAnsi="仿宋" w:eastAsia="仿宋"/>
          <w:sz w:val="32"/>
          <w:szCs w:val="32"/>
        </w:rPr>
        <w:t>旗自然资源局、农牧</w:t>
      </w:r>
      <w:r>
        <w:rPr>
          <w:rFonts w:hint="eastAsia" w:ascii="仿宋" w:hAnsi="仿宋" w:eastAsia="仿宋"/>
          <w:sz w:val="32"/>
          <w:szCs w:val="32"/>
          <w:lang w:val="en-US" w:eastAsia="zh-CN"/>
        </w:rPr>
        <w:t>和水利</w:t>
      </w:r>
      <w:r>
        <w:rPr>
          <w:rFonts w:hint="eastAsia" w:ascii="仿宋" w:hAnsi="仿宋" w:eastAsia="仿宋"/>
          <w:sz w:val="32"/>
          <w:szCs w:val="32"/>
        </w:rPr>
        <w:t>局要通过政府或部门网站及其他形式，主动公开设施农业用地相关政策规定，便于公众了解和查询。在设施建设过程中，应主动服务、加强指导，及时解决出现的问题，促进设施农业健康发展。</w:t>
      </w:r>
    </w:p>
    <w:p>
      <w:pPr>
        <w:spacing w:line="360" w:lineRule="auto"/>
        <w:ind w:firstLine="640" w:firstLineChars="200"/>
        <w:rPr>
          <w:rFonts w:ascii="仿宋" w:hAnsi="仿宋" w:eastAsia="仿宋"/>
          <w:sz w:val="32"/>
          <w:szCs w:val="32"/>
        </w:rPr>
      </w:pPr>
      <w:bookmarkStart w:id="25" w:name="bookmark39"/>
      <w:r>
        <w:rPr>
          <w:rFonts w:hint="eastAsia" w:ascii="楷体" w:hAnsi="楷体" w:eastAsia="楷体"/>
          <w:sz w:val="32"/>
          <w:szCs w:val="32"/>
        </w:rPr>
        <w:t>（</w:t>
      </w:r>
      <w:bookmarkEnd w:id="25"/>
      <w:r>
        <w:rPr>
          <w:rFonts w:hint="eastAsia" w:ascii="楷体" w:hAnsi="楷体" w:eastAsia="楷体"/>
          <w:sz w:val="32"/>
          <w:szCs w:val="32"/>
        </w:rPr>
        <w:t>二）强化乡镇部门联动，落实设施农业用地管理职责。</w:t>
      </w:r>
      <w:r>
        <w:rPr>
          <w:rFonts w:hint="eastAsia" w:ascii="仿宋" w:hAnsi="仿宋" w:eastAsia="仿宋"/>
          <w:sz w:val="32"/>
          <w:szCs w:val="32"/>
        </w:rPr>
        <w:t>经营者须按约定使用土地，严格设施农业用地用途管制，不得改变设施农业用地用途，禁止将设施农业用地用于其他非农建设和非农经营，不得擅自扩大设施农业用地范围。看护房（耳房）仅满足看护需要，不得用于非农用途。农村集体经济组织应监督经营者按约定使用土地，对设施农业项目定期开展巡查，及时掌握设施农业用地使用情况并定期向镇人民政府报告，督促经营者做好土地复垦。设施农业项目建设用地审批后，由镇人民政府承担项目用地监管责任，镇人民政府要责成镇综合执法局、</w:t>
      </w:r>
      <w:r>
        <w:rPr>
          <w:rFonts w:hint="eastAsia" w:ascii="仿宋" w:hAnsi="仿宋" w:eastAsia="仿宋"/>
          <w:sz w:val="32"/>
          <w:szCs w:val="32"/>
          <w:lang w:val="en-US" w:eastAsia="zh-CN"/>
        </w:rPr>
        <w:t>自然</w:t>
      </w:r>
      <w:r>
        <w:rPr>
          <w:rFonts w:hint="eastAsia" w:ascii="仿宋" w:hAnsi="仿宋" w:eastAsia="仿宋"/>
          <w:sz w:val="32"/>
          <w:szCs w:val="32"/>
        </w:rPr>
        <w:t>资源所对设施农业建设项目用地开展动态巡查，对擅自改变或变相将设施农用地用于其他非农建设的，擅自扩大设施用地规模的，或擅自改变直接从事或服务于农业生产的设施性质、将农业设施用于其他经营的，责令设施农业用地主体限期纠正,及时对违法行为依法予以查处，并及时上报旗自然资源局和农牧</w:t>
      </w:r>
      <w:r>
        <w:rPr>
          <w:rFonts w:hint="eastAsia" w:ascii="仿宋" w:hAnsi="仿宋" w:eastAsia="仿宋"/>
          <w:sz w:val="32"/>
          <w:szCs w:val="32"/>
          <w:lang w:val="en-US" w:eastAsia="zh-CN"/>
        </w:rPr>
        <w:t>和水利</w:t>
      </w:r>
      <w:r>
        <w:rPr>
          <w:rFonts w:hint="eastAsia" w:ascii="仿宋" w:hAnsi="仿宋" w:eastAsia="仿宋"/>
          <w:sz w:val="32"/>
          <w:szCs w:val="32"/>
        </w:rPr>
        <w:t>局，监督设施农业用地经营者做好土地复垦和交还工作。旗自然资源局</w:t>
      </w:r>
      <w:r>
        <w:rPr>
          <w:rFonts w:hint="eastAsia" w:ascii="仿宋" w:hAnsi="仿宋" w:eastAsia="仿宋"/>
          <w:sz w:val="32"/>
          <w:szCs w:val="32"/>
          <w:lang w:eastAsia="zh-CN"/>
        </w:rPr>
        <w:t>、农牧和水利局</w:t>
      </w:r>
      <w:r>
        <w:rPr>
          <w:rFonts w:hint="eastAsia" w:ascii="仿宋" w:hAnsi="仿宋" w:eastAsia="仿宋"/>
          <w:sz w:val="32"/>
          <w:szCs w:val="32"/>
        </w:rPr>
        <w:t>、林业和草原局等各相关单位对各镇落实设施农业项目建设用地批后监管责任情况进行巡察检查。对设施农业用地全过程进行监管，对土地复垦进行管理和验收，对设施农业用地违法违规行为要做到早发现、早制止、早查处，坚决杜绝未批先建、批建不符等违建行为。对设施农业用地是否破坏耕作层不能确定的情形进行认定。旗</w:t>
      </w:r>
      <w:r>
        <w:rPr>
          <w:rFonts w:hint="eastAsia" w:ascii="仿宋" w:hAnsi="仿宋" w:eastAsia="仿宋"/>
          <w:sz w:val="32"/>
          <w:szCs w:val="32"/>
          <w:lang w:eastAsia="zh-CN"/>
        </w:rPr>
        <w:t>农牧和水利局</w:t>
      </w:r>
      <w:r>
        <w:rPr>
          <w:rFonts w:hint="eastAsia" w:ascii="仿宋" w:hAnsi="仿宋" w:eastAsia="仿宋"/>
          <w:sz w:val="32"/>
          <w:szCs w:val="32"/>
        </w:rPr>
        <w:t>负责指导用地主体合理规划、节约用地。旗自然资源局通过信息化手段，加强设施农业用地监管，发现对设施农业用地违法违规行为有案不查、执法不严的，要坚决予以纠正，并依法依规追究有关人员的责任。</w:t>
      </w:r>
    </w:p>
    <w:p>
      <w:pPr>
        <w:spacing w:line="360" w:lineRule="auto"/>
        <w:ind w:firstLine="640" w:firstLineChars="200"/>
        <w:rPr>
          <w:rFonts w:ascii="黑体" w:hAnsi="黑体" w:eastAsia="黑体"/>
          <w:sz w:val="32"/>
          <w:szCs w:val="32"/>
        </w:rPr>
      </w:pPr>
      <w:r>
        <w:rPr>
          <w:rFonts w:hint="eastAsia" w:ascii="黑体" w:hAnsi="黑体" w:eastAsia="黑体"/>
          <w:sz w:val="32"/>
          <w:szCs w:val="32"/>
        </w:rPr>
        <w:t>六、其他事项</w:t>
      </w:r>
    </w:p>
    <w:p>
      <w:pPr>
        <w:spacing w:line="360" w:lineRule="auto"/>
        <w:ind w:firstLine="640" w:firstLineChars="200"/>
        <w:rPr>
          <w:rFonts w:ascii="仿宋" w:hAnsi="仿宋" w:eastAsia="仿宋"/>
          <w:sz w:val="32"/>
          <w:szCs w:val="32"/>
        </w:rPr>
      </w:pPr>
      <w:r>
        <w:rPr>
          <w:rFonts w:hint="eastAsia" w:ascii="仿宋" w:hAnsi="仿宋" w:eastAsia="仿宋"/>
          <w:sz w:val="32"/>
          <w:szCs w:val="32"/>
        </w:rPr>
        <w:t>1.各镇人民政府要及时将截至目前的设施农业项目用地审批工作开展情况和完成设施农业用地审批的项目汇总表（书面材料和电子版材料）</w:t>
      </w:r>
      <w:r>
        <w:rPr>
          <w:rFonts w:ascii="仿宋" w:hAnsi="仿宋" w:eastAsia="仿宋"/>
          <w:sz w:val="32"/>
          <w:szCs w:val="32"/>
        </w:rPr>
        <w:t>一并上报</w:t>
      </w:r>
      <w:r>
        <w:rPr>
          <w:rFonts w:hint="eastAsia" w:ascii="仿宋" w:hAnsi="仿宋" w:eastAsia="仿宋"/>
          <w:sz w:val="32"/>
          <w:szCs w:val="32"/>
        </w:rPr>
        <w:t>至旗</w:t>
      </w:r>
      <w:r>
        <w:rPr>
          <w:rFonts w:hint="eastAsia" w:ascii="仿宋" w:hAnsi="仿宋" w:eastAsia="仿宋"/>
          <w:sz w:val="32"/>
          <w:szCs w:val="32"/>
          <w:lang w:eastAsia="zh-CN"/>
        </w:rPr>
        <w:t>农牧和水利局</w:t>
      </w:r>
      <w:r>
        <w:rPr>
          <w:rFonts w:hint="eastAsia" w:ascii="仿宋" w:hAnsi="仿宋" w:eastAsia="仿宋"/>
          <w:sz w:val="32"/>
          <w:szCs w:val="32"/>
        </w:rPr>
        <w:t>、旗自然资源局、旗林业和草原局，以便旗自然资源局进行上图入库。</w:t>
      </w:r>
    </w:p>
    <w:p>
      <w:pPr>
        <w:spacing w:line="360" w:lineRule="auto"/>
        <w:ind w:firstLine="640" w:firstLineChars="200"/>
        <w:rPr>
          <w:rFonts w:ascii="仿宋" w:hAnsi="仿宋" w:eastAsia="仿宋"/>
          <w:sz w:val="32"/>
          <w:szCs w:val="32"/>
        </w:rPr>
      </w:pPr>
      <w:r>
        <w:rPr>
          <w:rFonts w:hint="eastAsia" w:ascii="仿宋" w:hAnsi="仿宋" w:eastAsia="仿宋"/>
          <w:sz w:val="32"/>
          <w:szCs w:val="32"/>
        </w:rPr>
        <w:t>2.对设施农业养殖项目建设规模在1000平方米（含1000平方米）以上的，设施农业种植项目建设规模在1500平方米（含1500平方米）以上的，执行本方案。</w:t>
      </w:r>
    </w:p>
    <w:p>
      <w:pPr>
        <w:spacing w:line="360" w:lineRule="auto"/>
        <w:ind w:firstLine="640" w:firstLineChars="200"/>
        <w:rPr>
          <w:rFonts w:ascii="仿宋" w:hAnsi="仿宋" w:eastAsia="仿宋"/>
          <w:sz w:val="32"/>
          <w:szCs w:val="32"/>
        </w:rPr>
      </w:pPr>
      <w:r>
        <w:rPr>
          <w:rFonts w:ascii="仿宋" w:hAnsi="仿宋" w:eastAsia="仿宋"/>
          <w:sz w:val="32"/>
          <w:szCs w:val="32"/>
        </w:rPr>
        <w:t>3.</w:t>
      </w:r>
      <w:r>
        <w:rPr>
          <w:rFonts w:hint="eastAsia" w:ascii="仿宋" w:hAnsi="仿宋" w:eastAsia="仿宋"/>
          <w:sz w:val="32"/>
          <w:szCs w:val="32"/>
        </w:rPr>
        <w:t>设施农业养殖项目建设规模在1000平方米（不含1000平方米）以下的，设施农业种植项目建设规模在1500平方米（不含1500平方米）以下的，继续执行《伊金霍洛旗</w:t>
      </w:r>
      <w:r>
        <w:rPr>
          <w:rFonts w:hint="eastAsia" w:ascii="仿宋" w:hAnsi="仿宋" w:eastAsia="仿宋"/>
          <w:sz w:val="32"/>
          <w:szCs w:val="32"/>
          <w:lang w:eastAsia="zh-CN"/>
        </w:rPr>
        <w:t>农牧和水利局</w:t>
      </w:r>
      <w:r>
        <w:rPr>
          <w:rFonts w:hint="eastAsia" w:ascii="仿宋" w:hAnsi="仿宋" w:eastAsia="仿宋"/>
          <w:sz w:val="32"/>
          <w:szCs w:val="32"/>
        </w:rPr>
        <w:t>伊金霍洛旗自然资源局伊金霍洛旗林业和草原局关于印发〈</w:t>
      </w:r>
      <w:r>
        <w:rPr>
          <w:rFonts w:ascii="仿宋" w:hAnsi="仿宋" w:eastAsia="仿宋"/>
          <w:sz w:val="32"/>
          <w:szCs w:val="32"/>
        </w:rPr>
        <w:t>伊金霍洛旗较小规模设施农业项目用地审批流程</w:t>
      </w:r>
      <w:r>
        <w:rPr>
          <w:rFonts w:hint="eastAsia" w:ascii="仿宋" w:hAnsi="仿宋" w:eastAsia="仿宋"/>
          <w:sz w:val="32"/>
          <w:szCs w:val="32"/>
        </w:rPr>
        <w:t>〉的通知》（伊农牧发【2019】133号），但需将资料提交自然资源局进行上图入库，经自然资源局审核同意后，符合上图入库要求的，方可备案并开工建设，未经审核擅自备案建设的，不予上图入库，均按违法用地处置。</w:t>
      </w:r>
    </w:p>
    <w:p>
      <w:pPr>
        <w:spacing w:line="360" w:lineRule="auto"/>
        <w:ind w:firstLine="640" w:firstLineChars="200"/>
        <w:rPr>
          <w:rFonts w:ascii="仿宋" w:hAnsi="仿宋" w:eastAsia="仿宋"/>
          <w:sz w:val="32"/>
          <w:szCs w:val="32"/>
        </w:rPr>
      </w:pPr>
      <w:r>
        <w:rPr>
          <w:rFonts w:ascii="仿宋" w:hAnsi="仿宋" w:eastAsia="仿宋"/>
          <w:sz w:val="32"/>
          <w:szCs w:val="32"/>
        </w:rPr>
        <w:t>4.</w:t>
      </w:r>
      <w:r>
        <w:rPr>
          <w:rFonts w:hint="eastAsia" w:ascii="仿宋" w:hAnsi="仿宋" w:eastAsia="仿宋"/>
          <w:sz w:val="32"/>
          <w:szCs w:val="32"/>
        </w:rPr>
        <w:t>本办法自发布之日起3</w:t>
      </w:r>
      <w:r>
        <w:rPr>
          <w:rFonts w:ascii="仿宋" w:hAnsi="仿宋" w:eastAsia="仿宋"/>
          <w:sz w:val="32"/>
          <w:szCs w:val="32"/>
        </w:rPr>
        <w:t>0</w:t>
      </w:r>
      <w:r>
        <w:rPr>
          <w:rFonts w:hint="eastAsia" w:ascii="仿宋" w:hAnsi="仿宋" w:eastAsia="仿宋"/>
          <w:sz w:val="32"/>
          <w:szCs w:val="32"/>
        </w:rPr>
        <w:t>日后施行，《伊金霍洛旗人民政府关于印发</w:t>
      </w:r>
      <w:r>
        <w:rPr>
          <w:rFonts w:hint="eastAsia" w:ascii="仿宋" w:hAnsi="仿宋" w:eastAsia="仿宋"/>
          <w:sz w:val="32"/>
          <w:szCs w:val="32"/>
          <w:lang w:val="en-US" w:eastAsia="zh-CN"/>
        </w:rPr>
        <w:t>规范和加强</w:t>
      </w:r>
      <w:r>
        <w:rPr>
          <w:rFonts w:hint="eastAsia" w:ascii="仿宋" w:hAnsi="仿宋" w:eastAsia="仿宋"/>
          <w:sz w:val="32"/>
          <w:szCs w:val="32"/>
        </w:rPr>
        <w:t>设施农业项目用地管理实施方案的通知》（伊政发【20</w:t>
      </w:r>
      <w:r>
        <w:rPr>
          <w:rFonts w:hint="eastAsia" w:ascii="仿宋" w:hAnsi="仿宋" w:eastAsia="仿宋"/>
          <w:sz w:val="32"/>
          <w:szCs w:val="32"/>
          <w:lang w:val="en-US" w:eastAsia="zh-CN"/>
        </w:rPr>
        <w:t>21</w:t>
      </w:r>
      <w:r>
        <w:rPr>
          <w:rFonts w:hint="eastAsia" w:ascii="仿宋" w:hAnsi="仿宋" w:eastAsia="仿宋"/>
          <w:sz w:val="32"/>
          <w:szCs w:val="32"/>
        </w:rPr>
        <w:t>】</w:t>
      </w:r>
      <w:r>
        <w:rPr>
          <w:rFonts w:hint="eastAsia" w:ascii="仿宋" w:hAnsi="仿宋" w:eastAsia="仿宋"/>
          <w:sz w:val="32"/>
          <w:szCs w:val="32"/>
          <w:lang w:val="en-US" w:eastAsia="zh-CN"/>
        </w:rPr>
        <w:t>13</w:t>
      </w:r>
      <w:r>
        <w:rPr>
          <w:rFonts w:hint="eastAsia" w:ascii="仿宋" w:hAnsi="仿宋" w:eastAsia="仿宋"/>
          <w:sz w:val="32"/>
          <w:szCs w:val="32"/>
        </w:rPr>
        <w:t>号）同时废止。</w:t>
      </w:r>
    </w:p>
    <w:p>
      <w:pPr>
        <w:spacing w:line="360" w:lineRule="auto"/>
        <w:ind w:firstLine="640" w:firstLineChars="200"/>
        <w:rPr>
          <w:rFonts w:ascii="仿宋" w:hAnsi="仿宋" w:eastAsia="仿宋"/>
          <w:sz w:val="32"/>
          <w:szCs w:val="32"/>
          <w:highlight w:val="yellow"/>
        </w:rPr>
      </w:pPr>
      <w:r>
        <w:rPr>
          <w:rFonts w:ascii="仿宋" w:hAnsi="仿宋" w:eastAsia="仿宋"/>
          <w:sz w:val="32"/>
          <w:szCs w:val="32"/>
        </w:rPr>
        <w:t>5</w:t>
      </w:r>
      <w:r>
        <w:rPr>
          <w:rFonts w:hint="eastAsia" w:ascii="仿宋" w:hAnsi="仿宋" w:eastAsia="仿宋"/>
          <w:sz w:val="32"/>
          <w:szCs w:val="32"/>
        </w:rPr>
        <w:t>.</w:t>
      </w:r>
      <w:r>
        <w:rPr>
          <w:rFonts w:ascii="仿宋" w:hAnsi="仿宋" w:eastAsia="仿宋"/>
          <w:sz w:val="32"/>
          <w:szCs w:val="32"/>
        </w:rPr>
        <w:t>镇人民政府、</w:t>
      </w:r>
      <w:r>
        <w:rPr>
          <w:rFonts w:hint="eastAsia" w:ascii="仿宋" w:hAnsi="仿宋" w:eastAsia="仿宋"/>
          <w:sz w:val="32"/>
          <w:szCs w:val="32"/>
        </w:rPr>
        <w:t>旗</w:t>
      </w:r>
      <w:r>
        <w:rPr>
          <w:rFonts w:hint="eastAsia" w:ascii="仿宋" w:hAnsi="仿宋" w:eastAsia="仿宋"/>
          <w:sz w:val="32"/>
          <w:szCs w:val="32"/>
          <w:lang w:eastAsia="zh-CN"/>
        </w:rPr>
        <w:t>农牧和水利局</w:t>
      </w:r>
      <w:r>
        <w:rPr>
          <w:rFonts w:ascii="仿宋" w:hAnsi="仿宋" w:eastAsia="仿宋"/>
          <w:sz w:val="32"/>
          <w:szCs w:val="32"/>
        </w:rPr>
        <w:t>、</w:t>
      </w:r>
      <w:r>
        <w:rPr>
          <w:rFonts w:hint="eastAsia" w:ascii="仿宋" w:hAnsi="仿宋" w:eastAsia="仿宋"/>
          <w:sz w:val="32"/>
          <w:szCs w:val="32"/>
        </w:rPr>
        <w:t>自然资源</w:t>
      </w:r>
      <w:r>
        <w:rPr>
          <w:rFonts w:ascii="仿宋" w:hAnsi="仿宋" w:eastAsia="仿宋"/>
          <w:sz w:val="32"/>
          <w:szCs w:val="32"/>
        </w:rPr>
        <w:t>局、</w:t>
      </w:r>
      <w:r>
        <w:rPr>
          <w:rFonts w:hint="eastAsia" w:ascii="仿宋" w:hAnsi="仿宋" w:eastAsia="仿宋"/>
          <w:sz w:val="32"/>
          <w:szCs w:val="32"/>
        </w:rPr>
        <w:t>生态环境局、林业和草原局</w:t>
      </w:r>
      <w:r>
        <w:rPr>
          <w:rFonts w:ascii="仿宋" w:hAnsi="仿宋" w:eastAsia="仿宋"/>
          <w:sz w:val="32"/>
          <w:szCs w:val="32"/>
        </w:rPr>
        <w:t>等部门根据职能权限审核相关内容，签</w:t>
      </w:r>
      <w:r>
        <w:rPr>
          <w:rFonts w:hint="eastAsia" w:ascii="仿宋" w:hAnsi="仿宋" w:eastAsia="仿宋"/>
          <w:sz w:val="32"/>
          <w:szCs w:val="32"/>
        </w:rPr>
        <w:t>属意见和</w:t>
      </w:r>
      <w:r>
        <w:rPr>
          <w:rFonts w:ascii="仿宋" w:hAnsi="仿宋" w:eastAsia="仿宋"/>
          <w:sz w:val="32"/>
          <w:szCs w:val="32"/>
        </w:rPr>
        <w:t>盖章</w:t>
      </w:r>
      <w:r>
        <w:rPr>
          <w:rFonts w:hint="eastAsia" w:ascii="仿宋" w:hAnsi="仿宋" w:eastAsia="仿宋"/>
          <w:sz w:val="32"/>
          <w:szCs w:val="32"/>
        </w:rPr>
        <w:t>的</w:t>
      </w:r>
      <w:r>
        <w:rPr>
          <w:rFonts w:ascii="仿宋" w:hAnsi="仿宋" w:eastAsia="仿宋"/>
          <w:sz w:val="32"/>
          <w:szCs w:val="32"/>
        </w:rPr>
        <w:t>《伊金霍洛旗设施农业建设项目备案表》</w:t>
      </w:r>
      <w:r>
        <w:rPr>
          <w:rFonts w:hint="eastAsia" w:ascii="仿宋" w:hAnsi="仿宋" w:eastAsia="仿宋"/>
          <w:sz w:val="32"/>
          <w:szCs w:val="32"/>
        </w:rPr>
        <w:t>（附一式七份的</w:t>
      </w:r>
      <w:r>
        <w:rPr>
          <w:rFonts w:ascii="仿宋" w:hAnsi="仿宋" w:eastAsia="仿宋"/>
          <w:sz w:val="32"/>
          <w:szCs w:val="32"/>
        </w:rPr>
        <w:t>土地利用现状平面布置图</w:t>
      </w:r>
      <w:r>
        <w:rPr>
          <w:rFonts w:hint="eastAsia" w:ascii="仿宋" w:hAnsi="仿宋" w:eastAsia="仿宋"/>
          <w:sz w:val="32"/>
          <w:szCs w:val="32"/>
        </w:rPr>
        <w:t>），由申请主体、旗</w:t>
      </w:r>
      <w:r>
        <w:rPr>
          <w:rFonts w:hint="eastAsia" w:ascii="仿宋" w:hAnsi="仿宋" w:eastAsia="仿宋"/>
          <w:sz w:val="32"/>
          <w:szCs w:val="32"/>
          <w:lang w:eastAsia="zh-CN"/>
        </w:rPr>
        <w:t>农牧和水利局</w:t>
      </w:r>
      <w:r>
        <w:rPr>
          <w:rFonts w:hint="eastAsia" w:ascii="仿宋" w:hAnsi="仿宋" w:eastAsia="仿宋"/>
          <w:sz w:val="32"/>
          <w:szCs w:val="32"/>
        </w:rPr>
        <w:t>、旗自然资源局、旗生态环境局、旗林业和草原局</w:t>
      </w:r>
      <w:r>
        <w:rPr>
          <w:rFonts w:hint="eastAsia" w:ascii="仿宋" w:hAnsi="仿宋" w:eastAsia="仿宋"/>
          <w:sz w:val="32"/>
          <w:szCs w:val="32"/>
          <w:lang w:eastAsia="zh-CN"/>
        </w:rPr>
        <w:t>、</w:t>
      </w:r>
      <w:r>
        <w:rPr>
          <w:rFonts w:ascii="仿宋" w:hAnsi="仿宋" w:eastAsia="仿宋"/>
          <w:sz w:val="32"/>
          <w:szCs w:val="32"/>
        </w:rPr>
        <w:t>镇人民政府</w:t>
      </w:r>
      <w:r>
        <w:rPr>
          <w:rFonts w:hint="eastAsia" w:ascii="仿宋" w:hAnsi="仿宋" w:eastAsia="仿宋"/>
          <w:sz w:val="32"/>
          <w:szCs w:val="32"/>
        </w:rPr>
        <w:t>、镇综合执法局分别存档。</w:t>
      </w:r>
    </w:p>
    <w:p>
      <w:pPr>
        <w:spacing w:line="360" w:lineRule="auto"/>
        <w:ind w:firstLine="640" w:firstLineChars="200"/>
        <w:rPr>
          <w:rFonts w:ascii="仿宋" w:hAnsi="仿宋" w:eastAsia="仿宋"/>
          <w:sz w:val="32"/>
          <w:szCs w:val="32"/>
        </w:rPr>
      </w:pPr>
      <w:r>
        <w:rPr>
          <w:rFonts w:ascii="仿宋" w:hAnsi="仿宋" w:eastAsia="仿宋"/>
          <w:sz w:val="32"/>
          <w:szCs w:val="32"/>
        </w:rPr>
        <w:t>6</w:t>
      </w:r>
      <w:r>
        <w:rPr>
          <w:rFonts w:hint="eastAsia" w:ascii="仿宋" w:hAnsi="仿宋" w:eastAsia="仿宋"/>
          <w:sz w:val="32"/>
          <w:szCs w:val="32"/>
        </w:rPr>
        <w:t>.国有农（牧、林）场的设施农业用地，参照本方案规定由国有农（牧、林）场与经营者签订协议，并到旗自然资源局和</w:t>
      </w:r>
      <w:r>
        <w:rPr>
          <w:rFonts w:hint="eastAsia" w:ascii="仿宋" w:hAnsi="仿宋" w:eastAsia="仿宋"/>
          <w:sz w:val="32"/>
          <w:szCs w:val="32"/>
          <w:lang w:eastAsia="zh-CN"/>
        </w:rPr>
        <w:t>农牧和水利局</w:t>
      </w:r>
      <w:r>
        <w:rPr>
          <w:rFonts w:hint="eastAsia" w:ascii="仿宋" w:hAnsi="仿宋" w:eastAsia="仿宋"/>
          <w:sz w:val="32"/>
          <w:szCs w:val="32"/>
        </w:rPr>
        <w:t>进行备案。</w:t>
      </w:r>
      <w:r>
        <w:rPr>
          <w:rFonts w:ascii="仿宋" w:hAnsi="仿宋" w:eastAsia="仿宋"/>
          <w:sz w:val="32"/>
          <w:szCs w:val="32"/>
        </w:rPr>
        <w:t xml:space="preserve"> </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 xml:space="preserve">7.申请者统一提供纸质版和电子版的2000国家大地坐标系平面图、电子版的经纬度坐标以及宗地图电子版TXT坐标。 </w:t>
      </w:r>
    </w:p>
    <w:p>
      <w:pPr>
        <w:spacing w:line="360" w:lineRule="auto"/>
        <w:ind w:firstLine="640" w:firstLineChars="200"/>
        <w:rPr>
          <w:rFonts w:hint="default" w:ascii="仿宋" w:hAnsi="仿宋" w:eastAsia="仿宋"/>
          <w:sz w:val="32"/>
          <w:szCs w:val="32"/>
          <w:highlight w:val="none"/>
          <w:lang w:val="en-US" w:eastAsia="zh-CN"/>
        </w:rPr>
      </w:pPr>
      <w:r>
        <w:rPr>
          <w:rFonts w:hint="eastAsia" w:ascii="仿宋" w:hAnsi="仿宋" w:eastAsia="仿宋"/>
          <w:sz w:val="32"/>
          <w:szCs w:val="32"/>
          <w:highlight w:val="none"/>
          <w:lang w:val="en-US" w:eastAsia="zh-CN"/>
        </w:rPr>
        <w:t>8.对于在已经完成林草地报批的建设用地上建设设施农业项目的，不再征求林草部门意见。</w:t>
      </w:r>
    </w:p>
    <w:p>
      <w:pPr>
        <w:spacing w:line="360" w:lineRule="auto"/>
        <w:ind w:firstLine="640" w:firstLineChars="200"/>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9.</w:t>
      </w:r>
      <w:r>
        <w:rPr>
          <w:rFonts w:hint="default" w:ascii="仿宋" w:hAnsi="仿宋" w:eastAsia="仿宋"/>
          <w:sz w:val="32"/>
          <w:szCs w:val="32"/>
          <w:highlight w:val="none"/>
          <w:lang w:val="en-US" w:eastAsia="zh-CN"/>
        </w:rPr>
        <w:t>备案批准的设施农业建设项目应在审批后的2年内完成建设任务，如</w:t>
      </w:r>
      <w:r>
        <w:rPr>
          <w:rFonts w:hint="eastAsia" w:ascii="仿宋" w:hAnsi="仿宋" w:eastAsia="仿宋"/>
          <w:sz w:val="32"/>
          <w:szCs w:val="32"/>
          <w:highlight w:val="none"/>
          <w:lang w:val="en-US" w:eastAsia="zh-CN"/>
        </w:rPr>
        <w:t>确因资金</w:t>
      </w:r>
      <w:r>
        <w:rPr>
          <w:rFonts w:hint="default" w:ascii="仿宋" w:hAnsi="仿宋" w:eastAsia="仿宋"/>
          <w:sz w:val="32"/>
          <w:szCs w:val="32"/>
          <w:highlight w:val="none"/>
          <w:lang w:val="en-US" w:eastAsia="zh-CN"/>
        </w:rPr>
        <w:t>等问题</w:t>
      </w:r>
      <w:r>
        <w:rPr>
          <w:rFonts w:hint="eastAsia" w:ascii="仿宋" w:hAnsi="仿宋" w:eastAsia="仿宋"/>
          <w:sz w:val="32"/>
          <w:szCs w:val="32"/>
          <w:highlight w:val="none"/>
          <w:lang w:val="en-US" w:eastAsia="zh-CN"/>
        </w:rPr>
        <w:t>无法按期完成建设</w:t>
      </w:r>
      <w:r>
        <w:rPr>
          <w:rFonts w:hint="default" w:ascii="仿宋" w:hAnsi="仿宋" w:eastAsia="仿宋"/>
          <w:sz w:val="32"/>
          <w:szCs w:val="32"/>
          <w:highlight w:val="none"/>
          <w:lang w:val="en-US" w:eastAsia="zh-CN"/>
        </w:rPr>
        <w:t>任务</w:t>
      </w:r>
      <w:r>
        <w:rPr>
          <w:rFonts w:hint="eastAsia" w:ascii="仿宋" w:hAnsi="仿宋" w:eastAsia="仿宋"/>
          <w:sz w:val="32"/>
          <w:szCs w:val="32"/>
          <w:highlight w:val="none"/>
          <w:lang w:val="en-US" w:eastAsia="zh-CN"/>
        </w:rPr>
        <w:t>的，</w:t>
      </w:r>
      <w:r>
        <w:rPr>
          <w:rFonts w:hint="default" w:ascii="仿宋" w:hAnsi="仿宋" w:eastAsia="仿宋"/>
          <w:sz w:val="32"/>
          <w:szCs w:val="32"/>
          <w:highlight w:val="none"/>
          <w:lang w:val="en-US" w:eastAsia="zh-CN"/>
        </w:rPr>
        <w:t>可向镇人民政府提出申请，镇人民政府审核后</w:t>
      </w:r>
      <w:r>
        <w:rPr>
          <w:rFonts w:hint="eastAsia" w:ascii="仿宋" w:hAnsi="仿宋" w:eastAsia="仿宋"/>
          <w:sz w:val="32"/>
          <w:szCs w:val="32"/>
          <w:highlight w:val="none"/>
          <w:lang w:val="en-US" w:eastAsia="zh-CN"/>
        </w:rPr>
        <w:t>可将项目建设期限再后延1年。”</w:t>
      </w:r>
    </w:p>
    <w:p>
      <w:pPr>
        <w:spacing w:line="360" w:lineRule="auto"/>
        <w:ind w:firstLine="640" w:firstLineChars="200"/>
        <w:rPr>
          <w:rFonts w:hint="eastAsia" w:ascii="仿宋" w:hAnsi="仿宋" w:eastAsia="仿宋"/>
          <w:sz w:val="32"/>
          <w:szCs w:val="32"/>
          <w:lang w:eastAsia="zh-CN"/>
        </w:rPr>
      </w:pPr>
    </w:p>
    <w:p>
      <w:pPr>
        <w:spacing w:line="360" w:lineRule="auto"/>
        <w:ind w:firstLine="640" w:firstLineChars="200"/>
        <w:rPr>
          <w:rFonts w:ascii="仿宋" w:hAnsi="仿宋" w:eastAsia="仿宋"/>
          <w:sz w:val="32"/>
          <w:szCs w:val="32"/>
        </w:rPr>
      </w:pPr>
    </w:p>
    <w:p>
      <w:pPr>
        <w:spacing w:line="360" w:lineRule="auto"/>
        <w:ind w:firstLine="640" w:firstLineChars="200"/>
        <w:rPr>
          <w:rFonts w:ascii="仿宋" w:hAnsi="仿宋" w:eastAsia="仿宋"/>
          <w:sz w:val="32"/>
          <w:szCs w:val="32"/>
        </w:rPr>
        <w:sectPr>
          <w:footerReference r:id="rId3" w:type="default"/>
          <w:footerReference r:id="rId4" w:type="even"/>
          <w:pgSz w:w="11900" w:h="16840"/>
          <w:pgMar w:top="1445" w:right="1677" w:bottom="1917" w:left="1691" w:header="0" w:footer="3" w:gutter="0"/>
          <w:cols w:space="720" w:num="1"/>
          <w:docGrid w:linePitch="360" w:charSpace="0"/>
        </w:sectPr>
      </w:pPr>
    </w:p>
    <w:p>
      <w:pPr>
        <w:spacing w:line="360" w:lineRule="auto"/>
        <w:rPr>
          <w:rFonts w:ascii="仿宋" w:hAnsi="仿宋" w:eastAsia="仿宋"/>
          <w:sz w:val="32"/>
          <w:szCs w:val="32"/>
        </w:rPr>
      </w:pPr>
      <w:r>
        <w:rPr>
          <w:rFonts w:hint="eastAsia" w:ascii="仿宋" w:hAnsi="仿宋" w:eastAsia="仿宋"/>
          <w:sz w:val="32"/>
          <w:szCs w:val="32"/>
        </w:rPr>
        <w:t>附件：</w:t>
      </w:r>
    </w:p>
    <w:p>
      <w:pPr>
        <w:spacing w:line="360" w:lineRule="auto"/>
        <w:ind w:firstLine="640" w:firstLineChars="200"/>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 xml:space="preserve">. </w:t>
      </w:r>
      <w:r>
        <w:rPr>
          <w:rFonts w:hint="eastAsia" w:ascii="仿宋" w:hAnsi="仿宋" w:eastAsia="仿宋"/>
          <w:sz w:val="32"/>
          <w:szCs w:val="32"/>
        </w:rPr>
        <w:t>设施农业用地备案材料清单</w:t>
      </w:r>
    </w:p>
    <w:p>
      <w:pPr>
        <w:spacing w:line="360" w:lineRule="auto"/>
        <w:ind w:firstLine="640" w:firstLineChars="200"/>
        <w:rPr>
          <w:rFonts w:ascii="仿宋" w:hAnsi="仿宋" w:eastAsia="仿宋"/>
          <w:sz w:val="32"/>
          <w:szCs w:val="32"/>
        </w:rPr>
      </w:pPr>
      <w:r>
        <w:rPr>
          <w:rFonts w:ascii="仿宋" w:hAnsi="仿宋" w:eastAsia="仿宋"/>
          <w:sz w:val="32"/>
          <w:szCs w:val="32"/>
        </w:rPr>
        <w:t xml:space="preserve">2. </w:t>
      </w:r>
      <w:r>
        <w:rPr>
          <w:rFonts w:hint="eastAsia" w:ascii="仿宋" w:hAnsi="仿宋" w:eastAsia="仿宋"/>
          <w:sz w:val="32"/>
          <w:szCs w:val="32"/>
        </w:rPr>
        <w:t>伊金霍洛旗设施农业建设项目审批汇总表</w:t>
      </w:r>
    </w:p>
    <w:p>
      <w:pPr>
        <w:spacing w:line="360" w:lineRule="auto"/>
        <w:ind w:firstLine="640" w:firstLineChars="200"/>
        <w:rPr>
          <w:rFonts w:ascii="仿宋" w:hAnsi="仿宋" w:eastAsia="仿宋"/>
          <w:sz w:val="32"/>
          <w:szCs w:val="32"/>
        </w:rPr>
      </w:pPr>
      <w:r>
        <w:rPr>
          <w:rFonts w:ascii="仿宋" w:hAnsi="仿宋" w:eastAsia="仿宋"/>
          <w:sz w:val="32"/>
          <w:szCs w:val="32"/>
        </w:rPr>
        <w:t xml:space="preserve">3. </w:t>
      </w:r>
      <w:r>
        <w:rPr>
          <w:rFonts w:hint="eastAsia" w:ascii="仿宋" w:hAnsi="仿宋" w:eastAsia="仿宋"/>
          <w:sz w:val="32"/>
          <w:szCs w:val="32"/>
        </w:rPr>
        <w:t xml:space="preserve">伊金霍洛旗设施农业用地审批流程图 </w:t>
      </w:r>
    </w:p>
    <w:p>
      <w:pPr>
        <w:spacing w:line="360" w:lineRule="auto"/>
        <w:ind w:firstLine="640" w:firstLineChars="200"/>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 伊金霍洛旗设施农业建设项目备案表</w:t>
      </w:r>
    </w:p>
    <w:p>
      <w:pPr>
        <w:spacing w:line="360" w:lineRule="auto"/>
        <w:rPr>
          <w:rFonts w:ascii="仿宋" w:hAnsi="仿宋" w:eastAsia="仿宋"/>
          <w:sz w:val="32"/>
          <w:szCs w:val="32"/>
        </w:rPr>
      </w:pPr>
      <w:r>
        <w:rPr>
          <w:rFonts w:hint="eastAsia" w:ascii="仿宋" w:hAnsi="仿宋" w:eastAsia="仿宋"/>
          <w:sz w:val="32"/>
          <w:szCs w:val="32"/>
        </w:rPr>
        <w:t xml:space="preserve"> </w:t>
      </w:r>
    </w:p>
    <w:p>
      <w:pPr>
        <w:spacing w:line="360" w:lineRule="auto"/>
        <w:rPr>
          <w:rFonts w:ascii="仿宋" w:hAnsi="仿宋" w:eastAsia="仿宋"/>
          <w:sz w:val="32"/>
          <w:szCs w:val="32"/>
        </w:rPr>
      </w:pPr>
    </w:p>
    <w:p>
      <w:pPr>
        <w:rPr>
          <w:rFonts w:ascii="仿宋" w:hAnsi="仿宋" w:eastAsia="仿宋"/>
          <w:sz w:val="32"/>
          <w:szCs w:val="32"/>
        </w:rPr>
      </w:pPr>
    </w:p>
    <w:p>
      <w:pPr>
        <w:pStyle w:val="2"/>
        <w:rPr>
          <w:rFonts w:ascii="仿宋" w:hAnsi="仿宋" w:eastAsia="仿宋"/>
          <w:sz w:val="32"/>
          <w:szCs w:val="32"/>
        </w:rPr>
      </w:pPr>
    </w:p>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spacing w:line="360" w:lineRule="auto"/>
        <w:rPr>
          <w:rFonts w:ascii="仿宋" w:hAnsi="仿宋" w:eastAsia="仿宋"/>
          <w:sz w:val="32"/>
          <w:szCs w:val="32"/>
        </w:rPr>
      </w:pPr>
      <w:r>
        <w:rPr>
          <w:rFonts w:hint="eastAsia" w:ascii="仿宋" w:hAnsi="仿宋" w:eastAsia="仿宋"/>
          <w:sz w:val="32"/>
          <w:szCs w:val="32"/>
        </w:rPr>
        <w:t>附件</w:t>
      </w:r>
      <w:r>
        <w:rPr>
          <w:rFonts w:ascii="仿宋" w:hAnsi="仿宋" w:eastAsia="仿宋"/>
          <w:sz w:val="32"/>
          <w:szCs w:val="32"/>
        </w:rPr>
        <w:t>1</w:t>
      </w:r>
    </w:p>
    <w:p>
      <w:pPr>
        <w:spacing w:line="360" w:lineRule="auto"/>
        <w:jc w:val="center"/>
        <w:rPr>
          <w:rFonts w:asciiTheme="majorEastAsia" w:hAnsiTheme="majorEastAsia" w:eastAsiaTheme="majorEastAsia"/>
          <w:b/>
          <w:bCs/>
          <w:sz w:val="44"/>
          <w:szCs w:val="44"/>
        </w:rPr>
      </w:pPr>
      <w:r>
        <w:rPr>
          <w:rFonts w:hint="eastAsia" w:asciiTheme="majorEastAsia" w:hAnsiTheme="majorEastAsia" w:eastAsiaTheme="majorEastAsia"/>
          <w:b/>
          <w:bCs/>
          <w:sz w:val="44"/>
          <w:szCs w:val="44"/>
        </w:rPr>
        <w:t>设施农业用地备案材料清单</w:t>
      </w:r>
    </w:p>
    <w:p>
      <w:pPr>
        <w:spacing w:line="360" w:lineRule="auto"/>
        <w:rPr>
          <w:rFonts w:ascii="仿宋" w:hAnsi="仿宋" w:eastAsia="仿宋"/>
          <w:sz w:val="32"/>
          <w:szCs w:val="32"/>
        </w:rPr>
      </w:pPr>
    </w:p>
    <w:p>
      <w:pPr>
        <w:spacing w:line="360" w:lineRule="auto"/>
        <w:ind w:firstLine="640" w:firstLineChars="200"/>
        <w:rPr>
          <w:rFonts w:ascii="仿宋" w:hAnsi="仿宋" w:eastAsia="仿宋"/>
          <w:sz w:val="32"/>
          <w:szCs w:val="32"/>
        </w:rPr>
      </w:pPr>
      <w:r>
        <w:rPr>
          <w:rFonts w:hint="eastAsia" w:ascii="仿宋" w:hAnsi="仿宋" w:eastAsia="仿宋"/>
          <w:sz w:val="32"/>
          <w:szCs w:val="32"/>
        </w:rPr>
        <w:t>1.设施农业用地备案证明（内自然资字【2</w:t>
      </w:r>
      <w:r>
        <w:rPr>
          <w:rFonts w:ascii="仿宋" w:hAnsi="仿宋" w:eastAsia="仿宋"/>
          <w:sz w:val="32"/>
          <w:szCs w:val="32"/>
        </w:rPr>
        <w:t>020</w:t>
      </w:r>
      <w:r>
        <w:rPr>
          <w:rFonts w:hint="eastAsia" w:ascii="仿宋" w:hAnsi="仿宋" w:eastAsia="仿宋"/>
          <w:sz w:val="32"/>
          <w:szCs w:val="32"/>
        </w:rPr>
        <w:t>】5</w:t>
      </w:r>
      <w:r>
        <w:rPr>
          <w:rFonts w:ascii="仿宋" w:hAnsi="仿宋" w:eastAsia="仿宋"/>
          <w:sz w:val="32"/>
          <w:szCs w:val="32"/>
        </w:rPr>
        <w:t>77</w:t>
      </w:r>
      <w:r>
        <w:rPr>
          <w:rFonts w:hint="eastAsia" w:ascii="仿宋" w:hAnsi="仿宋" w:eastAsia="仿宋"/>
          <w:sz w:val="32"/>
          <w:szCs w:val="32"/>
        </w:rPr>
        <w:t>号附参考格式）；</w:t>
      </w:r>
    </w:p>
    <w:p>
      <w:pPr>
        <w:spacing w:line="360" w:lineRule="auto"/>
        <w:ind w:firstLine="640" w:firstLineChars="200"/>
        <w:rPr>
          <w:rFonts w:ascii="仿宋" w:hAnsi="仿宋" w:eastAsia="仿宋"/>
          <w:sz w:val="32"/>
          <w:szCs w:val="32"/>
        </w:rPr>
      </w:pPr>
      <w:r>
        <w:rPr>
          <w:rFonts w:hint="eastAsia" w:ascii="仿宋" w:hAnsi="仿宋" w:eastAsia="仿宋"/>
          <w:sz w:val="32"/>
          <w:szCs w:val="32"/>
        </w:rPr>
        <w:t>2.设施农业用地使用协议（</w:t>
      </w:r>
      <w:r>
        <w:rPr>
          <w:rFonts w:ascii="仿宋" w:hAnsi="仿宋" w:eastAsia="仿宋"/>
          <w:sz w:val="32"/>
          <w:szCs w:val="32"/>
        </w:rPr>
        <w:t>内自然资字</w:t>
      </w:r>
      <w:r>
        <w:rPr>
          <w:rFonts w:hint="eastAsia" w:ascii="仿宋" w:hAnsi="仿宋" w:eastAsia="仿宋"/>
          <w:sz w:val="32"/>
          <w:szCs w:val="32"/>
        </w:rPr>
        <w:t>【</w:t>
      </w:r>
      <w:r>
        <w:rPr>
          <w:rFonts w:ascii="仿宋" w:hAnsi="仿宋" w:eastAsia="仿宋"/>
          <w:sz w:val="32"/>
          <w:szCs w:val="32"/>
        </w:rPr>
        <w:t>2020</w:t>
      </w:r>
      <w:r>
        <w:rPr>
          <w:rFonts w:hint="eastAsia" w:ascii="仿宋" w:hAnsi="仿宋" w:eastAsia="仿宋"/>
          <w:sz w:val="32"/>
          <w:szCs w:val="32"/>
        </w:rPr>
        <w:t>】</w:t>
      </w:r>
      <w:r>
        <w:rPr>
          <w:rFonts w:ascii="仿宋" w:hAnsi="仿宋" w:eastAsia="仿宋"/>
          <w:sz w:val="32"/>
          <w:szCs w:val="32"/>
        </w:rPr>
        <w:t>310号</w:t>
      </w:r>
      <w:r>
        <w:rPr>
          <w:rFonts w:hint="eastAsia" w:ascii="仿宋" w:hAnsi="仿宋" w:eastAsia="仿宋"/>
          <w:sz w:val="32"/>
          <w:szCs w:val="32"/>
        </w:rPr>
        <w:t>附参考格式）；</w:t>
      </w:r>
    </w:p>
    <w:p>
      <w:pPr>
        <w:spacing w:line="360" w:lineRule="auto"/>
        <w:ind w:firstLine="640" w:firstLineChars="200"/>
        <w:rPr>
          <w:rFonts w:ascii="仿宋" w:hAnsi="仿宋" w:eastAsia="仿宋"/>
          <w:sz w:val="32"/>
          <w:szCs w:val="32"/>
        </w:rPr>
      </w:pPr>
      <w:r>
        <w:rPr>
          <w:rFonts w:hint="eastAsia" w:ascii="仿宋" w:hAnsi="仿宋" w:eastAsia="仿宋"/>
          <w:sz w:val="32"/>
          <w:szCs w:val="32"/>
        </w:rPr>
        <w:t>3.设施农业建设方案（需附经旗自然资源局审核后的设施农业生产用地范围的土地利用现状平面布置图及</w:t>
      </w:r>
      <w:r>
        <w:rPr>
          <w:rFonts w:hint="eastAsia" w:ascii="仿宋" w:hAnsi="仿宋" w:eastAsia="仿宋" w:cs="仿宋_GB2312"/>
          <w:sz w:val="32"/>
          <w:szCs w:val="32"/>
        </w:rPr>
        <w:t>宗地图电子版TXT坐标</w:t>
      </w:r>
      <w:r>
        <w:rPr>
          <w:rFonts w:hint="eastAsia" w:ascii="仿宋" w:hAnsi="仿宋" w:eastAsia="仿宋"/>
          <w:sz w:val="32"/>
          <w:szCs w:val="32"/>
        </w:rPr>
        <w:t>）；</w:t>
      </w:r>
    </w:p>
    <w:p>
      <w:pPr>
        <w:spacing w:line="360" w:lineRule="auto"/>
        <w:ind w:firstLine="640" w:firstLineChars="200"/>
        <w:rPr>
          <w:rFonts w:ascii="仿宋" w:hAnsi="仿宋" w:eastAsia="仿宋"/>
          <w:sz w:val="32"/>
          <w:szCs w:val="32"/>
        </w:rPr>
      </w:pPr>
      <w:r>
        <w:rPr>
          <w:rFonts w:hint="eastAsia" w:ascii="仿宋" w:hAnsi="仿宋" w:eastAsia="仿宋"/>
          <w:sz w:val="32"/>
          <w:szCs w:val="32"/>
        </w:rPr>
        <w:t>4.村（嘎查）出具的同意该项目建设和土地无纠纷情况说明；</w:t>
      </w:r>
    </w:p>
    <w:p>
      <w:pPr>
        <w:spacing w:line="360" w:lineRule="auto"/>
        <w:ind w:firstLine="640" w:firstLineChars="200"/>
        <w:rPr>
          <w:rFonts w:ascii="仿宋" w:hAnsi="仿宋" w:eastAsia="仿宋"/>
          <w:sz w:val="32"/>
          <w:szCs w:val="32"/>
        </w:rPr>
      </w:pPr>
      <w:r>
        <w:rPr>
          <w:rFonts w:hint="eastAsia" w:ascii="仿宋" w:hAnsi="仿宋" w:eastAsia="仿宋"/>
          <w:sz w:val="32"/>
          <w:szCs w:val="32"/>
        </w:rPr>
        <w:t>5.公司营业执照或法人、自然人设施农业生产申请者身份证明；</w:t>
      </w:r>
    </w:p>
    <w:p>
      <w:pPr>
        <w:spacing w:line="360" w:lineRule="auto"/>
        <w:ind w:firstLine="640" w:firstLineChars="200"/>
        <w:rPr>
          <w:rFonts w:ascii="仿宋" w:hAnsi="仿宋" w:eastAsia="仿宋"/>
          <w:sz w:val="32"/>
          <w:szCs w:val="32"/>
        </w:rPr>
      </w:pPr>
      <w:r>
        <w:rPr>
          <w:rFonts w:hint="eastAsia" w:ascii="仿宋" w:hAnsi="仿宋" w:eastAsia="仿宋"/>
          <w:sz w:val="32"/>
          <w:szCs w:val="32"/>
        </w:rPr>
        <w:t>6.涉及土地流转的，需提供土地流转合同、四至范围图和说明，并在旗</w:t>
      </w:r>
      <w:r>
        <w:rPr>
          <w:rFonts w:hint="eastAsia" w:ascii="仿宋" w:hAnsi="仿宋" w:eastAsia="仿宋"/>
          <w:sz w:val="32"/>
          <w:szCs w:val="32"/>
          <w:lang w:eastAsia="zh-CN"/>
        </w:rPr>
        <w:t>农牧和水利局</w:t>
      </w:r>
      <w:r>
        <w:rPr>
          <w:rFonts w:hint="eastAsia" w:ascii="仿宋" w:hAnsi="仿宋" w:eastAsia="仿宋"/>
          <w:sz w:val="32"/>
          <w:szCs w:val="32"/>
        </w:rPr>
        <w:t>办理土地承包经营权流转备案手续；不涉及土地流转的，需提供《农村土地（草原）承包经营权证》或者</w:t>
      </w:r>
      <w:r>
        <w:rPr>
          <w:rFonts w:ascii="仿宋" w:hAnsi="仿宋" w:eastAsia="仿宋"/>
          <w:sz w:val="32"/>
          <w:szCs w:val="32"/>
        </w:rPr>
        <w:t>村委会出具的土地使用权归属证明；</w:t>
      </w:r>
    </w:p>
    <w:p>
      <w:pPr>
        <w:spacing w:line="360" w:lineRule="auto"/>
        <w:ind w:firstLine="640" w:firstLineChars="200"/>
        <w:rPr>
          <w:rFonts w:ascii="仿宋" w:hAnsi="仿宋" w:eastAsia="仿宋"/>
          <w:sz w:val="32"/>
          <w:szCs w:val="32"/>
          <w:highlight w:val="none"/>
        </w:rPr>
      </w:pPr>
      <w:r>
        <w:rPr>
          <w:rFonts w:hint="eastAsia" w:ascii="仿宋" w:hAnsi="仿宋" w:eastAsia="仿宋"/>
          <w:sz w:val="32"/>
          <w:szCs w:val="32"/>
          <w:highlight w:val="none"/>
        </w:rPr>
        <w:t>7.</w:t>
      </w:r>
      <w:r>
        <w:rPr>
          <w:rFonts w:hint="default" w:ascii="仿宋" w:hAnsi="仿宋" w:eastAsia="仿宋"/>
          <w:sz w:val="32"/>
          <w:szCs w:val="32"/>
          <w:highlight w:val="none"/>
          <w:lang w:val="en-US" w:eastAsia="zh-CN"/>
        </w:rPr>
        <w:t>不涉及压覆矿产资源的，提供由自然资源局出具的《不压覆矿产资源的证明》；涉及压覆矿产资源的</w:t>
      </w:r>
      <w:r>
        <w:rPr>
          <w:rFonts w:hint="eastAsia" w:ascii="仿宋" w:hAnsi="仿宋" w:eastAsia="仿宋"/>
          <w:sz w:val="32"/>
          <w:szCs w:val="32"/>
          <w:highlight w:val="none"/>
          <w:lang w:val="en-US" w:eastAsia="zh-CN"/>
        </w:rPr>
        <w:t>项目</w:t>
      </w:r>
      <w:r>
        <w:rPr>
          <w:rFonts w:hint="default" w:ascii="仿宋" w:hAnsi="仿宋" w:eastAsia="仿宋"/>
          <w:sz w:val="32"/>
          <w:szCs w:val="32"/>
          <w:highlight w:val="none"/>
          <w:lang w:val="en-US" w:eastAsia="zh-CN"/>
        </w:rPr>
        <w:t>，需要提供与煤矿签订的同意压覆协议</w:t>
      </w:r>
      <w:r>
        <w:rPr>
          <w:rFonts w:hint="eastAsia" w:ascii="仿宋" w:hAnsi="仿宋" w:eastAsia="仿宋"/>
          <w:sz w:val="32"/>
          <w:szCs w:val="32"/>
          <w:highlight w:val="none"/>
          <w:lang w:val="en-US" w:eastAsia="zh-CN"/>
        </w:rPr>
        <w:t>；被列为市级重点农牧业建设项目和村集体经济组织实施的农牧业项目</w:t>
      </w:r>
      <w:r>
        <w:rPr>
          <w:rFonts w:hint="default" w:ascii="仿宋" w:hAnsi="仿宋" w:eastAsia="仿宋"/>
          <w:sz w:val="32"/>
          <w:szCs w:val="32"/>
          <w:highlight w:val="none"/>
          <w:lang w:val="en-US" w:eastAsia="zh-CN"/>
        </w:rPr>
        <w:t>压覆矿产资源的</w:t>
      </w:r>
      <w:r>
        <w:rPr>
          <w:rFonts w:hint="eastAsia" w:ascii="仿宋" w:hAnsi="仿宋" w:eastAsia="仿宋"/>
          <w:sz w:val="32"/>
          <w:szCs w:val="32"/>
          <w:highlight w:val="none"/>
          <w:lang w:val="en-US" w:eastAsia="zh-CN"/>
        </w:rPr>
        <w:t>，由项目建设主体向煤矿企业、旗自然资源局、旗农牧和水利局、属地镇人民政府作出与</w:t>
      </w:r>
      <w:r>
        <w:rPr>
          <w:rFonts w:hint="default" w:ascii="仿宋" w:hAnsi="仿宋" w:eastAsia="仿宋"/>
          <w:sz w:val="32"/>
          <w:szCs w:val="32"/>
          <w:highlight w:val="none"/>
          <w:lang w:val="en-US" w:eastAsia="zh-CN"/>
        </w:rPr>
        <w:t>同意压覆协议</w:t>
      </w:r>
      <w:r>
        <w:rPr>
          <w:rFonts w:hint="eastAsia" w:ascii="仿宋" w:hAnsi="仿宋" w:eastAsia="仿宋"/>
          <w:sz w:val="32"/>
          <w:szCs w:val="32"/>
          <w:highlight w:val="none"/>
          <w:lang w:val="en-US" w:eastAsia="zh-CN"/>
        </w:rPr>
        <w:t>同等内容的承诺后，由旗自然资源局批准备案。</w:t>
      </w:r>
    </w:p>
    <w:p>
      <w:pPr>
        <w:spacing w:line="360" w:lineRule="auto"/>
        <w:ind w:firstLine="640" w:firstLineChars="200"/>
        <w:rPr>
          <w:rFonts w:ascii="仿宋" w:hAnsi="仿宋" w:eastAsia="仿宋"/>
          <w:sz w:val="32"/>
          <w:szCs w:val="32"/>
        </w:rPr>
      </w:pPr>
      <w:r>
        <w:rPr>
          <w:rFonts w:hint="eastAsia" w:ascii="仿宋" w:hAnsi="仿宋" w:eastAsia="仿宋"/>
          <w:sz w:val="32"/>
          <w:szCs w:val="32"/>
        </w:rPr>
        <w:t>8.</w:t>
      </w:r>
      <w:r>
        <w:rPr>
          <w:rFonts w:ascii="仿宋" w:hAnsi="仿宋" w:eastAsia="仿宋"/>
          <w:sz w:val="32"/>
          <w:szCs w:val="32"/>
        </w:rPr>
        <w:t>镇人民政府、</w:t>
      </w:r>
      <w:r>
        <w:rPr>
          <w:rFonts w:hint="eastAsia" w:ascii="仿宋" w:hAnsi="仿宋" w:eastAsia="仿宋"/>
          <w:sz w:val="32"/>
          <w:szCs w:val="32"/>
        </w:rPr>
        <w:t>旗</w:t>
      </w:r>
      <w:r>
        <w:rPr>
          <w:rFonts w:hint="eastAsia" w:ascii="仿宋" w:hAnsi="仿宋" w:eastAsia="仿宋"/>
          <w:sz w:val="32"/>
          <w:szCs w:val="32"/>
          <w:lang w:eastAsia="zh-CN"/>
        </w:rPr>
        <w:t>农牧和水利局</w:t>
      </w:r>
      <w:r>
        <w:rPr>
          <w:rFonts w:ascii="仿宋" w:hAnsi="仿宋" w:eastAsia="仿宋"/>
          <w:sz w:val="32"/>
          <w:szCs w:val="32"/>
        </w:rPr>
        <w:t>、</w:t>
      </w:r>
      <w:r>
        <w:rPr>
          <w:rFonts w:hint="eastAsia" w:ascii="仿宋" w:hAnsi="仿宋" w:eastAsia="仿宋"/>
          <w:sz w:val="32"/>
          <w:szCs w:val="32"/>
        </w:rPr>
        <w:t>旗生态环境局、旗林业和草原局</w:t>
      </w:r>
      <w:r>
        <w:rPr>
          <w:rFonts w:ascii="仿宋" w:hAnsi="仿宋" w:eastAsia="仿宋"/>
          <w:sz w:val="32"/>
          <w:szCs w:val="32"/>
        </w:rPr>
        <w:t>、</w:t>
      </w:r>
      <w:r>
        <w:rPr>
          <w:rFonts w:hint="eastAsia" w:ascii="仿宋" w:hAnsi="仿宋" w:eastAsia="仿宋"/>
          <w:sz w:val="32"/>
          <w:szCs w:val="32"/>
        </w:rPr>
        <w:t>旗自然资源</w:t>
      </w:r>
      <w:r>
        <w:rPr>
          <w:rFonts w:ascii="仿宋" w:hAnsi="仿宋" w:eastAsia="仿宋"/>
          <w:sz w:val="32"/>
          <w:szCs w:val="32"/>
        </w:rPr>
        <w:t>局等部门根据职能权限审核相关内容，签</w:t>
      </w:r>
      <w:r>
        <w:rPr>
          <w:rFonts w:hint="eastAsia" w:ascii="仿宋" w:hAnsi="仿宋" w:eastAsia="仿宋"/>
          <w:sz w:val="32"/>
          <w:szCs w:val="32"/>
        </w:rPr>
        <w:t>属意见和</w:t>
      </w:r>
      <w:r>
        <w:rPr>
          <w:rFonts w:ascii="仿宋" w:hAnsi="仿宋" w:eastAsia="仿宋"/>
          <w:sz w:val="32"/>
          <w:szCs w:val="32"/>
        </w:rPr>
        <w:t>盖章</w:t>
      </w:r>
      <w:r>
        <w:rPr>
          <w:rFonts w:hint="eastAsia" w:ascii="仿宋" w:hAnsi="仿宋" w:eastAsia="仿宋"/>
          <w:sz w:val="32"/>
          <w:szCs w:val="32"/>
        </w:rPr>
        <w:t>的</w:t>
      </w:r>
      <w:r>
        <w:rPr>
          <w:rFonts w:ascii="仿宋" w:hAnsi="仿宋" w:eastAsia="仿宋"/>
          <w:sz w:val="32"/>
          <w:szCs w:val="32"/>
        </w:rPr>
        <w:t>《伊金霍洛旗设施农业建设项目备案表》</w:t>
      </w:r>
      <w:r>
        <w:rPr>
          <w:rFonts w:hint="eastAsia" w:ascii="仿宋" w:hAnsi="仿宋" w:eastAsia="仿宋"/>
          <w:sz w:val="32"/>
          <w:szCs w:val="32"/>
        </w:rPr>
        <w:t>（附一式</w:t>
      </w:r>
      <w:r>
        <w:rPr>
          <w:rFonts w:hint="eastAsia" w:ascii="仿宋" w:hAnsi="仿宋" w:eastAsia="仿宋"/>
          <w:sz w:val="32"/>
          <w:szCs w:val="32"/>
          <w:lang w:val="en-US" w:eastAsia="zh-CN"/>
        </w:rPr>
        <w:t>七</w:t>
      </w:r>
      <w:r>
        <w:rPr>
          <w:rFonts w:hint="eastAsia" w:ascii="仿宋" w:hAnsi="仿宋" w:eastAsia="仿宋"/>
          <w:sz w:val="32"/>
          <w:szCs w:val="32"/>
        </w:rPr>
        <w:t>份的</w:t>
      </w:r>
      <w:r>
        <w:rPr>
          <w:rFonts w:ascii="仿宋" w:hAnsi="仿宋" w:eastAsia="仿宋"/>
          <w:sz w:val="32"/>
          <w:szCs w:val="32"/>
        </w:rPr>
        <w:t>土地利用现状平面布置图</w:t>
      </w:r>
      <w:r>
        <w:rPr>
          <w:rFonts w:hint="eastAsia" w:ascii="仿宋" w:hAnsi="仿宋" w:eastAsia="仿宋"/>
          <w:sz w:val="32"/>
          <w:szCs w:val="32"/>
        </w:rPr>
        <w:t>）</w:t>
      </w:r>
      <w:r>
        <w:rPr>
          <w:rFonts w:ascii="仿宋" w:hAnsi="仿宋" w:eastAsia="仿宋"/>
          <w:sz w:val="32"/>
          <w:szCs w:val="32"/>
        </w:rPr>
        <w:t xml:space="preserve">； </w:t>
      </w:r>
    </w:p>
    <w:p>
      <w:pPr>
        <w:spacing w:line="360" w:lineRule="auto"/>
        <w:ind w:firstLine="640" w:firstLineChars="200"/>
        <w:rPr>
          <w:rFonts w:ascii="仿宋" w:hAnsi="仿宋" w:eastAsia="仿宋"/>
          <w:sz w:val="32"/>
          <w:szCs w:val="32"/>
        </w:rPr>
      </w:pPr>
      <w:r>
        <w:rPr>
          <w:rFonts w:hint="eastAsia" w:ascii="仿宋" w:hAnsi="仿宋" w:eastAsia="仿宋"/>
          <w:sz w:val="32"/>
          <w:szCs w:val="32"/>
        </w:rPr>
        <w:t>9.</w:t>
      </w:r>
      <w:bookmarkStart w:id="26" w:name="_Hlk53143970"/>
      <w:r>
        <w:rPr>
          <w:rFonts w:ascii="仿宋" w:hAnsi="仿宋" w:eastAsia="仿宋"/>
          <w:sz w:val="32"/>
          <w:szCs w:val="32"/>
        </w:rPr>
        <w:t>由</w:t>
      </w:r>
      <w:r>
        <w:rPr>
          <w:rFonts w:hint="eastAsia" w:ascii="仿宋" w:hAnsi="仿宋" w:eastAsia="仿宋"/>
          <w:sz w:val="32"/>
          <w:szCs w:val="32"/>
        </w:rPr>
        <w:t>有资质的</w:t>
      </w:r>
      <w:r>
        <w:rPr>
          <w:rFonts w:ascii="仿宋" w:hAnsi="仿宋" w:eastAsia="仿宋"/>
          <w:sz w:val="32"/>
          <w:szCs w:val="32"/>
        </w:rPr>
        <w:t>测绘公司出具的《</w:t>
      </w:r>
      <w:r>
        <w:rPr>
          <w:rFonts w:hint="eastAsia" w:ascii="仿宋" w:hAnsi="仿宋" w:eastAsia="仿宋"/>
          <w:sz w:val="32"/>
          <w:szCs w:val="32"/>
        </w:rPr>
        <w:t>土</w:t>
      </w:r>
      <w:r>
        <w:rPr>
          <w:rFonts w:ascii="仿宋" w:hAnsi="仿宋" w:eastAsia="仿宋"/>
          <w:sz w:val="32"/>
          <w:szCs w:val="32"/>
        </w:rPr>
        <w:t>地勘测定界报告》</w:t>
      </w:r>
      <w:r>
        <w:rPr>
          <w:rFonts w:hint="eastAsia" w:ascii="仿宋" w:hAnsi="仿宋" w:eastAsia="仿宋"/>
          <w:sz w:val="32"/>
          <w:szCs w:val="32"/>
        </w:rPr>
        <w:t>，</w:t>
      </w:r>
      <w:bookmarkStart w:id="27" w:name="_Hlk61888180"/>
      <w:r>
        <w:rPr>
          <w:rFonts w:hint="eastAsia" w:ascii="仿宋" w:hAnsi="仿宋" w:eastAsia="仿宋" w:cs="仿宋_GB2312"/>
          <w:sz w:val="32"/>
          <w:szCs w:val="32"/>
        </w:rPr>
        <w:t>建设规模在1000平方米以下的养殖项目和建设规模在1500平方米以下的种植项目可不提供《土地勘测定界报告》，但必须提供2000坐标系现状图上的平面布置图（标明所占地类及面积），提供宗地图电子版TXT坐标。</w:t>
      </w:r>
      <w:bookmarkEnd w:id="26"/>
      <w:bookmarkEnd w:id="27"/>
      <w:r>
        <w:rPr>
          <w:rFonts w:ascii="仿宋" w:hAnsi="仿宋" w:eastAsia="仿宋"/>
          <w:sz w:val="32"/>
          <w:szCs w:val="32"/>
        </w:rPr>
        <w:t xml:space="preserve"> </w:t>
      </w:r>
    </w:p>
    <w:p>
      <w:pPr>
        <w:spacing w:line="360" w:lineRule="auto"/>
        <w:ind w:firstLine="640" w:firstLineChars="200"/>
        <w:rPr>
          <w:rFonts w:ascii="仿宋" w:hAnsi="仿宋" w:eastAsia="仿宋"/>
          <w:sz w:val="32"/>
          <w:szCs w:val="32"/>
        </w:rPr>
      </w:pPr>
      <w:r>
        <w:rPr>
          <w:rFonts w:hint="eastAsia" w:ascii="仿宋" w:hAnsi="仿宋" w:eastAsia="仿宋"/>
          <w:sz w:val="32"/>
          <w:szCs w:val="32"/>
        </w:rPr>
        <w:t>10.如涉及需要办理林草审批相关手续的，由相关部门出具的林地、草地审批手续；</w:t>
      </w:r>
      <w:r>
        <w:rPr>
          <w:rFonts w:ascii="仿宋" w:hAnsi="仿宋" w:eastAsia="仿宋"/>
          <w:sz w:val="32"/>
          <w:szCs w:val="32"/>
        </w:rPr>
        <w:t xml:space="preserve"> </w:t>
      </w:r>
    </w:p>
    <w:p>
      <w:pPr>
        <w:spacing w:line="360" w:lineRule="auto"/>
        <w:ind w:firstLine="640" w:firstLineChars="200"/>
        <w:rPr>
          <w:rFonts w:hint="eastAsia" w:ascii="仿宋" w:hAnsi="仿宋" w:eastAsia="仿宋" w:cs="仿宋_GB2312"/>
          <w:sz w:val="32"/>
          <w:szCs w:val="32"/>
          <w:lang w:eastAsia="zh-CN"/>
        </w:rPr>
      </w:pPr>
      <w:r>
        <w:rPr>
          <w:rFonts w:hint="eastAsia" w:ascii="仿宋" w:hAnsi="仿宋" w:eastAsia="仿宋" w:cs="仿宋_GB2312"/>
          <w:sz w:val="32"/>
          <w:szCs w:val="32"/>
        </w:rPr>
        <w:t>11.</w:t>
      </w:r>
      <w:r>
        <w:rPr>
          <w:rFonts w:hint="default" w:ascii="仿宋" w:hAnsi="仿宋" w:eastAsia="仿宋" w:cs="仿宋_GB2312"/>
          <w:sz w:val="32"/>
          <w:szCs w:val="32"/>
          <w:lang w:val="en-US" w:eastAsia="zh-CN"/>
        </w:rPr>
        <w:t>如涉及需要办理取水相关手续的，</w:t>
      </w:r>
      <w:r>
        <w:rPr>
          <w:rFonts w:hint="eastAsia" w:ascii="仿宋" w:hAnsi="仿宋" w:eastAsia="仿宋" w:cs="仿宋_GB2312"/>
          <w:sz w:val="32"/>
          <w:szCs w:val="32"/>
          <w:lang w:val="en-US" w:eastAsia="zh-CN"/>
        </w:rPr>
        <w:t>在《伊金霍洛旗农业灌溉及农牧民取水（地下水）水资源论证区域评估》范围内的设施农业建设项目，年取用地下水量小于5万立方米的实行水源置换，填写伊金霍洛旗机电井变更（更新）审批表，对取水用途和权属人进行变更即可。</w:t>
      </w:r>
      <w:r>
        <w:rPr>
          <w:rFonts w:hint="default" w:ascii="仿宋" w:hAnsi="仿宋" w:eastAsia="仿宋" w:cs="仿宋_GB2312"/>
          <w:sz w:val="32"/>
          <w:szCs w:val="32"/>
          <w:lang w:val="en-US" w:eastAsia="zh-CN"/>
        </w:rPr>
        <w:t>涉及需要办理</w:t>
      </w:r>
      <w:r>
        <w:rPr>
          <w:rFonts w:hint="eastAsia" w:ascii="仿宋" w:hAnsi="仿宋" w:eastAsia="仿宋" w:cs="仿宋_GB2312"/>
          <w:sz w:val="32"/>
          <w:szCs w:val="32"/>
          <w:lang w:val="en-US" w:eastAsia="zh-CN"/>
        </w:rPr>
        <w:t>水土保持</w:t>
      </w:r>
      <w:r>
        <w:rPr>
          <w:rFonts w:hint="default" w:ascii="仿宋" w:hAnsi="仿宋" w:eastAsia="仿宋" w:cs="仿宋_GB2312"/>
          <w:sz w:val="32"/>
          <w:szCs w:val="32"/>
          <w:lang w:val="en-US" w:eastAsia="zh-CN"/>
        </w:rPr>
        <w:t>相关手续的，</w:t>
      </w:r>
      <w:r>
        <w:rPr>
          <w:rFonts w:hint="eastAsia" w:ascii="仿宋" w:hAnsi="仿宋" w:eastAsia="仿宋" w:cs="仿宋_GB2312"/>
          <w:sz w:val="32"/>
          <w:szCs w:val="32"/>
          <w:lang w:val="en-US" w:eastAsia="zh-CN"/>
        </w:rPr>
        <w:t>由于设施农业（种植、畜牧）建设项目对地表扰动和植被损坏范围可控，对水土流失造成的损失轻微，因而对项目水土保持方案的审批按备案制管理。具体流程为：申请人应在项目开工建设前向审批部门提交水土保持方案备案表，备案材料在报送之前，申请人应当通过其网站、公共媒体网站或当地政府网站向社会公示备案表（涉秘除外），公示时间不得少于10个工作日。审批部门对收到的备案材料进行形式审查，对材料齐全符合相关规定要求的作出许可决定，对材料不全或不符合相关规定要求的，应当一次性告知需补正的材料及要求。对不属于备案制管理的应当告知按相关规定程序规定程序办理</w:t>
      </w:r>
      <w:r>
        <w:rPr>
          <w:rFonts w:hint="eastAsia" w:ascii="仿宋" w:hAnsi="仿宋" w:eastAsia="仿宋" w:cs="仿宋_GB2312"/>
          <w:sz w:val="32"/>
          <w:szCs w:val="32"/>
        </w:rPr>
        <w:t xml:space="preserve"> </w:t>
      </w:r>
      <w:r>
        <w:rPr>
          <w:rFonts w:hint="eastAsia" w:ascii="仿宋" w:hAnsi="仿宋" w:eastAsia="仿宋" w:cs="仿宋_GB2312"/>
          <w:sz w:val="32"/>
          <w:szCs w:val="32"/>
          <w:lang w:eastAsia="zh-CN"/>
        </w:rPr>
        <w:t>。</w:t>
      </w:r>
    </w:p>
    <w:p>
      <w:pPr>
        <w:spacing w:line="360" w:lineRule="auto"/>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12.如涉及需要办理环保相关手续的，需要提供《环境影响登记备案表》或由生态环境局出具的同意建设的批复文件；</w:t>
      </w:r>
    </w:p>
    <w:p>
      <w:pPr>
        <w:spacing w:line="360" w:lineRule="auto"/>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13.属地镇人民政府出具的现场勘验无违法证明</w:t>
      </w:r>
    </w:p>
    <w:p>
      <w:pPr>
        <w:spacing w:line="360" w:lineRule="auto"/>
        <w:ind w:firstLine="640" w:firstLineChars="200"/>
        <w:rPr>
          <w:rFonts w:ascii="仿宋" w:hAnsi="仿宋" w:eastAsia="仿宋"/>
          <w:sz w:val="32"/>
          <w:szCs w:val="3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7" w:charSpace="609"/>
        </w:sectPr>
      </w:pPr>
      <w:r>
        <w:rPr>
          <w:rFonts w:hint="eastAsia" w:ascii="仿宋" w:hAnsi="仿宋" w:eastAsia="仿宋"/>
          <w:sz w:val="32"/>
          <w:szCs w:val="32"/>
          <w:lang w:val="en-US" w:eastAsia="zh-CN"/>
        </w:rPr>
        <w:t>14.</w:t>
      </w:r>
      <w:r>
        <w:rPr>
          <w:rFonts w:hint="eastAsia" w:ascii="仿宋" w:hAnsi="仿宋" w:eastAsia="仿宋"/>
          <w:sz w:val="32"/>
          <w:szCs w:val="32"/>
        </w:rPr>
        <w:t>设施农业用地土地复垦协议（内自然资字【2</w:t>
      </w:r>
      <w:r>
        <w:rPr>
          <w:rFonts w:ascii="仿宋" w:hAnsi="仿宋" w:eastAsia="仿宋"/>
          <w:sz w:val="32"/>
          <w:szCs w:val="32"/>
        </w:rPr>
        <w:t>020</w:t>
      </w:r>
      <w:r>
        <w:rPr>
          <w:rFonts w:hint="eastAsia" w:ascii="仿宋" w:hAnsi="仿宋" w:eastAsia="仿宋"/>
          <w:sz w:val="32"/>
          <w:szCs w:val="32"/>
        </w:rPr>
        <w:t>】5</w:t>
      </w:r>
      <w:r>
        <w:rPr>
          <w:rFonts w:ascii="仿宋" w:hAnsi="仿宋" w:eastAsia="仿宋"/>
          <w:sz w:val="32"/>
          <w:szCs w:val="32"/>
        </w:rPr>
        <w:t>77</w:t>
      </w:r>
      <w:r>
        <w:rPr>
          <w:rFonts w:hint="eastAsia" w:ascii="仿宋" w:hAnsi="仿宋" w:eastAsia="仿宋"/>
          <w:sz w:val="32"/>
          <w:szCs w:val="32"/>
        </w:rPr>
        <w:t>号附参考格式）。</w:t>
      </w:r>
    </w:p>
    <w:p>
      <w:pPr>
        <w:pStyle w:val="12"/>
        <w:rPr>
          <w:rFonts w:ascii="黑体" w:hAnsi="黑体" w:eastAsia="黑体" w:cs="仿宋_GB2312"/>
          <w:sz w:val="32"/>
          <w:szCs w:val="32"/>
        </w:rPr>
      </w:pPr>
      <w:r>
        <w:rPr>
          <w:rFonts w:hint="eastAsia" w:ascii="黑体" w:hAnsi="黑体" w:eastAsia="黑体" w:cs="仿宋_GB2312"/>
          <w:sz w:val="32"/>
          <w:szCs w:val="32"/>
        </w:rPr>
        <w:t>附件</w:t>
      </w:r>
      <w:r>
        <w:rPr>
          <w:rFonts w:ascii="黑体" w:hAnsi="黑体" w:eastAsia="黑体" w:cs="仿宋_GB2312"/>
          <w:sz w:val="32"/>
          <w:szCs w:val="32"/>
        </w:rPr>
        <w:t>2</w:t>
      </w:r>
    </w:p>
    <w:p>
      <w:pPr>
        <w:pStyle w:val="12"/>
        <w:jc w:val="center"/>
        <w:rPr>
          <w:rFonts w:cs="方正小标宋简体" w:asciiTheme="majorEastAsia" w:hAnsiTheme="majorEastAsia" w:eastAsiaTheme="majorEastAsia"/>
          <w:b/>
          <w:bCs/>
          <w:sz w:val="44"/>
          <w:szCs w:val="44"/>
        </w:rPr>
      </w:pPr>
      <w:bookmarkStart w:id="28" w:name="_Hlk20733107"/>
      <w:r>
        <w:rPr>
          <w:rFonts w:hint="eastAsia" w:cs="方正小标宋简体" w:asciiTheme="majorEastAsia" w:hAnsiTheme="majorEastAsia" w:eastAsiaTheme="majorEastAsia"/>
          <w:b/>
          <w:bCs/>
          <w:sz w:val="44"/>
          <w:szCs w:val="44"/>
        </w:rPr>
        <w:t>伊金霍洛旗设施农业建设项目审批汇总表</w:t>
      </w:r>
    </w:p>
    <w:p>
      <w:pPr>
        <w:pStyle w:val="12"/>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填报单位（盖章）： </w:t>
      </w: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 xml:space="preserve"> 镇    </w:t>
      </w: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 xml:space="preserve"> 填报时间：</w:t>
      </w: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 xml:space="preserve">年 </w:t>
      </w: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 xml:space="preserve">月 </w:t>
      </w: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 xml:space="preserve">日      </w:t>
      </w: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 xml:space="preserve">  填报人： </w:t>
      </w:r>
      <w:bookmarkEnd w:id="28"/>
    </w:p>
    <w:tbl>
      <w:tblPr>
        <w:tblStyle w:val="9"/>
        <w:tblW w:w="136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3"/>
        <w:gridCol w:w="1473"/>
        <w:gridCol w:w="1145"/>
        <w:gridCol w:w="1419"/>
        <w:gridCol w:w="1254"/>
        <w:gridCol w:w="1254"/>
        <w:gridCol w:w="1080"/>
        <w:gridCol w:w="1233"/>
        <w:gridCol w:w="1047"/>
        <w:gridCol w:w="1047"/>
        <w:gridCol w:w="1534"/>
        <w:gridCol w:w="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623" w:type="dxa"/>
            <w:noWrap/>
          </w:tcPr>
          <w:p>
            <w:pPr>
              <w:pStyle w:val="12"/>
              <w:rPr>
                <w:rFonts w:ascii="仿宋_GB2312" w:hAnsi="仿宋_GB2312" w:eastAsia="仿宋_GB2312" w:cs="仿宋_GB2312"/>
              </w:rPr>
            </w:pPr>
            <w:r>
              <w:rPr>
                <w:rFonts w:hint="eastAsia" w:ascii="仿宋_GB2312" w:hAnsi="仿宋_GB2312" w:eastAsia="仿宋_GB2312" w:cs="仿宋_GB2312"/>
              </w:rPr>
              <w:t>序号</w:t>
            </w:r>
          </w:p>
        </w:tc>
        <w:tc>
          <w:tcPr>
            <w:tcW w:w="1473" w:type="dxa"/>
            <w:noWrap/>
          </w:tcPr>
          <w:p>
            <w:pPr>
              <w:pStyle w:val="12"/>
              <w:rPr>
                <w:rFonts w:ascii="仿宋_GB2312" w:hAnsi="仿宋_GB2312" w:eastAsia="仿宋_GB2312" w:cs="仿宋_GB2312"/>
              </w:rPr>
            </w:pPr>
            <w:r>
              <w:rPr>
                <w:rFonts w:hint="eastAsia" w:ascii="仿宋_GB2312" w:hAnsi="仿宋_GB2312" w:eastAsia="仿宋_GB2312" w:cs="仿宋_GB2312"/>
              </w:rPr>
              <w:t>项目</w:t>
            </w:r>
          </w:p>
          <w:p>
            <w:pPr>
              <w:pStyle w:val="12"/>
              <w:rPr>
                <w:rFonts w:ascii="仿宋_GB2312" w:hAnsi="仿宋_GB2312" w:eastAsia="仿宋_GB2312" w:cs="仿宋_GB2312"/>
              </w:rPr>
            </w:pPr>
            <w:r>
              <w:rPr>
                <w:rFonts w:hint="eastAsia" w:ascii="仿宋_GB2312" w:hAnsi="仿宋_GB2312" w:eastAsia="仿宋_GB2312" w:cs="仿宋_GB2312"/>
              </w:rPr>
              <w:t>名称</w:t>
            </w:r>
          </w:p>
        </w:tc>
        <w:tc>
          <w:tcPr>
            <w:tcW w:w="1145" w:type="dxa"/>
            <w:noWrap/>
          </w:tcPr>
          <w:p>
            <w:pPr>
              <w:pStyle w:val="12"/>
              <w:rPr>
                <w:rFonts w:ascii="仿宋_GB2312" w:hAnsi="仿宋_GB2312" w:eastAsia="仿宋_GB2312" w:cs="仿宋_GB2312"/>
              </w:rPr>
            </w:pPr>
            <w:r>
              <w:rPr>
                <w:rFonts w:hint="eastAsia" w:ascii="仿宋_GB2312" w:hAnsi="仿宋_GB2312" w:eastAsia="仿宋_GB2312" w:cs="仿宋_GB2312"/>
              </w:rPr>
              <w:t>项目</w:t>
            </w:r>
          </w:p>
          <w:p>
            <w:pPr>
              <w:pStyle w:val="12"/>
              <w:rPr>
                <w:rFonts w:ascii="仿宋_GB2312" w:hAnsi="仿宋_GB2312" w:eastAsia="仿宋_GB2312" w:cs="仿宋_GB2312"/>
              </w:rPr>
            </w:pPr>
            <w:r>
              <w:rPr>
                <w:rFonts w:hint="eastAsia" w:ascii="仿宋_GB2312" w:hAnsi="仿宋_GB2312" w:eastAsia="仿宋_GB2312" w:cs="仿宋_GB2312"/>
              </w:rPr>
              <w:t>法人</w:t>
            </w:r>
          </w:p>
        </w:tc>
        <w:tc>
          <w:tcPr>
            <w:tcW w:w="1419" w:type="dxa"/>
            <w:noWrap/>
          </w:tcPr>
          <w:p>
            <w:pPr>
              <w:pStyle w:val="12"/>
              <w:rPr>
                <w:rFonts w:ascii="仿宋_GB2312" w:hAnsi="仿宋_GB2312" w:eastAsia="仿宋_GB2312" w:cs="仿宋_GB2312"/>
              </w:rPr>
            </w:pPr>
            <w:r>
              <w:rPr>
                <w:rFonts w:hint="eastAsia" w:ascii="仿宋_GB2312" w:hAnsi="仿宋_GB2312" w:eastAsia="仿宋_GB2312" w:cs="仿宋_GB2312"/>
              </w:rPr>
              <w:t>项目</w:t>
            </w:r>
          </w:p>
          <w:p>
            <w:pPr>
              <w:pStyle w:val="12"/>
              <w:rPr>
                <w:rFonts w:ascii="仿宋_GB2312" w:hAnsi="仿宋_GB2312" w:eastAsia="仿宋_GB2312" w:cs="仿宋_GB2312"/>
              </w:rPr>
            </w:pPr>
            <w:r>
              <w:rPr>
                <w:rFonts w:hint="eastAsia" w:ascii="仿宋_GB2312" w:hAnsi="仿宋_GB2312" w:eastAsia="仿宋_GB2312" w:cs="仿宋_GB2312"/>
              </w:rPr>
              <w:t>地点</w:t>
            </w:r>
          </w:p>
        </w:tc>
        <w:tc>
          <w:tcPr>
            <w:tcW w:w="1254" w:type="dxa"/>
            <w:noWrap/>
          </w:tcPr>
          <w:p>
            <w:pPr>
              <w:pStyle w:val="12"/>
              <w:rPr>
                <w:rFonts w:ascii="仿宋_GB2312" w:hAnsi="仿宋_GB2312" w:eastAsia="仿宋_GB2312" w:cs="仿宋_GB2312"/>
              </w:rPr>
            </w:pPr>
            <w:r>
              <w:rPr>
                <w:rFonts w:hint="eastAsia" w:ascii="仿宋_GB2312" w:hAnsi="仿宋_GB2312" w:eastAsia="仿宋_GB2312" w:cs="仿宋_GB2312"/>
              </w:rPr>
              <w:t>总用地</w:t>
            </w:r>
          </w:p>
          <w:p>
            <w:pPr>
              <w:pStyle w:val="12"/>
              <w:rPr>
                <w:rFonts w:ascii="仿宋_GB2312" w:hAnsi="仿宋_GB2312" w:eastAsia="仿宋_GB2312" w:cs="仿宋_GB2312"/>
              </w:rPr>
            </w:pPr>
            <w:r>
              <w:rPr>
                <w:rFonts w:hint="eastAsia" w:ascii="仿宋_GB2312" w:hAnsi="仿宋_GB2312" w:eastAsia="仿宋_GB2312" w:cs="仿宋_GB2312"/>
              </w:rPr>
              <w:t>规模</w:t>
            </w:r>
          </w:p>
        </w:tc>
        <w:tc>
          <w:tcPr>
            <w:tcW w:w="1254" w:type="dxa"/>
            <w:noWrap/>
          </w:tcPr>
          <w:p>
            <w:pPr>
              <w:pStyle w:val="12"/>
              <w:rPr>
                <w:rFonts w:ascii="仿宋_GB2312" w:hAnsi="仿宋_GB2312" w:eastAsia="仿宋_GB2312" w:cs="仿宋_GB2312"/>
              </w:rPr>
            </w:pPr>
            <w:r>
              <w:rPr>
                <w:rFonts w:hint="eastAsia" w:ascii="仿宋_GB2312" w:hAnsi="仿宋_GB2312" w:eastAsia="仿宋_GB2312" w:cs="仿宋_GB2312"/>
              </w:rPr>
              <w:t>范围</w:t>
            </w:r>
          </w:p>
          <w:p>
            <w:pPr>
              <w:pStyle w:val="12"/>
              <w:rPr>
                <w:rFonts w:ascii="仿宋_GB2312" w:hAnsi="仿宋_GB2312" w:eastAsia="仿宋_GB2312" w:cs="仿宋_GB2312"/>
              </w:rPr>
            </w:pPr>
            <w:r>
              <w:rPr>
                <w:rFonts w:hint="eastAsia" w:ascii="仿宋_GB2312" w:hAnsi="仿宋_GB2312" w:eastAsia="仿宋_GB2312" w:cs="仿宋_GB2312"/>
              </w:rPr>
              <w:t>坐标</w:t>
            </w:r>
          </w:p>
        </w:tc>
        <w:tc>
          <w:tcPr>
            <w:tcW w:w="1080" w:type="dxa"/>
            <w:noWrap/>
          </w:tcPr>
          <w:p>
            <w:pPr>
              <w:pStyle w:val="12"/>
              <w:rPr>
                <w:rFonts w:ascii="仿宋_GB2312" w:hAnsi="仿宋_GB2312" w:eastAsia="仿宋_GB2312" w:cs="仿宋_GB2312"/>
              </w:rPr>
            </w:pPr>
            <w:r>
              <w:rPr>
                <w:rFonts w:hint="eastAsia" w:ascii="仿宋_GB2312" w:hAnsi="仿宋_GB2312" w:eastAsia="仿宋_GB2312" w:cs="仿宋_GB2312"/>
              </w:rPr>
              <w:t>设施</w:t>
            </w:r>
          </w:p>
          <w:p>
            <w:pPr>
              <w:pStyle w:val="12"/>
              <w:rPr>
                <w:rFonts w:ascii="仿宋_GB2312" w:hAnsi="仿宋_GB2312" w:eastAsia="仿宋_GB2312" w:cs="仿宋_GB2312"/>
              </w:rPr>
            </w:pPr>
            <w:r>
              <w:rPr>
                <w:rFonts w:hint="eastAsia" w:ascii="仿宋_GB2312" w:hAnsi="仿宋_GB2312" w:eastAsia="仿宋_GB2312" w:cs="仿宋_GB2312"/>
              </w:rPr>
              <w:t>类型</w:t>
            </w:r>
          </w:p>
        </w:tc>
        <w:tc>
          <w:tcPr>
            <w:tcW w:w="1233" w:type="dxa"/>
            <w:noWrap/>
          </w:tcPr>
          <w:p>
            <w:pPr>
              <w:pStyle w:val="12"/>
              <w:rPr>
                <w:rFonts w:ascii="仿宋_GB2312" w:hAnsi="仿宋_GB2312" w:eastAsia="仿宋_GB2312" w:cs="仿宋_GB2312"/>
              </w:rPr>
            </w:pPr>
            <w:r>
              <w:rPr>
                <w:rFonts w:hint="eastAsia" w:ascii="仿宋_GB2312" w:hAnsi="仿宋_GB2312" w:eastAsia="仿宋_GB2312" w:cs="仿宋_GB2312"/>
              </w:rPr>
              <w:t>设施</w:t>
            </w:r>
          </w:p>
          <w:p>
            <w:pPr>
              <w:pStyle w:val="12"/>
              <w:rPr>
                <w:rFonts w:ascii="仿宋_GB2312" w:hAnsi="仿宋_GB2312" w:eastAsia="仿宋_GB2312" w:cs="仿宋_GB2312"/>
              </w:rPr>
            </w:pPr>
            <w:r>
              <w:rPr>
                <w:rFonts w:hint="eastAsia" w:ascii="仿宋_GB2312" w:hAnsi="仿宋_GB2312" w:eastAsia="仿宋_GB2312" w:cs="仿宋_GB2312"/>
              </w:rPr>
              <w:t>数量</w:t>
            </w:r>
          </w:p>
        </w:tc>
        <w:tc>
          <w:tcPr>
            <w:tcW w:w="1047" w:type="dxa"/>
            <w:noWrap/>
          </w:tcPr>
          <w:p>
            <w:pPr>
              <w:pStyle w:val="12"/>
              <w:rPr>
                <w:rFonts w:ascii="仿宋_GB2312" w:hAnsi="仿宋_GB2312" w:eastAsia="仿宋_GB2312" w:cs="仿宋_GB2312"/>
              </w:rPr>
            </w:pPr>
            <w:r>
              <w:rPr>
                <w:rFonts w:hint="eastAsia" w:ascii="仿宋_GB2312" w:hAnsi="仿宋_GB2312" w:eastAsia="仿宋_GB2312" w:cs="仿宋_GB2312"/>
              </w:rPr>
              <w:t>土地</w:t>
            </w:r>
          </w:p>
          <w:p>
            <w:pPr>
              <w:pStyle w:val="12"/>
              <w:rPr>
                <w:rFonts w:ascii="仿宋_GB2312" w:hAnsi="仿宋_GB2312" w:eastAsia="仿宋_GB2312" w:cs="仿宋_GB2312"/>
              </w:rPr>
            </w:pPr>
            <w:r>
              <w:rPr>
                <w:rFonts w:hint="eastAsia" w:ascii="仿宋_GB2312" w:hAnsi="仿宋_GB2312" w:eastAsia="仿宋_GB2312" w:cs="仿宋_GB2312"/>
              </w:rPr>
              <w:t>类型</w:t>
            </w:r>
          </w:p>
        </w:tc>
        <w:tc>
          <w:tcPr>
            <w:tcW w:w="1047" w:type="dxa"/>
            <w:noWrap/>
          </w:tcPr>
          <w:p>
            <w:pPr>
              <w:pStyle w:val="12"/>
              <w:rPr>
                <w:rFonts w:ascii="仿宋_GB2312" w:hAnsi="仿宋_GB2312" w:eastAsia="仿宋_GB2312" w:cs="仿宋_GB2312"/>
              </w:rPr>
            </w:pPr>
            <w:r>
              <w:rPr>
                <w:rFonts w:hint="eastAsia" w:ascii="仿宋_GB2312" w:hAnsi="仿宋_GB2312" w:eastAsia="仿宋_GB2312" w:cs="仿宋_GB2312"/>
              </w:rPr>
              <w:t>标</w:t>
            </w:r>
          </w:p>
          <w:p>
            <w:pPr>
              <w:pStyle w:val="12"/>
              <w:rPr>
                <w:rFonts w:ascii="仿宋_GB2312" w:hAnsi="仿宋_GB2312" w:eastAsia="仿宋_GB2312" w:cs="仿宋_GB2312"/>
              </w:rPr>
            </w:pPr>
            <w:r>
              <w:rPr>
                <w:rFonts w:hint="eastAsia" w:ascii="仿宋_GB2312" w:hAnsi="仿宋_GB2312" w:eastAsia="仿宋_GB2312" w:cs="仿宋_GB2312"/>
              </w:rPr>
              <w:t>准</w:t>
            </w:r>
          </w:p>
        </w:tc>
        <w:tc>
          <w:tcPr>
            <w:tcW w:w="1534" w:type="dxa"/>
            <w:noWrap/>
          </w:tcPr>
          <w:p>
            <w:pPr>
              <w:pStyle w:val="12"/>
              <w:rPr>
                <w:rFonts w:ascii="仿宋_GB2312" w:hAnsi="仿宋_GB2312" w:eastAsia="仿宋_GB2312" w:cs="仿宋_GB2312"/>
              </w:rPr>
            </w:pPr>
            <w:r>
              <w:rPr>
                <w:rFonts w:hint="eastAsia" w:ascii="仿宋_GB2312" w:hAnsi="仿宋_GB2312" w:eastAsia="仿宋_GB2312" w:cs="仿宋_GB2312"/>
              </w:rPr>
              <w:t>联系</w:t>
            </w:r>
          </w:p>
          <w:p>
            <w:pPr>
              <w:pStyle w:val="12"/>
              <w:rPr>
                <w:rFonts w:ascii="仿宋_GB2312" w:hAnsi="仿宋_GB2312" w:eastAsia="仿宋_GB2312" w:cs="仿宋_GB2312"/>
              </w:rPr>
            </w:pPr>
            <w:r>
              <w:rPr>
                <w:rFonts w:hint="eastAsia" w:ascii="仿宋_GB2312" w:hAnsi="仿宋_GB2312" w:eastAsia="仿宋_GB2312" w:cs="仿宋_GB2312"/>
              </w:rPr>
              <w:t>电话</w:t>
            </w:r>
          </w:p>
        </w:tc>
        <w:tc>
          <w:tcPr>
            <w:tcW w:w="522" w:type="dxa"/>
            <w:noWrap/>
          </w:tcPr>
          <w:p>
            <w:pPr>
              <w:pStyle w:val="12"/>
              <w:rPr>
                <w:rFonts w:ascii="仿宋_GB2312" w:hAnsi="仿宋_GB2312" w:eastAsia="仿宋_GB2312" w:cs="仿宋_GB2312"/>
              </w:rPr>
            </w:pPr>
            <w:r>
              <w:rPr>
                <w:rFonts w:hint="eastAsia" w:ascii="仿宋_GB2312" w:hAnsi="仿宋_GB2312" w:eastAsia="仿宋_GB2312" w:cs="仿宋_GB231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623" w:type="dxa"/>
            <w:noWrap/>
          </w:tcPr>
          <w:p>
            <w:pPr>
              <w:pStyle w:val="12"/>
              <w:rPr>
                <w:rFonts w:ascii="仿宋_GB2312" w:hAnsi="仿宋_GB2312" w:eastAsia="仿宋_GB2312" w:cs="仿宋_GB2312"/>
                <w:sz w:val="32"/>
                <w:szCs w:val="32"/>
              </w:rPr>
            </w:pPr>
          </w:p>
        </w:tc>
        <w:tc>
          <w:tcPr>
            <w:tcW w:w="1473" w:type="dxa"/>
            <w:noWrap/>
          </w:tcPr>
          <w:p>
            <w:pPr>
              <w:pStyle w:val="12"/>
              <w:rPr>
                <w:rFonts w:ascii="仿宋_GB2312" w:hAnsi="仿宋_GB2312" w:eastAsia="仿宋_GB2312" w:cs="仿宋_GB2312"/>
                <w:sz w:val="32"/>
                <w:szCs w:val="32"/>
              </w:rPr>
            </w:pPr>
          </w:p>
        </w:tc>
        <w:tc>
          <w:tcPr>
            <w:tcW w:w="1145" w:type="dxa"/>
            <w:noWrap/>
          </w:tcPr>
          <w:p>
            <w:pPr>
              <w:pStyle w:val="12"/>
              <w:rPr>
                <w:rFonts w:ascii="仿宋_GB2312" w:hAnsi="仿宋_GB2312" w:eastAsia="仿宋_GB2312" w:cs="仿宋_GB2312"/>
                <w:sz w:val="32"/>
                <w:szCs w:val="32"/>
              </w:rPr>
            </w:pPr>
          </w:p>
        </w:tc>
        <w:tc>
          <w:tcPr>
            <w:tcW w:w="1419" w:type="dxa"/>
            <w:noWrap/>
          </w:tcPr>
          <w:p>
            <w:pPr>
              <w:pStyle w:val="12"/>
              <w:rPr>
                <w:rFonts w:ascii="仿宋_GB2312" w:hAnsi="仿宋_GB2312" w:eastAsia="仿宋_GB2312" w:cs="仿宋_GB2312"/>
                <w:sz w:val="32"/>
                <w:szCs w:val="32"/>
              </w:rPr>
            </w:pPr>
          </w:p>
        </w:tc>
        <w:tc>
          <w:tcPr>
            <w:tcW w:w="1254" w:type="dxa"/>
            <w:noWrap/>
          </w:tcPr>
          <w:p>
            <w:pPr>
              <w:pStyle w:val="12"/>
              <w:rPr>
                <w:rFonts w:ascii="仿宋_GB2312" w:hAnsi="仿宋_GB2312" w:eastAsia="仿宋_GB2312" w:cs="仿宋_GB2312"/>
                <w:sz w:val="32"/>
                <w:szCs w:val="32"/>
              </w:rPr>
            </w:pPr>
          </w:p>
        </w:tc>
        <w:tc>
          <w:tcPr>
            <w:tcW w:w="1254" w:type="dxa"/>
            <w:noWrap/>
          </w:tcPr>
          <w:p>
            <w:pPr>
              <w:pStyle w:val="12"/>
              <w:rPr>
                <w:rFonts w:ascii="仿宋_GB2312" w:hAnsi="仿宋_GB2312" w:eastAsia="仿宋_GB2312" w:cs="仿宋_GB2312"/>
                <w:sz w:val="32"/>
                <w:szCs w:val="32"/>
              </w:rPr>
            </w:pPr>
          </w:p>
        </w:tc>
        <w:tc>
          <w:tcPr>
            <w:tcW w:w="1080" w:type="dxa"/>
            <w:noWrap/>
          </w:tcPr>
          <w:p>
            <w:pPr>
              <w:pStyle w:val="12"/>
              <w:rPr>
                <w:rFonts w:ascii="仿宋_GB2312" w:hAnsi="仿宋_GB2312" w:eastAsia="仿宋_GB2312" w:cs="仿宋_GB2312"/>
                <w:sz w:val="32"/>
                <w:szCs w:val="32"/>
              </w:rPr>
            </w:pPr>
          </w:p>
        </w:tc>
        <w:tc>
          <w:tcPr>
            <w:tcW w:w="1233" w:type="dxa"/>
            <w:noWrap/>
          </w:tcPr>
          <w:p>
            <w:pPr>
              <w:pStyle w:val="12"/>
              <w:rPr>
                <w:rFonts w:ascii="仿宋_GB2312" w:hAnsi="仿宋_GB2312" w:eastAsia="仿宋_GB2312" w:cs="仿宋_GB2312"/>
                <w:sz w:val="32"/>
                <w:szCs w:val="32"/>
              </w:rPr>
            </w:pPr>
          </w:p>
        </w:tc>
        <w:tc>
          <w:tcPr>
            <w:tcW w:w="1047" w:type="dxa"/>
            <w:noWrap/>
          </w:tcPr>
          <w:p>
            <w:pPr>
              <w:pStyle w:val="12"/>
              <w:rPr>
                <w:rFonts w:ascii="仿宋_GB2312" w:hAnsi="仿宋_GB2312" w:eastAsia="仿宋_GB2312" w:cs="仿宋_GB2312"/>
                <w:sz w:val="32"/>
                <w:szCs w:val="32"/>
              </w:rPr>
            </w:pPr>
          </w:p>
        </w:tc>
        <w:tc>
          <w:tcPr>
            <w:tcW w:w="1047" w:type="dxa"/>
            <w:noWrap/>
          </w:tcPr>
          <w:p>
            <w:pPr>
              <w:pStyle w:val="12"/>
              <w:rPr>
                <w:rFonts w:ascii="仿宋_GB2312" w:hAnsi="仿宋_GB2312" w:eastAsia="仿宋_GB2312" w:cs="仿宋_GB2312"/>
                <w:sz w:val="32"/>
                <w:szCs w:val="32"/>
              </w:rPr>
            </w:pPr>
          </w:p>
        </w:tc>
        <w:tc>
          <w:tcPr>
            <w:tcW w:w="1534" w:type="dxa"/>
            <w:noWrap/>
          </w:tcPr>
          <w:p>
            <w:pPr>
              <w:pStyle w:val="12"/>
              <w:rPr>
                <w:rFonts w:ascii="仿宋_GB2312" w:hAnsi="仿宋_GB2312" w:eastAsia="仿宋_GB2312" w:cs="仿宋_GB2312"/>
                <w:sz w:val="32"/>
                <w:szCs w:val="32"/>
              </w:rPr>
            </w:pPr>
          </w:p>
        </w:tc>
        <w:tc>
          <w:tcPr>
            <w:tcW w:w="522" w:type="dxa"/>
            <w:noWrap/>
          </w:tcPr>
          <w:p>
            <w:pPr>
              <w:pStyle w:val="12"/>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noWrap/>
          </w:tcPr>
          <w:p>
            <w:pPr>
              <w:pStyle w:val="12"/>
              <w:rPr>
                <w:rFonts w:ascii="仿宋_GB2312" w:hAnsi="仿宋_GB2312" w:eastAsia="仿宋_GB2312" w:cs="仿宋_GB2312"/>
                <w:sz w:val="32"/>
                <w:szCs w:val="32"/>
              </w:rPr>
            </w:pPr>
          </w:p>
        </w:tc>
        <w:tc>
          <w:tcPr>
            <w:tcW w:w="1473" w:type="dxa"/>
            <w:noWrap/>
          </w:tcPr>
          <w:p>
            <w:pPr>
              <w:pStyle w:val="12"/>
              <w:rPr>
                <w:rFonts w:ascii="仿宋_GB2312" w:hAnsi="仿宋_GB2312" w:eastAsia="仿宋_GB2312" w:cs="仿宋_GB2312"/>
                <w:sz w:val="32"/>
                <w:szCs w:val="32"/>
              </w:rPr>
            </w:pPr>
          </w:p>
        </w:tc>
        <w:tc>
          <w:tcPr>
            <w:tcW w:w="1145" w:type="dxa"/>
            <w:noWrap/>
          </w:tcPr>
          <w:p>
            <w:pPr>
              <w:pStyle w:val="12"/>
              <w:rPr>
                <w:rFonts w:ascii="仿宋_GB2312" w:hAnsi="仿宋_GB2312" w:eastAsia="仿宋_GB2312" w:cs="仿宋_GB2312"/>
                <w:sz w:val="32"/>
                <w:szCs w:val="32"/>
              </w:rPr>
            </w:pPr>
          </w:p>
        </w:tc>
        <w:tc>
          <w:tcPr>
            <w:tcW w:w="1419" w:type="dxa"/>
            <w:noWrap/>
          </w:tcPr>
          <w:p>
            <w:pPr>
              <w:pStyle w:val="12"/>
              <w:rPr>
                <w:rFonts w:ascii="仿宋_GB2312" w:hAnsi="仿宋_GB2312" w:eastAsia="仿宋_GB2312" w:cs="仿宋_GB2312"/>
                <w:sz w:val="32"/>
                <w:szCs w:val="32"/>
              </w:rPr>
            </w:pPr>
          </w:p>
        </w:tc>
        <w:tc>
          <w:tcPr>
            <w:tcW w:w="1254" w:type="dxa"/>
            <w:noWrap/>
          </w:tcPr>
          <w:p>
            <w:pPr>
              <w:pStyle w:val="12"/>
              <w:rPr>
                <w:rFonts w:ascii="仿宋_GB2312" w:hAnsi="仿宋_GB2312" w:eastAsia="仿宋_GB2312" w:cs="仿宋_GB2312"/>
                <w:sz w:val="32"/>
                <w:szCs w:val="32"/>
              </w:rPr>
            </w:pPr>
          </w:p>
        </w:tc>
        <w:tc>
          <w:tcPr>
            <w:tcW w:w="1254" w:type="dxa"/>
            <w:noWrap/>
          </w:tcPr>
          <w:p>
            <w:pPr>
              <w:pStyle w:val="12"/>
              <w:rPr>
                <w:rFonts w:ascii="仿宋_GB2312" w:hAnsi="仿宋_GB2312" w:eastAsia="仿宋_GB2312" w:cs="仿宋_GB2312"/>
                <w:sz w:val="32"/>
                <w:szCs w:val="32"/>
              </w:rPr>
            </w:pPr>
          </w:p>
        </w:tc>
        <w:tc>
          <w:tcPr>
            <w:tcW w:w="1080" w:type="dxa"/>
            <w:noWrap/>
          </w:tcPr>
          <w:p>
            <w:pPr>
              <w:pStyle w:val="12"/>
              <w:rPr>
                <w:rFonts w:ascii="仿宋_GB2312" w:hAnsi="仿宋_GB2312" w:eastAsia="仿宋_GB2312" w:cs="仿宋_GB2312"/>
                <w:sz w:val="32"/>
                <w:szCs w:val="32"/>
              </w:rPr>
            </w:pPr>
          </w:p>
        </w:tc>
        <w:tc>
          <w:tcPr>
            <w:tcW w:w="1233" w:type="dxa"/>
            <w:noWrap/>
          </w:tcPr>
          <w:p>
            <w:pPr>
              <w:pStyle w:val="12"/>
              <w:rPr>
                <w:rFonts w:ascii="仿宋_GB2312" w:hAnsi="仿宋_GB2312" w:eastAsia="仿宋_GB2312" w:cs="仿宋_GB2312"/>
                <w:sz w:val="32"/>
                <w:szCs w:val="32"/>
              </w:rPr>
            </w:pPr>
          </w:p>
        </w:tc>
        <w:tc>
          <w:tcPr>
            <w:tcW w:w="1047" w:type="dxa"/>
            <w:noWrap/>
          </w:tcPr>
          <w:p>
            <w:pPr>
              <w:pStyle w:val="12"/>
              <w:rPr>
                <w:rFonts w:ascii="仿宋_GB2312" w:hAnsi="仿宋_GB2312" w:eastAsia="仿宋_GB2312" w:cs="仿宋_GB2312"/>
                <w:sz w:val="32"/>
                <w:szCs w:val="32"/>
              </w:rPr>
            </w:pPr>
          </w:p>
        </w:tc>
        <w:tc>
          <w:tcPr>
            <w:tcW w:w="1047" w:type="dxa"/>
            <w:noWrap/>
          </w:tcPr>
          <w:p>
            <w:pPr>
              <w:pStyle w:val="12"/>
              <w:rPr>
                <w:rFonts w:ascii="仿宋_GB2312" w:hAnsi="仿宋_GB2312" w:eastAsia="仿宋_GB2312" w:cs="仿宋_GB2312"/>
                <w:sz w:val="32"/>
                <w:szCs w:val="32"/>
              </w:rPr>
            </w:pPr>
          </w:p>
        </w:tc>
        <w:tc>
          <w:tcPr>
            <w:tcW w:w="1534" w:type="dxa"/>
            <w:noWrap/>
          </w:tcPr>
          <w:p>
            <w:pPr>
              <w:pStyle w:val="12"/>
              <w:rPr>
                <w:rFonts w:ascii="仿宋_GB2312" w:hAnsi="仿宋_GB2312" w:eastAsia="仿宋_GB2312" w:cs="仿宋_GB2312"/>
                <w:sz w:val="32"/>
                <w:szCs w:val="32"/>
              </w:rPr>
            </w:pPr>
          </w:p>
        </w:tc>
        <w:tc>
          <w:tcPr>
            <w:tcW w:w="522" w:type="dxa"/>
            <w:noWrap/>
          </w:tcPr>
          <w:p>
            <w:pPr>
              <w:pStyle w:val="12"/>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noWrap/>
          </w:tcPr>
          <w:p>
            <w:pPr>
              <w:pStyle w:val="12"/>
              <w:rPr>
                <w:rFonts w:ascii="仿宋_GB2312" w:hAnsi="仿宋_GB2312" w:eastAsia="仿宋_GB2312" w:cs="仿宋_GB2312"/>
                <w:sz w:val="32"/>
                <w:szCs w:val="32"/>
              </w:rPr>
            </w:pPr>
          </w:p>
        </w:tc>
        <w:tc>
          <w:tcPr>
            <w:tcW w:w="1473" w:type="dxa"/>
            <w:noWrap/>
          </w:tcPr>
          <w:p>
            <w:pPr>
              <w:pStyle w:val="12"/>
              <w:rPr>
                <w:rFonts w:ascii="仿宋_GB2312" w:hAnsi="仿宋_GB2312" w:eastAsia="仿宋_GB2312" w:cs="仿宋_GB2312"/>
                <w:sz w:val="32"/>
                <w:szCs w:val="32"/>
              </w:rPr>
            </w:pPr>
          </w:p>
        </w:tc>
        <w:tc>
          <w:tcPr>
            <w:tcW w:w="1145" w:type="dxa"/>
            <w:noWrap/>
          </w:tcPr>
          <w:p>
            <w:pPr>
              <w:pStyle w:val="12"/>
              <w:rPr>
                <w:rFonts w:ascii="仿宋_GB2312" w:hAnsi="仿宋_GB2312" w:eastAsia="仿宋_GB2312" w:cs="仿宋_GB2312"/>
                <w:sz w:val="32"/>
                <w:szCs w:val="32"/>
              </w:rPr>
            </w:pPr>
          </w:p>
        </w:tc>
        <w:tc>
          <w:tcPr>
            <w:tcW w:w="1419" w:type="dxa"/>
            <w:noWrap/>
          </w:tcPr>
          <w:p>
            <w:pPr>
              <w:pStyle w:val="12"/>
              <w:rPr>
                <w:rFonts w:ascii="仿宋_GB2312" w:hAnsi="仿宋_GB2312" w:eastAsia="仿宋_GB2312" w:cs="仿宋_GB2312"/>
                <w:sz w:val="32"/>
                <w:szCs w:val="32"/>
              </w:rPr>
            </w:pPr>
          </w:p>
        </w:tc>
        <w:tc>
          <w:tcPr>
            <w:tcW w:w="1254" w:type="dxa"/>
            <w:noWrap/>
          </w:tcPr>
          <w:p>
            <w:pPr>
              <w:pStyle w:val="12"/>
              <w:rPr>
                <w:rFonts w:ascii="仿宋_GB2312" w:hAnsi="仿宋_GB2312" w:eastAsia="仿宋_GB2312" w:cs="仿宋_GB2312"/>
                <w:sz w:val="32"/>
                <w:szCs w:val="32"/>
              </w:rPr>
            </w:pPr>
          </w:p>
        </w:tc>
        <w:tc>
          <w:tcPr>
            <w:tcW w:w="1254" w:type="dxa"/>
            <w:noWrap/>
          </w:tcPr>
          <w:p>
            <w:pPr>
              <w:pStyle w:val="12"/>
              <w:rPr>
                <w:rFonts w:ascii="仿宋_GB2312" w:hAnsi="仿宋_GB2312" w:eastAsia="仿宋_GB2312" w:cs="仿宋_GB2312"/>
                <w:sz w:val="32"/>
                <w:szCs w:val="32"/>
              </w:rPr>
            </w:pPr>
          </w:p>
        </w:tc>
        <w:tc>
          <w:tcPr>
            <w:tcW w:w="1080" w:type="dxa"/>
            <w:noWrap/>
          </w:tcPr>
          <w:p>
            <w:pPr>
              <w:pStyle w:val="12"/>
              <w:rPr>
                <w:rFonts w:ascii="仿宋_GB2312" w:hAnsi="仿宋_GB2312" w:eastAsia="仿宋_GB2312" w:cs="仿宋_GB2312"/>
                <w:sz w:val="32"/>
                <w:szCs w:val="32"/>
              </w:rPr>
            </w:pPr>
          </w:p>
        </w:tc>
        <w:tc>
          <w:tcPr>
            <w:tcW w:w="1233" w:type="dxa"/>
            <w:noWrap/>
          </w:tcPr>
          <w:p>
            <w:pPr>
              <w:pStyle w:val="12"/>
              <w:rPr>
                <w:rFonts w:ascii="仿宋_GB2312" w:hAnsi="仿宋_GB2312" w:eastAsia="仿宋_GB2312" w:cs="仿宋_GB2312"/>
                <w:sz w:val="32"/>
                <w:szCs w:val="32"/>
              </w:rPr>
            </w:pPr>
          </w:p>
        </w:tc>
        <w:tc>
          <w:tcPr>
            <w:tcW w:w="1047" w:type="dxa"/>
            <w:noWrap/>
          </w:tcPr>
          <w:p>
            <w:pPr>
              <w:pStyle w:val="12"/>
              <w:rPr>
                <w:rFonts w:ascii="仿宋_GB2312" w:hAnsi="仿宋_GB2312" w:eastAsia="仿宋_GB2312" w:cs="仿宋_GB2312"/>
                <w:sz w:val="32"/>
                <w:szCs w:val="32"/>
              </w:rPr>
            </w:pPr>
          </w:p>
        </w:tc>
        <w:tc>
          <w:tcPr>
            <w:tcW w:w="1047" w:type="dxa"/>
            <w:noWrap/>
          </w:tcPr>
          <w:p>
            <w:pPr>
              <w:pStyle w:val="12"/>
              <w:rPr>
                <w:rFonts w:ascii="仿宋_GB2312" w:hAnsi="仿宋_GB2312" w:eastAsia="仿宋_GB2312" w:cs="仿宋_GB2312"/>
                <w:sz w:val="32"/>
                <w:szCs w:val="32"/>
              </w:rPr>
            </w:pPr>
          </w:p>
        </w:tc>
        <w:tc>
          <w:tcPr>
            <w:tcW w:w="1534" w:type="dxa"/>
            <w:noWrap/>
          </w:tcPr>
          <w:p>
            <w:pPr>
              <w:pStyle w:val="12"/>
              <w:rPr>
                <w:rFonts w:ascii="仿宋_GB2312" w:hAnsi="仿宋_GB2312" w:eastAsia="仿宋_GB2312" w:cs="仿宋_GB2312"/>
                <w:sz w:val="32"/>
                <w:szCs w:val="32"/>
              </w:rPr>
            </w:pPr>
          </w:p>
        </w:tc>
        <w:tc>
          <w:tcPr>
            <w:tcW w:w="522" w:type="dxa"/>
            <w:noWrap/>
          </w:tcPr>
          <w:p>
            <w:pPr>
              <w:pStyle w:val="12"/>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noWrap/>
          </w:tcPr>
          <w:p>
            <w:pPr>
              <w:pStyle w:val="12"/>
              <w:rPr>
                <w:rFonts w:ascii="仿宋_GB2312" w:hAnsi="仿宋_GB2312" w:eastAsia="仿宋_GB2312" w:cs="仿宋_GB2312"/>
                <w:sz w:val="32"/>
                <w:szCs w:val="32"/>
              </w:rPr>
            </w:pPr>
          </w:p>
        </w:tc>
        <w:tc>
          <w:tcPr>
            <w:tcW w:w="1473" w:type="dxa"/>
            <w:noWrap/>
          </w:tcPr>
          <w:p>
            <w:pPr>
              <w:pStyle w:val="12"/>
              <w:rPr>
                <w:rFonts w:ascii="仿宋_GB2312" w:hAnsi="仿宋_GB2312" w:eastAsia="仿宋_GB2312" w:cs="仿宋_GB2312"/>
                <w:sz w:val="32"/>
                <w:szCs w:val="32"/>
              </w:rPr>
            </w:pPr>
          </w:p>
        </w:tc>
        <w:tc>
          <w:tcPr>
            <w:tcW w:w="1145" w:type="dxa"/>
            <w:noWrap/>
          </w:tcPr>
          <w:p>
            <w:pPr>
              <w:pStyle w:val="12"/>
              <w:rPr>
                <w:rFonts w:ascii="仿宋_GB2312" w:hAnsi="仿宋_GB2312" w:eastAsia="仿宋_GB2312" w:cs="仿宋_GB2312"/>
                <w:sz w:val="32"/>
                <w:szCs w:val="32"/>
              </w:rPr>
            </w:pPr>
          </w:p>
        </w:tc>
        <w:tc>
          <w:tcPr>
            <w:tcW w:w="1419" w:type="dxa"/>
            <w:noWrap/>
          </w:tcPr>
          <w:p>
            <w:pPr>
              <w:pStyle w:val="12"/>
              <w:rPr>
                <w:rFonts w:ascii="仿宋_GB2312" w:hAnsi="仿宋_GB2312" w:eastAsia="仿宋_GB2312" w:cs="仿宋_GB2312"/>
                <w:sz w:val="32"/>
                <w:szCs w:val="32"/>
              </w:rPr>
            </w:pPr>
          </w:p>
        </w:tc>
        <w:tc>
          <w:tcPr>
            <w:tcW w:w="1254" w:type="dxa"/>
            <w:noWrap/>
          </w:tcPr>
          <w:p>
            <w:pPr>
              <w:pStyle w:val="12"/>
              <w:rPr>
                <w:rFonts w:ascii="仿宋_GB2312" w:hAnsi="仿宋_GB2312" w:eastAsia="仿宋_GB2312" w:cs="仿宋_GB2312"/>
                <w:sz w:val="32"/>
                <w:szCs w:val="32"/>
              </w:rPr>
            </w:pPr>
          </w:p>
        </w:tc>
        <w:tc>
          <w:tcPr>
            <w:tcW w:w="1254" w:type="dxa"/>
            <w:noWrap/>
          </w:tcPr>
          <w:p>
            <w:pPr>
              <w:pStyle w:val="12"/>
              <w:rPr>
                <w:rFonts w:ascii="仿宋_GB2312" w:hAnsi="仿宋_GB2312" w:eastAsia="仿宋_GB2312" w:cs="仿宋_GB2312"/>
                <w:sz w:val="32"/>
                <w:szCs w:val="32"/>
              </w:rPr>
            </w:pPr>
          </w:p>
        </w:tc>
        <w:tc>
          <w:tcPr>
            <w:tcW w:w="1080" w:type="dxa"/>
            <w:noWrap/>
          </w:tcPr>
          <w:p>
            <w:pPr>
              <w:pStyle w:val="12"/>
              <w:rPr>
                <w:rFonts w:ascii="仿宋_GB2312" w:hAnsi="仿宋_GB2312" w:eastAsia="仿宋_GB2312" w:cs="仿宋_GB2312"/>
                <w:sz w:val="32"/>
                <w:szCs w:val="32"/>
              </w:rPr>
            </w:pPr>
          </w:p>
        </w:tc>
        <w:tc>
          <w:tcPr>
            <w:tcW w:w="1233" w:type="dxa"/>
            <w:noWrap/>
          </w:tcPr>
          <w:p>
            <w:pPr>
              <w:pStyle w:val="12"/>
              <w:rPr>
                <w:rFonts w:ascii="仿宋_GB2312" w:hAnsi="仿宋_GB2312" w:eastAsia="仿宋_GB2312" w:cs="仿宋_GB2312"/>
                <w:sz w:val="32"/>
                <w:szCs w:val="32"/>
              </w:rPr>
            </w:pPr>
          </w:p>
        </w:tc>
        <w:tc>
          <w:tcPr>
            <w:tcW w:w="1047" w:type="dxa"/>
            <w:noWrap/>
          </w:tcPr>
          <w:p>
            <w:pPr>
              <w:pStyle w:val="12"/>
              <w:rPr>
                <w:rFonts w:ascii="仿宋_GB2312" w:hAnsi="仿宋_GB2312" w:eastAsia="仿宋_GB2312" w:cs="仿宋_GB2312"/>
                <w:sz w:val="32"/>
                <w:szCs w:val="32"/>
              </w:rPr>
            </w:pPr>
          </w:p>
        </w:tc>
        <w:tc>
          <w:tcPr>
            <w:tcW w:w="1047" w:type="dxa"/>
            <w:noWrap/>
          </w:tcPr>
          <w:p>
            <w:pPr>
              <w:pStyle w:val="12"/>
              <w:rPr>
                <w:rFonts w:ascii="仿宋_GB2312" w:hAnsi="仿宋_GB2312" w:eastAsia="仿宋_GB2312" w:cs="仿宋_GB2312"/>
                <w:sz w:val="32"/>
                <w:szCs w:val="32"/>
              </w:rPr>
            </w:pPr>
          </w:p>
        </w:tc>
        <w:tc>
          <w:tcPr>
            <w:tcW w:w="1534" w:type="dxa"/>
            <w:noWrap/>
          </w:tcPr>
          <w:p>
            <w:pPr>
              <w:pStyle w:val="12"/>
              <w:rPr>
                <w:rFonts w:ascii="仿宋_GB2312" w:hAnsi="仿宋_GB2312" w:eastAsia="仿宋_GB2312" w:cs="仿宋_GB2312"/>
                <w:sz w:val="32"/>
                <w:szCs w:val="32"/>
              </w:rPr>
            </w:pPr>
          </w:p>
        </w:tc>
        <w:tc>
          <w:tcPr>
            <w:tcW w:w="522" w:type="dxa"/>
            <w:noWrap/>
          </w:tcPr>
          <w:p>
            <w:pPr>
              <w:pStyle w:val="12"/>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noWrap/>
          </w:tcPr>
          <w:p>
            <w:pPr>
              <w:pStyle w:val="12"/>
              <w:rPr>
                <w:rFonts w:ascii="仿宋_GB2312" w:hAnsi="仿宋_GB2312" w:eastAsia="仿宋_GB2312" w:cs="仿宋_GB2312"/>
                <w:sz w:val="32"/>
                <w:szCs w:val="32"/>
              </w:rPr>
            </w:pPr>
          </w:p>
        </w:tc>
        <w:tc>
          <w:tcPr>
            <w:tcW w:w="1473" w:type="dxa"/>
            <w:noWrap/>
          </w:tcPr>
          <w:p>
            <w:pPr>
              <w:pStyle w:val="12"/>
              <w:rPr>
                <w:rFonts w:ascii="仿宋_GB2312" w:hAnsi="仿宋_GB2312" w:eastAsia="仿宋_GB2312" w:cs="仿宋_GB2312"/>
                <w:sz w:val="32"/>
                <w:szCs w:val="32"/>
              </w:rPr>
            </w:pPr>
          </w:p>
        </w:tc>
        <w:tc>
          <w:tcPr>
            <w:tcW w:w="1145" w:type="dxa"/>
            <w:noWrap/>
          </w:tcPr>
          <w:p>
            <w:pPr>
              <w:pStyle w:val="12"/>
              <w:rPr>
                <w:rFonts w:ascii="仿宋_GB2312" w:hAnsi="仿宋_GB2312" w:eastAsia="仿宋_GB2312" w:cs="仿宋_GB2312"/>
                <w:sz w:val="32"/>
                <w:szCs w:val="32"/>
              </w:rPr>
            </w:pPr>
          </w:p>
        </w:tc>
        <w:tc>
          <w:tcPr>
            <w:tcW w:w="1419" w:type="dxa"/>
            <w:noWrap/>
          </w:tcPr>
          <w:p>
            <w:pPr>
              <w:pStyle w:val="12"/>
              <w:rPr>
                <w:rFonts w:ascii="仿宋_GB2312" w:hAnsi="仿宋_GB2312" w:eastAsia="仿宋_GB2312" w:cs="仿宋_GB2312"/>
                <w:sz w:val="32"/>
                <w:szCs w:val="32"/>
              </w:rPr>
            </w:pPr>
          </w:p>
        </w:tc>
        <w:tc>
          <w:tcPr>
            <w:tcW w:w="1254" w:type="dxa"/>
            <w:noWrap/>
          </w:tcPr>
          <w:p>
            <w:pPr>
              <w:pStyle w:val="12"/>
              <w:rPr>
                <w:rFonts w:ascii="仿宋_GB2312" w:hAnsi="仿宋_GB2312" w:eastAsia="仿宋_GB2312" w:cs="仿宋_GB2312"/>
                <w:sz w:val="32"/>
                <w:szCs w:val="32"/>
              </w:rPr>
            </w:pPr>
          </w:p>
        </w:tc>
        <w:tc>
          <w:tcPr>
            <w:tcW w:w="1254" w:type="dxa"/>
            <w:noWrap/>
          </w:tcPr>
          <w:p>
            <w:pPr>
              <w:pStyle w:val="12"/>
              <w:rPr>
                <w:rFonts w:ascii="仿宋_GB2312" w:hAnsi="仿宋_GB2312" w:eastAsia="仿宋_GB2312" w:cs="仿宋_GB2312"/>
                <w:sz w:val="32"/>
                <w:szCs w:val="32"/>
              </w:rPr>
            </w:pPr>
          </w:p>
        </w:tc>
        <w:tc>
          <w:tcPr>
            <w:tcW w:w="1080" w:type="dxa"/>
            <w:noWrap/>
          </w:tcPr>
          <w:p>
            <w:pPr>
              <w:pStyle w:val="12"/>
              <w:rPr>
                <w:rFonts w:ascii="仿宋_GB2312" w:hAnsi="仿宋_GB2312" w:eastAsia="仿宋_GB2312" w:cs="仿宋_GB2312"/>
                <w:sz w:val="32"/>
                <w:szCs w:val="32"/>
              </w:rPr>
            </w:pPr>
          </w:p>
        </w:tc>
        <w:tc>
          <w:tcPr>
            <w:tcW w:w="1233" w:type="dxa"/>
            <w:noWrap/>
          </w:tcPr>
          <w:p>
            <w:pPr>
              <w:pStyle w:val="12"/>
              <w:rPr>
                <w:rFonts w:ascii="仿宋_GB2312" w:hAnsi="仿宋_GB2312" w:eastAsia="仿宋_GB2312" w:cs="仿宋_GB2312"/>
                <w:sz w:val="32"/>
                <w:szCs w:val="32"/>
              </w:rPr>
            </w:pPr>
          </w:p>
        </w:tc>
        <w:tc>
          <w:tcPr>
            <w:tcW w:w="1047" w:type="dxa"/>
            <w:noWrap/>
          </w:tcPr>
          <w:p>
            <w:pPr>
              <w:pStyle w:val="12"/>
              <w:rPr>
                <w:rFonts w:ascii="仿宋_GB2312" w:hAnsi="仿宋_GB2312" w:eastAsia="仿宋_GB2312" w:cs="仿宋_GB2312"/>
                <w:sz w:val="32"/>
                <w:szCs w:val="32"/>
              </w:rPr>
            </w:pPr>
          </w:p>
        </w:tc>
        <w:tc>
          <w:tcPr>
            <w:tcW w:w="1047" w:type="dxa"/>
            <w:noWrap/>
          </w:tcPr>
          <w:p>
            <w:pPr>
              <w:pStyle w:val="12"/>
              <w:rPr>
                <w:rFonts w:ascii="仿宋_GB2312" w:hAnsi="仿宋_GB2312" w:eastAsia="仿宋_GB2312" w:cs="仿宋_GB2312"/>
                <w:sz w:val="32"/>
                <w:szCs w:val="32"/>
              </w:rPr>
            </w:pPr>
          </w:p>
        </w:tc>
        <w:tc>
          <w:tcPr>
            <w:tcW w:w="1534" w:type="dxa"/>
            <w:noWrap/>
          </w:tcPr>
          <w:p>
            <w:pPr>
              <w:pStyle w:val="12"/>
              <w:rPr>
                <w:rFonts w:ascii="仿宋_GB2312" w:hAnsi="仿宋_GB2312" w:eastAsia="仿宋_GB2312" w:cs="仿宋_GB2312"/>
                <w:sz w:val="32"/>
                <w:szCs w:val="32"/>
              </w:rPr>
            </w:pPr>
          </w:p>
        </w:tc>
        <w:tc>
          <w:tcPr>
            <w:tcW w:w="522" w:type="dxa"/>
            <w:noWrap/>
          </w:tcPr>
          <w:p>
            <w:pPr>
              <w:pStyle w:val="12"/>
              <w:rPr>
                <w:rFonts w:ascii="仿宋_GB2312" w:hAnsi="仿宋_GB2312" w:eastAsia="仿宋_GB2312" w:cs="仿宋_GB2312"/>
                <w:sz w:val="32"/>
                <w:szCs w:val="32"/>
              </w:rPr>
            </w:pPr>
          </w:p>
        </w:tc>
      </w:tr>
    </w:tbl>
    <w:p>
      <w:pPr>
        <w:pStyle w:val="12"/>
        <w:rPr>
          <w:rFonts w:ascii="仿宋_GB2312" w:hAnsi="仿宋_GB2312" w:eastAsia="仿宋_GB2312" w:cs="仿宋_GB2312"/>
        </w:rPr>
      </w:pPr>
      <w:r>
        <w:rPr>
          <w:rFonts w:hint="eastAsia" w:ascii="黑体" w:hAnsi="黑体" w:eastAsia="黑体" w:cs="黑体"/>
        </w:rPr>
        <w:t>注：</w:t>
      </w:r>
      <w:r>
        <w:rPr>
          <w:rFonts w:hint="eastAsia" w:ascii="仿宋_GB2312" w:hAnsi="仿宋_GB2312" w:eastAsia="仿宋_GB2312" w:cs="仿宋_GB2312"/>
        </w:rPr>
        <w:t>1、项目地点详细到社。设施类型：养殖畜种类型、</w:t>
      </w:r>
      <w:r>
        <w:rPr>
          <w:rFonts w:hint="eastAsia" w:eastAsia="仿宋_GB2312"/>
        </w:rPr>
        <w:t>直接为草原保护和畜牧业生产服务的四类工程设施的类型</w:t>
      </w:r>
      <w:r>
        <w:rPr>
          <w:rFonts w:hint="eastAsia" w:ascii="仿宋_GB2312" w:hAnsi="仿宋_GB2312" w:eastAsia="仿宋_GB2312" w:cs="仿宋_GB2312"/>
        </w:rPr>
        <w:t>。数量：棚圈等的栋数、总建筑面积。土地类型：耕地、林地、草地。标准：棚圈设施长度、宽度、高度等数据。2、</w:t>
      </w:r>
      <w:r>
        <w:rPr>
          <w:rFonts w:hint="eastAsia" w:eastAsia="仿宋_GB2312"/>
        </w:rPr>
        <w:t>各镇要按月将此汇总表上报旗</w:t>
      </w:r>
      <w:r>
        <w:rPr>
          <w:rFonts w:hint="eastAsia" w:eastAsia="仿宋_GB2312"/>
          <w:lang w:eastAsia="zh-CN"/>
        </w:rPr>
        <w:t>农牧和水利局</w:t>
      </w:r>
      <w:r>
        <w:rPr>
          <w:rFonts w:hint="eastAsia" w:eastAsia="仿宋_GB2312"/>
        </w:rPr>
        <w:t>、自然资源局、林业和草原局备案。</w:t>
      </w:r>
    </w:p>
    <w:bookmarkEnd w:id="0"/>
    <w:p>
      <w:pPr>
        <w:pStyle w:val="12"/>
        <w:rPr>
          <w:sz w:val="32"/>
          <w:szCs w:val="32"/>
        </w:rPr>
      </w:pPr>
    </w:p>
    <w:p>
      <w:pPr>
        <w:pStyle w:val="12"/>
        <w:rPr>
          <w:sz w:val="32"/>
          <w:szCs w:val="32"/>
        </w:rPr>
      </w:pPr>
      <w:r>
        <w:rPr>
          <w:rFonts w:hint="eastAsia"/>
          <w:sz w:val="32"/>
          <w:szCs w:val="32"/>
        </w:rPr>
        <w:t xml:space="preserve">附件3： </w:t>
      </w:r>
      <w:r>
        <w:rPr>
          <w:sz w:val="32"/>
          <w:szCs w:val="32"/>
        </w:rPr>
        <w:t xml:space="preserve">                    </w:t>
      </w:r>
      <w:r>
        <w:rPr>
          <w:rFonts w:hint="eastAsia"/>
          <w:sz w:val="32"/>
          <w:szCs w:val="32"/>
        </w:rPr>
        <w:t>伊金霍洛旗设施农业用地审批流程</w:t>
      </w:r>
    </w:p>
    <w:p>
      <w:pPr>
        <w:pStyle w:val="12"/>
      </w:pPr>
      <w:r>
        <mc:AlternateContent>
          <mc:Choice Requires="wps">
            <w:drawing>
              <wp:anchor distT="0" distB="0" distL="114300" distR="114300" simplePos="0" relativeHeight="251671552" behindDoc="0" locked="0" layoutInCell="1" allowOverlap="1">
                <wp:simplePos x="0" y="0"/>
                <wp:positionH relativeFrom="column">
                  <wp:posOffset>8420735</wp:posOffset>
                </wp:positionH>
                <wp:positionV relativeFrom="paragraph">
                  <wp:posOffset>106680</wp:posOffset>
                </wp:positionV>
                <wp:extent cx="651510" cy="4753610"/>
                <wp:effectExtent l="5080" t="4445" r="16510" b="17145"/>
                <wp:wrapNone/>
                <wp:docPr id="13" name="文本框 14"/>
                <wp:cNvGraphicFramePr/>
                <a:graphic xmlns:a="http://schemas.openxmlformats.org/drawingml/2006/main">
                  <a:graphicData uri="http://schemas.microsoft.com/office/word/2010/wordprocessingShape">
                    <wps:wsp>
                      <wps:cNvSpPr txBox="1"/>
                      <wps:spPr>
                        <a:xfrm>
                          <a:off x="0" y="0"/>
                          <a:ext cx="651510" cy="4753610"/>
                        </a:xfrm>
                        <a:prstGeom prst="rect">
                          <a:avLst/>
                        </a:prstGeom>
                        <a:solidFill>
                          <a:srgbClr val="FFFFFF"/>
                        </a:solidFill>
                        <a:ln w="6350" cap="flat" cmpd="sng">
                          <a:solidFill>
                            <a:srgbClr val="000000"/>
                          </a:solidFill>
                          <a:prstDash val="solid"/>
                          <a:miter/>
                          <a:headEnd type="none" w="med" len="med"/>
                          <a:tailEnd type="none" w="med" len="med"/>
                        </a:ln>
                      </wps:spPr>
                      <wps:txbx>
                        <w:txbxContent>
                          <w:p>
                            <w:r>
                              <w:rPr>
                                <w:rFonts w:hint="eastAsia"/>
                              </w:rPr>
                              <w:t>项目所在镇人民政府</w:t>
                            </w:r>
                          </w:p>
                          <w:p>
                            <w:r>
                              <w:rPr>
                                <w:rFonts w:hint="eastAsia"/>
                              </w:rPr>
                              <w:t>（对各部门审核通过的设施农业项目研究同意后予以备案批准，并将备案资料及时提交自然资源局）</w:t>
                            </w:r>
                          </w:p>
                        </w:txbxContent>
                      </wps:txbx>
                      <wps:bodyPr wrap="square" anchor="t" upright="1"/>
                    </wps:wsp>
                  </a:graphicData>
                </a:graphic>
              </wp:anchor>
            </w:drawing>
          </mc:Choice>
          <mc:Fallback>
            <w:pict>
              <v:shape id="文本框 14" o:spid="_x0000_s1026" o:spt="202" type="#_x0000_t202" style="position:absolute;left:0pt;margin-left:663.05pt;margin-top:8.4pt;height:374.3pt;width:51.3pt;z-index:251671552;mso-width-relative:page;mso-height-relative:page;" fillcolor="#FFFFFF" filled="t" stroked="t" coordsize="21600,21600" o:gfxdata="UEsFBgAAAAAAAAAAAAAAAAAAAAAAAFBLAwQKAAAAAACHTuJAAAAAAAAAAAAAAAAABAAAAGRycy9Q&#10;SwMEFAAAAAgAh07iQFL2qkDXAAAADAEAAA8AAABkcnMvZG93bnJldi54bWxNj8tOwzAQRfdI/IM1&#10;SOyo8yhuFeJUAgkJsaNkw86Np0mEPY5ityl/z3QFu7mao/uodxfvxBnnOAbSkK8yEEhdsCP1GtrP&#10;14ctiJgMWeMCoYYfjLBrbm9qU9mw0Aee96kXbEKxMhqGlKZKytgN6E1chQmJf8cwe5NYzr20s1nY&#10;3DtZZJmS3ozECYOZ8GXA7nt/8hre1HP6wta+27Iow9LKbj66qPX9XZ49gUh4SX8wXOtzdWi40yGc&#10;yEbhWJeFypnlS/GGK7EuthsQBw0b9bgG2dTy/4jmF1BLAwQUAAAACACHTuJAJLhJ2RsCAABRBAAA&#10;DgAAAGRycy9lMm9Eb2MueG1srVRLktMwEN1TxR1U2hMnk0mgXEmmCkLYUEDVwAEUWbZVpR+SEjsX&#10;gBuwYsOec+UcPMmZzAcWWeCF3VK3Xvd73fLipteK7IUP0polnYzGlAjDbSVNs6RfPm9evKIkRGYq&#10;pqwRS3oQgd6snj9bdK4UV7a1qhKeAMSEsnNL2sboyqIIvBWahZF1wsBZW69ZxNI3ReVZB3Stiqvx&#10;eF501lfOWy5CwO56cNITor8E0Na15GJt+U4LEwdULxSLoBRa6QJd5WrrWvD4sa6DiEQtKZjG/EYS&#10;2Nv0LlYLVjaeuVbyUwnskhKecNJMGiQ9Q61ZZGTn5V9QWnJvg63jiFtdDESyImAxGT/R5rZlTmQu&#10;kDq4s+jh/8HyD/tPnsgKkzClxDCNjh9/fD/+/H389Y1MrpNAnQsl4m4dImP/2vYIvtsP2Ey8+9rr&#10;9AUjAj/kPZzlFX0kHJvz2WQ2gYfDdf1yNp1jAfji/rTzIb4TVpNkLKlH+7KqbP8+xCH0LiQlC1bJ&#10;aiOVygvfbN8oT/YMrd7k54T+KEwZ0qGU6SwVwjC/NeYGpnbQIJgm53t0IjwEHufnX8CpsDUL7VBA&#10;RkhhrNQyCp+tVrDqralIPDjIbHC9aCpGi4oSJXAbk5UjI5PqkkhopwwkTC0aWpGs2G97wCRza6sD&#10;2tZhwkHv64555GSGtxaXALx3zsumhda5oxkHk5abcroVaZQfrnO2+z/B6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BS9qpA1wAAAAwBAAAPAAAAAAAAAAEAIAAAADgAAABkcnMvZG93bnJldi54bWxQ&#10;SwECFAAUAAAACACHTuJAJLhJ2RsCAABRBAAADgAAAAAAAAABACAAAAA8AQAAZHJzL2Uyb0RvYy54&#10;bWxQSwUGAAAAAAYABgBZAQAAyQUAAAAA&#10;">
                <v:fill on="t" focussize="0,0"/>
                <v:stroke weight="0.5pt" color="#000000" joinstyle="miter"/>
                <v:imagedata o:title=""/>
                <o:lock v:ext="edit" aspectratio="f"/>
                <v:textbox>
                  <w:txbxContent>
                    <w:p>
                      <w:r>
                        <w:rPr>
                          <w:rFonts w:hint="eastAsia"/>
                        </w:rPr>
                        <w:t>项目所在镇人民政府</w:t>
                      </w:r>
                    </w:p>
                    <w:p>
                      <w:r>
                        <w:rPr>
                          <w:rFonts w:hint="eastAsia"/>
                        </w:rPr>
                        <w:t>（对各部门审核通过的设施农业项目研究同意后予以备案批准，并将备案资料及时提交自然资源局）</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7251700</wp:posOffset>
                </wp:positionH>
                <wp:positionV relativeFrom="paragraph">
                  <wp:posOffset>130810</wp:posOffset>
                </wp:positionV>
                <wp:extent cx="651510" cy="4729480"/>
                <wp:effectExtent l="5080" t="4445" r="16510" b="15875"/>
                <wp:wrapNone/>
                <wp:docPr id="23" name="文本框 24"/>
                <wp:cNvGraphicFramePr/>
                <a:graphic xmlns:a="http://schemas.openxmlformats.org/drawingml/2006/main">
                  <a:graphicData uri="http://schemas.microsoft.com/office/word/2010/wordprocessingShape">
                    <wps:wsp>
                      <wps:cNvSpPr txBox="1"/>
                      <wps:spPr>
                        <a:xfrm>
                          <a:off x="0" y="0"/>
                          <a:ext cx="651510" cy="4729480"/>
                        </a:xfrm>
                        <a:prstGeom prst="rect">
                          <a:avLst/>
                        </a:prstGeom>
                        <a:solidFill>
                          <a:srgbClr val="FFFFFF"/>
                        </a:solidFill>
                        <a:ln w="6350" cap="flat" cmpd="sng">
                          <a:solidFill>
                            <a:srgbClr val="000000"/>
                          </a:solidFill>
                          <a:prstDash val="solid"/>
                          <a:miter/>
                          <a:headEnd type="none" w="med" len="med"/>
                          <a:tailEnd type="none" w="med" len="med"/>
                        </a:ln>
                      </wps:spPr>
                      <wps:txbx>
                        <w:txbxContent>
                          <w:p>
                            <w:r>
                              <w:rPr>
                                <w:rFonts w:hint="eastAsia"/>
                              </w:rPr>
                              <w:t>旗投资项目一站式服务中心</w:t>
                            </w:r>
                          </w:p>
                          <w:p>
                            <w:r>
                              <w:rPr>
                                <w:rFonts w:hint="eastAsia"/>
                              </w:rPr>
                              <w:t>（对存在的问题及时汇总反馈至相关镇人民政府）</w:t>
                            </w:r>
                          </w:p>
                        </w:txbxContent>
                      </wps:txbx>
                      <wps:bodyPr wrap="square" anchor="t" upright="1"/>
                    </wps:wsp>
                  </a:graphicData>
                </a:graphic>
              </wp:anchor>
            </w:drawing>
          </mc:Choice>
          <mc:Fallback>
            <w:pict>
              <v:shape id="文本框 24" o:spid="_x0000_s1026" o:spt="202" type="#_x0000_t202" style="position:absolute;left:0pt;margin-left:571pt;margin-top:10.3pt;height:372.4pt;width:51.3pt;z-index:251679744;mso-width-relative:page;mso-height-relative:page;" fillcolor="#FFFFFF" filled="t" stroked="t" coordsize="21600,21600" o:gfxdata="UEsFBgAAAAAAAAAAAAAAAAAAAAAAAFBLAwQKAAAAAACHTuJAAAAAAAAAAAAAAAAABAAAAGRycy9Q&#10;SwMEFAAAAAgAh07iQGRjzCTYAAAADAEAAA8AAABkcnMvZG93bnJldi54bWxNj81OwzAQhO9IvIO1&#10;SNyoHTcElMapBBIS4kbJhZsbb5Oo/olstylvz/YEtx3taOabZntxlp0xpil4BcVKAEPfBzP5QUH3&#10;9fbwDCxl7Y22waOCH0ywbW9vGl2bsPhPPO/ywCjEp1orGHOea85TP6LTaRVm9PQ7hOh0JhkHbqJe&#10;KNxZLoWouNOTp4ZRz/g6Yn/cnZyC9+olf2NnPsxarsPS8T4ebFLq/q4QG2AZL/nPDFd8QoeWmPbh&#10;5E1ilnRRShqTFUhRAbs6ZFnStVfwVD2WwNuG/x/R/gJQSwMEFAAAAAgAh07iQIT8VUIfAgAAUQQA&#10;AA4AAABkcnMvZTJvRG9jLnhtbK1US5LTMBDdU8UdVNozTjLJMLjiTBWEsKGAqoEDKLJsq0o/JCV2&#10;LgA3YMWGPefKOXhSMpkPLLLAC7ulbr3u97rl+c2gFdkKH6Q1FR1fjCgRhttamraiXz6vXlxTEiIz&#10;NVPWiIruRKA3i+fP5r0rxcR2VtXCE4CYUPauol2MriyKwDuhWbiwThg4G+s1i1j6tqg964GuVTEZ&#10;ja6K3vraectFCNhdHpz0iOjPAbRNI7lYWr7RwsQDqheKRVAKnXSBLnK1TSN4/Ng0QUSiKgqmMb+R&#10;BPY6vYvFnJWtZ66T/FgCO6eEJ5w0kwZJT1BLFhnZePkXlJbc22CbeMGtLg5EsiJgMR490ea2Y05k&#10;LpA6uJPo4f/B8g/bT57IuqKTS0oM0+j4/sf3/c/f+1/fyGSaBOpdKBF36xAZh9d2wNjc7QdsJt5D&#10;43X6ghGBH/LuTvKKIRKOzavZeDaGh8M1fTl5Nb3O+hf3p50P8Z2wmiSjoh7ty6qy7fsQUQlC70JS&#10;smCVrFdSqbzw7fqN8mTL0OpVflKROPIoTBnSo5TLWSqEYX4bzA1M7aBBMG3O9+hEeAg8ys+/gFNh&#10;Sxa6QwEZIYWxUssofLY6weq3piZx5yCzwfWiqRgtakqUwG1MVo6MTKpzIsFOGZBMLTq0IllxWA+A&#10;Seba1ju0rceEg97XDfPIyQzvLC4BeG+cl20HrXNHMw4mLct2vBVplB+uc7b7P8Hi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BYAAABkcnMv&#10;UEsBAhQAFAAAAAgAh07iQGRjzCTYAAAADAEAAA8AAAAAAAAAAQAgAAAAOAAAAGRycy9kb3ducmV2&#10;LnhtbFBLAQIUABQAAAAIAIdO4kCE/FVCHwIAAFEEAAAOAAAAAAAAAAEAIAAAAD0BAABkcnMvZTJv&#10;RG9jLnhtbFBLBQYAAAAABgAGAFkBAADOBQAAAAA=&#10;">
                <v:fill on="t" focussize="0,0"/>
                <v:stroke weight="0.5pt" color="#000000" joinstyle="miter"/>
                <v:imagedata o:title=""/>
                <o:lock v:ext="edit" aspectratio="f"/>
                <v:textbox>
                  <w:txbxContent>
                    <w:p>
                      <w:r>
                        <w:rPr>
                          <w:rFonts w:hint="eastAsia"/>
                        </w:rPr>
                        <w:t>旗投资项目一站式服务中心</w:t>
                      </w:r>
                    </w:p>
                    <w:p>
                      <w:r>
                        <w:rPr>
                          <w:rFonts w:hint="eastAsia"/>
                        </w:rPr>
                        <w:t>（对存在的问题及时汇总反馈至相关镇人民政府）</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6623685</wp:posOffset>
                </wp:positionH>
                <wp:positionV relativeFrom="paragraph">
                  <wp:posOffset>4427220</wp:posOffset>
                </wp:positionV>
                <wp:extent cx="532765" cy="132080"/>
                <wp:effectExtent l="12700" t="30480" r="26035" b="40640"/>
                <wp:wrapNone/>
                <wp:docPr id="21" name="箭头: 右 22"/>
                <wp:cNvGraphicFramePr/>
                <a:graphic xmlns:a="http://schemas.openxmlformats.org/drawingml/2006/main">
                  <a:graphicData uri="http://schemas.microsoft.com/office/word/2010/wordprocessingShape">
                    <wps:wsp>
                      <wps:cNvSpPr/>
                      <wps:spPr>
                        <a:xfrm>
                          <a:off x="0" y="0"/>
                          <a:ext cx="532765" cy="132080"/>
                        </a:xfrm>
                        <a:prstGeom prst="rightArrow">
                          <a:avLst>
                            <a:gd name="adj1" fmla="val 50000"/>
                            <a:gd name="adj2" fmla="val 49972"/>
                          </a:avLst>
                        </a:prstGeom>
                        <a:solidFill>
                          <a:srgbClr val="4F81BD"/>
                        </a:solidFill>
                        <a:ln w="25400" cap="flat" cmpd="sng">
                          <a:solidFill>
                            <a:srgbClr val="243F60"/>
                          </a:solidFill>
                          <a:prstDash val="solid"/>
                          <a:miter/>
                          <a:headEnd type="none" w="med" len="med"/>
                          <a:tailEnd type="none" w="med" len="med"/>
                        </a:ln>
                      </wps:spPr>
                      <wps:bodyPr wrap="square" anchor="ctr" upright="1"/>
                    </wps:wsp>
                  </a:graphicData>
                </a:graphic>
              </wp:anchor>
            </w:drawing>
          </mc:Choice>
          <mc:Fallback>
            <w:pict>
              <v:shape id="箭头: 右 22" o:spid="_x0000_s1026" o:spt="13" type="#_x0000_t13" style="position:absolute;left:0pt;margin-left:521.55pt;margin-top:348.6pt;height:10.4pt;width:41.95pt;z-index:251677696;v-text-anchor:middle;mso-width-relative:page;mso-height-relative:page;" fillcolor="#4F81BD" filled="t" stroked="t" coordsize="21600,21600" o:gfxdata="UEsFBgAAAAAAAAAAAAAAAAAAAAAAAFBLAwQKAAAAAACHTuJAAAAAAAAAAAAAAAAABAAAAGRycy9Q&#10;SwMEFAAAAAgAh07iQOiyxVXcAAAADQEAAA8AAABkcnMvZG93bnJldi54bWxNj8FOwzAQRO9I/IO1&#10;SFwQtR1QU0KcCiEVxKm0VBXHbewmUeN1FDtN+HvcExxH+zT7Jl9OtmVn0/vGkQI5E8AMlU43VCnY&#10;fa3uF8B8QNLYOjIKfoyHZXF9lWOm3Ugbc96GisUS8hkqqEPoMs59WRuLfuY6Q/F2dL3FEGNfcd3j&#10;GMttyxMh5txiQ/FDjZ15rU152g5WAZ70y9uw/xiP8m7zve6majW8fyp1eyPFM7BgpvAHw0U/qkMR&#10;nQ5uIO1ZG7N4fJCRVTB/ShNgF0Qmadx3UJDKhQBe5Pz/iuIXUEsDBBQAAAAIAIdO4kBwLVYQQgIA&#10;AJcEAAAOAAAAZHJzL2Uyb0RvYy54bWytVEuS0zAQ3VPFHVTaEzvOZzKuOFNACBsKpmrgAIokx6L0&#10;Q1Li5BRcgi2zgStNcQ1asieTDJssyMJpWa3X/d5Te36zVxLtuPPC6AoPBzlGXFPDhN5U+Mvn1asZ&#10;Rj4QzYg0mlf4wD2+Wbx8MW9tyQvTGMm4QwCifdnaCjch2DLLPG24In5gLNewWRunSICl22TMkRbQ&#10;lcyKPJ9mrXHMOkO59/B22W3iHtFdAmjqWlC+NHSruA4dquOSBKDkG2E9XqRu65rT8KmuPQ9IVhiY&#10;hvSEIhCv4zNbzEm5ccQ2gvYtkEtaeMZJEaGh6BFqSQJBWyf+gVKCOuNNHQbUqKwjkhQBFsP8mTZ3&#10;DbE8cQGpvT2K7v8fLP24u3VIsAoXQ4w0UeD4n/ufDz9+l+jh+y9UFFGi1voSMu/sretXHsLId187&#10;Ff+BCdonWQ9HWfk+IAovJ6PiajrBiMLWcFTksyR79nTYOh/ec6NQDCrsxKYJr50zbZKU7D74kLRl&#10;fYOEfYVmayXBqh2RaJLDr7fyJKc4zRlfX18lLlC3R4TosXKE90YKthJSpoXbrN9KhwC+wuPVbPhm&#10;GQvAkbM0qVEL0k3GUB9RAuNQwzWEUFmQ1OtNYnB2xJ8iF+PRavoox1la7GxJfNN1kLY6hkoEHl0g&#10;ZcMJe6cZCgcLrmmYVhy7UZxhJDkMd4xSZiBCXpIJ9KQGltHvzuEYrQ07wCVpYUqA07ctcVCIaNoY&#10;GCQaHEZbmzwDe5NI8RDc1yRXP1txIE7XqcjT92Tx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BYAAABkcnMvUEsBAhQAFAAAAAgAh07iQOiy&#10;xVXcAAAADQEAAA8AAAAAAAAAAQAgAAAAOAAAAGRycy9kb3ducmV2LnhtbFBLAQIUABQAAAAIAIdO&#10;4kBwLVYQQgIAAJcEAAAOAAAAAAAAAAEAIAAAAEEBAABkcnMvZTJvRG9jLnhtbFBLBQYAAAAABgAG&#10;AFkBAAD1BQAAAAA=&#10;" adj="18925,5400">
                <v:fill on="t" focussize="0,0"/>
                <v:stroke weight="2pt" color="#243F60" joinstyle="miter"/>
                <v:imagedata o:title=""/>
                <o:lock v:ext="edit" aspectratio="f"/>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3823970</wp:posOffset>
                </wp:positionH>
                <wp:positionV relativeFrom="paragraph">
                  <wp:posOffset>4201795</wp:posOffset>
                </wp:positionV>
                <wp:extent cx="2718435" cy="659130"/>
                <wp:effectExtent l="4445" t="4445" r="7620" b="9525"/>
                <wp:wrapNone/>
                <wp:docPr id="10" name="文本框 11"/>
                <wp:cNvGraphicFramePr/>
                <a:graphic xmlns:a="http://schemas.openxmlformats.org/drawingml/2006/main">
                  <a:graphicData uri="http://schemas.microsoft.com/office/word/2010/wordprocessingShape">
                    <wps:wsp>
                      <wps:cNvSpPr txBox="1"/>
                      <wps:spPr>
                        <a:xfrm>
                          <a:off x="0" y="0"/>
                          <a:ext cx="2718435" cy="659130"/>
                        </a:xfrm>
                        <a:prstGeom prst="rect">
                          <a:avLst/>
                        </a:prstGeom>
                        <a:solidFill>
                          <a:srgbClr val="FFFFFF"/>
                        </a:solidFill>
                        <a:ln w="6350" cap="flat" cmpd="sng">
                          <a:solidFill>
                            <a:srgbClr val="000000"/>
                          </a:solidFill>
                          <a:prstDash val="solid"/>
                          <a:miter/>
                          <a:headEnd type="none" w="med" len="med"/>
                          <a:tailEnd type="none" w="med" len="med"/>
                        </a:ln>
                      </wps:spPr>
                      <wps:txbx>
                        <w:txbxContent>
                          <w:p>
                            <w:r>
                              <w:rPr>
                                <w:rFonts w:hint="eastAsia"/>
                              </w:rPr>
                              <w:t>旗自然资源局（对涉及旗自然资源局的相关材料进行审核）</w:t>
                            </w:r>
                          </w:p>
                        </w:txbxContent>
                      </wps:txbx>
                      <wps:bodyPr wrap="square" anchor="t" upright="1"/>
                    </wps:wsp>
                  </a:graphicData>
                </a:graphic>
              </wp:anchor>
            </w:drawing>
          </mc:Choice>
          <mc:Fallback>
            <w:pict>
              <v:shape id="文本框 11" o:spid="_x0000_s1026" o:spt="202" type="#_x0000_t202" style="position:absolute;left:0pt;margin-left:301.1pt;margin-top:330.85pt;height:51.9pt;width:214.05pt;z-index:251668480;mso-width-relative:page;mso-height-relative:page;" fillcolor="#FFFFFF" filled="t" stroked="t" coordsize="21600,21600" o:gfxdata="UEsFBgAAAAAAAAAAAAAAAAAAAAAAAFBLAwQKAAAAAACHTuJAAAAAAAAAAAAAAAAABAAAAGRycy9Q&#10;SwMEFAAAAAgAh07iQJ7CAn/YAAAADAEAAA8AAABkcnMvZG93bnJldi54bWxNj8FOwzAMhu9Ie4fI&#10;k7ixpK2WodJ0EkhIiBujF25Z47UViVMl2TrenuwEN1v+9Pv7m/3VWXbBECdPCoqNAIbUezPRoKD7&#10;fH14BBaTJqOtJ1TwgxH27equ0bXxC33g5ZAGlkMo1lrBmNJccx77EZ2OGz8j5dvJB6dTXsPATdBL&#10;DneWl0JI7vRE+cOoZ3wZsf8+nJ2CN/mcvrAz76YqK790vA8nG5W6XxfiCVjCa/qD4aaf1aHNTkd/&#10;JhOZVSBFWWY0D7LYAbsRohIVsKOCndxugbcN/1+i/QVQSwMEFAAAAAgAh07iQMFy2TceAgAAUQQA&#10;AA4AAABkcnMvZTJvRG9jLnhtbK1US44TMRDdI3EHy3um0wkZhlaSkSCEDQKkgQM4bne3Jf+wnXTn&#10;AnADVmzYz7lyDp6dTOYDiyzwwl22y6/qvSr37HrQimyFD9KaOS0vRpQIw20tTTunX7+sXlxREiIz&#10;NVPWiDndiUCvF8+fzXpXibHtrKqFJwAxoerdnHYxuqooAu+EZuHCOmFw2FivWcTSt0XtWQ90rYrx&#10;aHRZ9NbXzlsuQsDu8nBIj4j+HEDbNJKLpeUbLUw8oHqhWASl0EkX6CJn2zSCx09NE0Qkak7BNOYZ&#10;QWCv01wsZqxqPXOd5McU2DkpPOGkmTQIeoJassjIxsu/oLTk3gbbxAtudXEgkhUBi3L0RJubjjmR&#10;uUDq4E6ih/8Hyz9uP3sia3QCJDFMo+L7nz/2v273v7+TskwC9S5U8Ltx8IzDGzvA+W4/YDPxHhqv&#10;0xeMCM6BtTvJK4ZIODbHr8qrl5MpJRxnl9PX5STrX9zfdj7E98Jqkow59ShfVpVtP4SITOB655KC&#10;BatkvZJK5YVv12+VJ1uGUq/ySEniyiM3ZUiP6JMpUuQM/dugb2BqBw2CaXO8RzfCQ+BRHv8CTokt&#10;WegOCWSE5MYqLaPw2eoEq9+ZmsSdg8wGz4umZLSoKVECrzFZ2TMyqc7xBDtlQDKV6FCKZMVhPQAm&#10;mWtb71C2Hh0Oet82zCMmM7yzeATgvXFeth20zhXNOOi0LNvxVaRWfrjO0e7/BIs/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FgAAAGRycy9Q&#10;SwECFAAUAAAACACHTuJAnsICf9gAAAAMAQAADwAAAAAAAAABACAAAAA4AAAAZHJzL2Rvd25yZXYu&#10;eG1sUEsBAhQAFAAAAAgAh07iQMFy2TceAgAAUQQAAA4AAAAAAAAAAQAgAAAAPQEAAGRycy9lMm9E&#10;b2MueG1sUEsFBgAAAAAGAAYAWQEAAM0FAAAAAA==&#10;">
                <v:fill on="t" focussize="0,0"/>
                <v:stroke weight="0.5pt" color="#000000" joinstyle="miter"/>
                <v:imagedata o:title=""/>
                <o:lock v:ext="edit" aspectratio="f"/>
                <v:textbox>
                  <w:txbxContent>
                    <w:p>
                      <w:r>
                        <w:rPr>
                          <w:rFonts w:hint="eastAsia"/>
                        </w:rPr>
                        <w:t>旗自然资源局（对涉及旗自然资源局的相关材料进行审核）</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2528570</wp:posOffset>
                </wp:positionH>
                <wp:positionV relativeFrom="paragraph">
                  <wp:posOffset>98425</wp:posOffset>
                </wp:positionV>
                <wp:extent cx="643890" cy="4794885"/>
                <wp:effectExtent l="5080" t="5080" r="11430" b="13335"/>
                <wp:wrapNone/>
                <wp:docPr id="5" name="文本框 6"/>
                <wp:cNvGraphicFramePr/>
                <a:graphic xmlns:a="http://schemas.openxmlformats.org/drawingml/2006/main">
                  <a:graphicData uri="http://schemas.microsoft.com/office/word/2010/wordprocessingShape">
                    <wps:wsp>
                      <wps:cNvSpPr txBox="1"/>
                      <wps:spPr>
                        <a:xfrm>
                          <a:off x="0" y="0"/>
                          <a:ext cx="643890" cy="4794885"/>
                        </a:xfrm>
                        <a:prstGeom prst="rect">
                          <a:avLst/>
                        </a:prstGeom>
                        <a:solidFill>
                          <a:srgbClr val="FFFFFF"/>
                        </a:solidFill>
                        <a:ln w="6350" cap="flat" cmpd="sng">
                          <a:solidFill>
                            <a:srgbClr val="000000"/>
                          </a:solidFill>
                          <a:prstDash val="solid"/>
                          <a:miter/>
                          <a:headEnd type="none" w="med" len="med"/>
                          <a:tailEnd type="none" w="med" len="med"/>
                        </a:ln>
                      </wps:spPr>
                      <wps:txbx>
                        <w:txbxContent>
                          <w:p>
                            <w:r>
                              <w:rPr>
                                <w:rFonts w:hint="eastAsia"/>
                              </w:rPr>
                              <w:t>旗投资项目一站式服务中心（组织各相关部门审批窗口首席代表对</w:t>
                            </w:r>
                            <w:r>
                              <w:t>设施农业建设方案</w:t>
                            </w:r>
                            <w:r>
                              <w:rPr>
                                <w:rFonts w:hint="eastAsia"/>
                              </w:rPr>
                              <w:t>和组件材料进行审核）</w:t>
                            </w:r>
                          </w:p>
                        </w:txbxContent>
                      </wps:txbx>
                      <wps:bodyPr wrap="square" anchor="t" upright="1"/>
                    </wps:wsp>
                  </a:graphicData>
                </a:graphic>
              </wp:anchor>
            </w:drawing>
          </mc:Choice>
          <mc:Fallback>
            <w:pict>
              <v:shape id="文本框 6" o:spid="_x0000_s1026" o:spt="202" type="#_x0000_t202" style="position:absolute;left:0pt;margin-left:199.1pt;margin-top:7.75pt;height:377.55pt;width:50.7pt;z-index:251663360;mso-width-relative:page;mso-height-relative:page;" fillcolor="#FFFFFF" filled="t" stroked="t" coordsize="21600,21600" o:gfxdata="UEsFBgAAAAAAAAAAAAAAAAAAAAAAAFBLAwQKAAAAAACHTuJAAAAAAAAAAAAAAAAABAAAAGRycy9Q&#10;SwMEFAAAAAgAh07iQLm06T3YAAAACgEAAA8AAABkcnMvZG93bnJldi54bWxNj8FOwzAQRO9I/IO1&#10;lbhRuwlNmxCnEkhIiBttLtzceJtEtdeR7Tbl7zEnOK7maeZtvbtZw67ow+hIwmopgCF1To/US2gP&#10;b49bYCEq0so4QgnfGGDX3N/VqtJupk+87mPPUgmFSkkYYpwqzkM3oFVh6SaklJ2ctyqm0/dcezWn&#10;cmt4JkTBrRopLQxqwtcBu/P+YiW8Fy/xC1v9ofMsd3PLO38yQcqHxUo8A4t4i38w/OondWiS09Fd&#10;SAdmJOTlNktoCtZrYAl4KssC2FHCZiMK4E3N/7/Q/ABQSwMEFAAAAAgAh07iQCqymUIcAgAATwQA&#10;AA4AAABkcnMvZTJvRG9jLnhtbK1US5LTMBDdU8UdVNoTZ2aSkHHFmSoIYUMBVQMH6EiyrSr9kJTY&#10;uQDcgBUb9nOunIOWnMl8YJEFXtgtdet1v9ctL256rchO+CCtqejFaEyJMMxyaZqKfv2yfjWnJEQw&#10;HJQ1oqJ7EejN8uWLRedKcWlbq7jwBEFMKDtX0TZGVxZFYK3QEEbWCYPO2noNEZe+KbiHDtG1Ki7H&#10;41nRWc+dt0yEgLurwUmPiP4cQFvXkomVZVstTBxQvVAQkVJopQt0mauta8Hip7oOIhJVUWQa8xuT&#10;oL1J72K5gLLx4FrJjiXAOSU846RBGkx6glpBBLL18i8oLZm3wdZxxKwuBiJZEWRxMX6mzW0LTmQu&#10;KHVwJ9HD/4NlH3efPZG8olNKDGhs+OHnj8Ovu8Pv72SW5OlcKDHq1mFc7N/YHofmfj/gZmLd116n&#10;L/Ih6Edx9ydxRR8Jw83Z5Gp+jR6Grsnr68l8Pk0wxcNp50N8L6wmyaiox+ZlTWH3IcQh9D4kJQtW&#10;Sb6WSuWFbzZvlSc7wEav83NEfxKmDOmwlKtpKgRwemucGjS1QwWCaXK+JyfCY+Bxfv4FnApbQWiH&#10;AjJCCoNSyyh8tloB/J3hJO4dqmzwctFUjBacEiXwLiYrR0aQ6pxI1E4ZlDC1aGhFsmK/6REmmRvL&#10;99i2Ducb6X3bgsecYFhr8Qog763zsmlR69zRjINzlptyvBNpkB+vc7aH/8Dy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BYAAABkcnMvUEsB&#10;AhQAFAAAAAgAh07iQLm06T3YAAAACgEAAA8AAAAAAAAAAQAgAAAAOAAAAGRycy9kb3ducmV2Lnht&#10;bFBLAQIUABQAAAAIAIdO4kAqsplCHAIAAE8EAAAOAAAAAAAAAAEAIAAAAD0BAABkcnMvZTJvRG9j&#10;LnhtbFBLBQYAAAAABgAGAFkBAADLBQAAAAA=&#10;">
                <v:fill on="t" focussize="0,0"/>
                <v:stroke weight="0.5pt" color="#000000" joinstyle="miter"/>
                <v:imagedata o:title=""/>
                <o:lock v:ext="edit" aspectratio="f"/>
                <v:textbox>
                  <w:txbxContent>
                    <w:p>
                      <w:r>
                        <w:rPr>
                          <w:rFonts w:hint="eastAsia"/>
                        </w:rPr>
                        <w:t>旗投资项目一站式服务中心（组织各相关部门审批窗口首席代表对</w:t>
                      </w:r>
                      <w:r>
                        <w:t>设施农业建设方案</w:t>
                      </w:r>
                      <w:r>
                        <w:rPr>
                          <w:rFonts w:hint="eastAsia"/>
                        </w:rPr>
                        <w:t>和组件材料进行审核）</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1304290</wp:posOffset>
                </wp:positionH>
                <wp:positionV relativeFrom="paragraph">
                  <wp:posOffset>122555</wp:posOffset>
                </wp:positionV>
                <wp:extent cx="643890" cy="4770755"/>
                <wp:effectExtent l="5080" t="4445" r="11430" b="12700"/>
                <wp:wrapNone/>
                <wp:docPr id="1" name="文本框 2"/>
                <wp:cNvGraphicFramePr/>
                <a:graphic xmlns:a="http://schemas.openxmlformats.org/drawingml/2006/main">
                  <a:graphicData uri="http://schemas.microsoft.com/office/word/2010/wordprocessingShape">
                    <wps:wsp>
                      <wps:cNvSpPr txBox="1"/>
                      <wps:spPr>
                        <a:xfrm>
                          <a:off x="0" y="0"/>
                          <a:ext cx="643890" cy="4770755"/>
                        </a:xfrm>
                        <a:prstGeom prst="rect">
                          <a:avLst/>
                        </a:prstGeom>
                        <a:solidFill>
                          <a:srgbClr val="FFFFFF"/>
                        </a:solidFill>
                        <a:ln w="6350" cap="flat" cmpd="sng">
                          <a:solidFill>
                            <a:srgbClr val="000000"/>
                          </a:solidFill>
                          <a:prstDash val="solid"/>
                          <a:miter/>
                          <a:headEnd type="none" w="med" len="med"/>
                          <a:tailEnd type="none" w="med" len="med"/>
                        </a:ln>
                      </wps:spPr>
                      <wps:txbx>
                        <w:txbxContent>
                          <w:p>
                            <w:r>
                              <w:rPr>
                                <w:rFonts w:hint="eastAsia"/>
                              </w:rPr>
                              <w:t>项目所在地镇人民政府（对申请者提交的</w:t>
                            </w:r>
                            <w:r>
                              <w:t>设施农业建设方案</w:t>
                            </w:r>
                            <w:r>
                              <w:rPr>
                                <w:rFonts w:hint="eastAsia"/>
                              </w:rPr>
                              <w:t>和组件材料进行审查，组织相关部门工作人员对辖区内新申报的设施农业项目进行现场勘验）</w:t>
                            </w:r>
                          </w:p>
                        </w:txbxContent>
                      </wps:txbx>
                      <wps:bodyPr wrap="square" anchor="t" upright="1"/>
                    </wps:wsp>
                  </a:graphicData>
                </a:graphic>
              </wp:anchor>
            </w:drawing>
          </mc:Choice>
          <mc:Fallback>
            <w:pict>
              <v:shape id="文本框 2" o:spid="_x0000_s1026" o:spt="202" type="#_x0000_t202" style="position:absolute;left:0pt;margin-left:102.7pt;margin-top:9.65pt;height:375.65pt;width:50.7pt;z-index:251659264;mso-width-relative:page;mso-height-relative:page;" fillcolor="#FFFFFF" filled="t" stroked="t" coordsize="21600,21600" o:gfxdata="UEsFBgAAAAAAAAAAAAAAAAAAAAAAAFBLAwQKAAAAAACHTuJAAAAAAAAAAAAAAAAABAAAAGRycy9Q&#10;SwMEFAAAAAgAh07iQJ7uttjWAAAACgEAAA8AAABkcnMvZG93bnJldi54bWxNj8FOwzAQRO9I/IO1&#10;SNyo3QRSCHEqgYSEuFFy4ebG2yTCXke225S/ZznBcTVPs2+a7dk7ccKYpkAa1isFAqkPdqJBQ/fx&#10;cnMPImVD1rhAqOEbE2zby4vG1DYs9I6nXR4El1CqjYYx57mWMvUjepNWYUbi7BCiN5nPOEgbzcLl&#10;3slCqUp6MxF/GM2MzyP2X7uj1/BaPeVP7OybLYsyLJ3s48Elra+v1uoRRMZz/oPhV5/VoWWnfTiS&#10;TcJpKNTdLaMcPJQgGChVxVv2GjYbVYFsG/l/QvsDUEsDBBQAAAAIAIdO4kAoBqMfGwIAAE8EAAAO&#10;AAAAZHJzL2Uyb0RvYy54bWytVEuS0zAQ3VPFHVTaE3syk8ngijNVEMKGAqoGDtCRZFtV+iEpsXMB&#10;uAErNuw5V85BSw6ZDyyywAu7pW697ve65cXtoBXZCR+kNTW9mJSUCMMsl6at6edP6xc3lIQIhoOy&#10;RtR0LwK9XT5/tuhdJaa2s4oLTxDEhKp3Ne1idFVRBNYJDWFinTDobKzXEHHp24J76BFdq2JaltdF&#10;bz133jIRAu6uRic9IvpzAG3TSCZWlm21MHFE9UJBREqhky7QZa62aQSLH5omiEhUTZFpzG9MgvYm&#10;vYvlAqrWg+skO5YA55TwhJMGaTDpCWoFEcjWy7+gtGTeBtvECbO6GIlkRZDFRflEm7sOnMhcUOrg&#10;TqKH/wfL3u8+eiI5TgIlBjQ2/PD92+HHr8PPr2Sa5OldqDDqzmFcHF7ZIYUe9wNuJtZD43X6Ih+C&#10;fhR3fxJXDJEw3Ly+urx5iR6Grqv5vJzPZgmmuD/tfIhvhdUkGTX12LysKezehTiG/glJyYJVkq+l&#10;Unnh281r5ckOsNHr/BzRH4UpQ3os5XKWCgGc3ganBk3tUIFg2pzv0YnwELjMz7+AU2ErCN1YQEZI&#10;YVBpGYXPVieAvzGcxL1DlQ1eLpqK0YJTogTexWTlyAhSnROJ2imDEqYWja1IVhw2A8Ikc2P5HtvW&#10;43wjvS9b8JgTDOssXgHkvXVeth1qnTuacXDOclOOdyIN8sN1znb/H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J7uttjWAAAACgEAAA8AAAAAAAAAAQAgAAAAOAAAAGRycy9kb3ducmV2LnhtbFBL&#10;AQIUABQAAAAIAIdO4kAoBqMfGwIAAE8EAAAOAAAAAAAAAAEAIAAAADsBAABkcnMvZTJvRG9jLnht&#10;bFBLBQYAAAAABgAGAFkBAADIBQAAAAA=&#10;">
                <v:fill on="t" focussize="0,0"/>
                <v:stroke weight="0.5pt" color="#000000" joinstyle="miter"/>
                <v:imagedata o:title=""/>
                <o:lock v:ext="edit" aspectratio="f"/>
                <v:textbox>
                  <w:txbxContent>
                    <w:p>
                      <w:r>
                        <w:rPr>
                          <w:rFonts w:hint="eastAsia"/>
                        </w:rPr>
                        <w:t>项目所在地镇人民政府（对申请者提交的</w:t>
                      </w:r>
                      <w:r>
                        <w:t>设施农业建设方案</w:t>
                      </w:r>
                      <w:r>
                        <w:rPr>
                          <w:rFonts w:hint="eastAsia"/>
                        </w:rPr>
                        <w:t>和组件材料进行审查，组织相关部门工作人员对辖区内新申报的设施农业项目进行现场勘验）</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15875</wp:posOffset>
                </wp:positionH>
                <wp:positionV relativeFrom="paragraph">
                  <wp:posOffset>106680</wp:posOffset>
                </wp:positionV>
                <wp:extent cx="651510" cy="4779010"/>
                <wp:effectExtent l="4445" t="5080" r="17145" b="16510"/>
                <wp:wrapNone/>
                <wp:docPr id="3" name="文本框 4"/>
                <wp:cNvGraphicFramePr/>
                <a:graphic xmlns:a="http://schemas.openxmlformats.org/drawingml/2006/main">
                  <a:graphicData uri="http://schemas.microsoft.com/office/word/2010/wordprocessingShape">
                    <wps:wsp>
                      <wps:cNvSpPr txBox="1"/>
                      <wps:spPr>
                        <a:xfrm>
                          <a:off x="0" y="0"/>
                          <a:ext cx="651510" cy="4779010"/>
                        </a:xfrm>
                        <a:prstGeom prst="rect">
                          <a:avLst/>
                        </a:prstGeom>
                        <a:solidFill>
                          <a:srgbClr val="FFFFFF"/>
                        </a:solidFill>
                        <a:ln w="6350" cap="flat" cmpd="sng">
                          <a:solidFill>
                            <a:srgbClr val="000000"/>
                          </a:solidFill>
                          <a:prstDash val="solid"/>
                          <a:miter/>
                          <a:headEnd type="none" w="med" len="med"/>
                          <a:tailEnd type="none" w="med" len="med"/>
                        </a:ln>
                      </wps:spPr>
                      <wps:txbx>
                        <w:txbxContent>
                          <w:p>
                            <w:r>
                              <w:rPr>
                                <w:rFonts w:hint="eastAsia"/>
                              </w:rPr>
                              <w:t>申请人（向项目所在地镇人民政府提交设施农业建设项目的书面申请和组件材料）</w:t>
                            </w:r>
                          </w:p>
                        </w:txbxContent>
                      </wps:txbx>
                      <wps:bodyPr wrap="square" anchor="t" upright="1"/>
                    </wps:wsp>
                  </a:graphicData>
                </a:graphic>
              </wp:anchor>
            </w:drawing>
          </mc:Choice>
          <mc:Fallback>
            <w:pict>
              <v:shape id="文本框 4" o:spid="_x0000_s1026" o:spt="202" type="#_x0000_t202" style="position:absolute;left:0pt;margin-left:1.25pt;margin-top:8.4pt;height:376.3pt;width:51.3pt;z-index:251661312;mso-width-relative:page;mso-height-relative:page;" fillcolor="#FFFFFF" filled="t" stroked="t" coordsize="21600,21600" o:gfxdata="UEsFBgAAAAAAAAAAAAAAAAAAAAAAAFBLAwQKAAAAAACHTuJAAAAAAAAAAAAAAAAABAAAAGRycy9Q&#10;SwMEFAAAAAgAh07iQLel6LnVAAAACAEAAA8AAABkcnMvZG93bnJldi54bWxNj8FOwzAQRO9I/IO1&#10;SL1ROykNEOJUAqkS4kabCzc33iYR9jqK3ab8PdsTHHdmNPum2ly8E2ec4hBIQ7ZUIJDaYAfqNDT7&#10;7f0TiJgMWeMCoYYfjLCpb28qU9ow0yeed6kTXEKxNBr6lMZSytj26E1chhGJvWOYvEl8Tp20k5m5&#10;3DuZK1VIbwbiD70Z8a3H9nt38hrei9f0hY39sKt8FeZGttPRRa0Xd5l6AZHwkv7CcMVndKiZ6RBO&#10;ZKNwGvI1B1kueMDVVusMxEHDY/H8ALKu5P8B9S9QSwMEFAAAAAgAh07iQFzg3yAbAgAATwQAAA4A&#10;AABkcnMvZTJvRG9jLnhtbK1US5LTMBDdU8UdVNozTmYmM+CKM1UQwoYCqgYO0JFlW1X6oVZi5wJw&#10;A1Zs2HOunIOWnMl8YJEFXtgtdet1v9ctz28Go9lWBlTOVnx6NuFMWuFqZduKf/m8evGSM4xga9DO&#10;yorvJPKbxfNn896X8tx1TtcyMAKxWPa+4l2MviwKFJ00gGfOS0vOxgUDkZahLeoAPaEbXZxPJldF&#10;70LtgxMSkXaXo5MfEMMpgK5plJBLJzZG2jiiBqkhEiXslEe+yNU2jRTxY9OgjExXnJjG/KYkZK/T&#10;u1jMoWwD+E6JQwlwSglPOBlQlpIeoZYQgW2C+gvKKBEcuiaeCWeKkUhWhFhMJ0+0ue3Ay8yFpEZ/&#10;FB3/H6z4sP0UmKorfsGZBUMN3//4vv/5e//rG7tM8vQeS4q69RQXh9duoKG520faTKyHJpj0JT6M&#10;/CTu7iiuHCITtHk1m86m5BHkury+fkV0E0xxf9oHjO+kMywZFQ/UvKwpbN9jHEPvQlIydFrVK6V1&#10;XoR2/UYHtgVq9Co/B/RHYdqynkq5mKVCgKa3oakh03hSAG2b8z06gQ+BJ/n5F3AqbAnYjQVkhBQG&#10;pVFRhmx1Euq3tmZx50llS5eLp2KMrDnTku5isnJkBKVPiSTttCUJU4vGViQrDuuBYJK5dvWO2tbT&#10;fBO9rxsIlBOs6BxdAeK98UG1HWmdO5pxaM5yUw53Ig3yw3XOdv8fWPw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t6XoudUAAAAIAQAADwAAAAAAAAABACAAAAA4AAAAZHJzL2Rvd25yZXYueG1sUEsB&#10;AhQAFAAAAAgAh07iQFzg3yAbAgAATwQAAA4AAAAAAAAAAQAgAAAAOgEAAGRycy9lMm9Eb2MueG1s&#10;UEsFBgAAAAAGAAYAWQEAAMcFAAAAAA==&#10;">
                <v:fill on="t" focussize="0,0"/>
                <v:stroke weight="0.5pt" color="#000000" joinstyle="miter"/>
                <v:imagedata o:title=""/>
                <o:lock v:ext="edit" aspectratio="f"/>
                <v:textbox>
                  <w:txbxContent>
                    <w:p>
                      <w:r>
                        <w:rPr>
                          <w:rFonts w:hint="eastAsia"/>
                        </w:rPr>
                        <w:t>申请人（向项目所在地镇人民政府提交设施农业建设项目的书面申请和组件材料）</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7967345</wp:posOffset>
                </wp:positionH>
                <wp:positionV relativeFrom="paragraph">
                  <wp:posOffset>2486660</wp:posOffset>
                </wp:positionV>
                <wp:extent cx="437515" cy="172085"/>
                <wp:effectExtent l="12700" t="30480" r="19685" b="38735"/>
                <wp:wrapNone/>
                <wp:docPr id="22" name="箭头: 右 23"/>
                <wp:cNvGraphicFramePr/>
                <a:graphic xmlns:a="http://schemas.openxmlformats.org/drawingml/2006/main">
                  <a:graphicData uri="http://schemas.microsoft.com/office/word/2010/wordprocessingShape">
                    <wps:wsp>
                      <wps:cNvSpPr/>
                      <wps:spPr>
                        <a:xfrm>
                          <a:off x="0" y="0"/>
                          <a:ext cx="437515" cy="172085"/>
                        </a:xfrm>
                        <a:prstGeom prst="rightArrow">
                          <a:avLst>
                            <a:gd name="adj1" fmla="val 50000"/>
                            <a:gd name="adj2" fmla="val 49930"/>
                          </a:avLst>
                        </a:prstGeom>
                        <a:solidFill>
                          <a:srgbClr val="4F81BD"/>
                        </a:solidFill>
                        <a:ln w="25400" cap="flat" cmpd="sng">
                          <a:solidFill>
                            <a:srgbClr val="243F60"/>
                          </a:solidFill>
                          <a:prstDash val="solid"/>
                          <a:miter/>
                          <a:headEnd type="none" w="med" len="med"/>
                          <a:tailEnd type="none" w="med" len="med"/>
                        </a:ln>
                      </wps:spPr>
                      <wps:bodyPr wrap="square" anchor="ctr" upright="1"/>
                    </wps:wsp>
                  </a:graphicData>
                </a:graphic>
              </wp:anchor>
            </w:drawing>
          </mc:Choice>
          <mc:Fallback>
            <w:pict>
              <v:shape id="箭头: 右 23" o:spid="_x0000_s1026" o:spt="13" type="#_x0000_t13" style="position:absolute;left:0pt;margin-left:627.35pt;margin-top:195.8pt;height:13.55pt;width:34.45pt;z-index:251678720;v-text-anchor:middle;mso-width-relative:page;mso-height-relative:page;" fillcolor="#4F81BD" filled="t" stroked="t" coordsize="21600,21600" o:gfxdata="UEsFBgAAAAAAAAAAAAAAAAAAAAAAAFBLAwQKAAAAAACHTuJAAAAAAAAAAAAAAAAABAAAAGRycy9Q&#10;SwMEFAAAAAgAh07iQLwUOgLaAAAADQEAAA8AAABkcnMvZG93bnJldi54bWxNj01PwzAMhu9I/IfI&#10;SFwQS9uMfZSmOyAhDohJbIiz15imonGqJuvGvyc7wc2v/Oj142pzdr2YaAydZw35LANB3HjTcavh&#10;Y/98vwIRIrLB3jNp+KEAm/r6qsLS+BO/07SLrUglHErUYGMcSilDY8lhmPmBOO2+/Ogwpji20ox4&#10;SuWul0WWLaTDjtMFiwM9WWq+d0en4SVyMRSv06dTuMc3Ge/U2m61vr3Js0cQkc7xD4aLflKHOjkd&#10;/JFNEH3KxcN8mVgNap0vQFwQVag0HTTM89USZF3J/1/Uv1BLAwQUAAAACACHTuJAmfCOr0ICAACX&#10;BAAADgAAAGRycy9lMm9Eb2MueG1srVRLktMwEN1TxR1U2hM7TjKTScWZAkLYUDBVAwdQJNkWpR+S&#10;Eien4BJsmQ1caYpr0JI9+QybLMjCaVmt1/3eU3t+u1MSbbnzwugSDwc5RlxTw4SuS/zl8+rVFCMf&#10;iGZEGs1LvOce3y5evpi3dsYL0xjJuEMAov2stSVuQrCzLPO04Yr4gbFcw2ZlnCIBlq7OmCMtoCuZ&#10;FXl+lbXGMesM5d7D22W3iXtEdwmgqSpB+dLQjeI6dKiOSxKAkm+E9XiRuq0qTsOnqvI8IFliYBrS&#10;E4pAvI7PbDEns9oR2wjat0AuaeEZJ0WEhqIHqCUJBG2c+AdKCeqMN1UYUKOyjkhSBFgM82fa3DfE&#10;8sQFpPb2ILr/f7D04/bOIcFKXBQYaaLA8T8PPx9//J6hx++/UDGKErXWzyDz3t65fuUhjHx3lVPx&#10;H5igXZJ1f5CV7wKi8HI8up4MJxhR2BpeF/l0EjGz42HrfHjPjUIxKLETdRNeO2faJCnZfvAhacv6&#10;Bgn7OsSoUhKs2hKJJjn8eitPcoDQMWd8czNKOVC3R4ToqXKE90YKthJSpoWr12+lQwAPBFbT4Ztl&#10;3/RZmtSoBekmY6iPKIFxqOAaQqgsSOp1nRicHfGnyMV4tLp6aussLXa2JL7pOkhbHUMlAnfp2jac&#10;sHeaobC34JqGacWxG8UZRpLDcMcoZQYi5CWZoIjUYE30u3M4RmvD9nBJWpgS4PRtQxwUIpo2BgaJ&#10;BofRxibPwN4kUjwE9zV53M9WHIjTdSpy/J4s/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WAAAAZHJzL1BLAQIUABQAAAAIAIdO4kC8FDoC&#10;2gAAAA0BAAAPAAAAAAAAAAEAIAAAADgAAABkcnMvZG93bnJldi54bWxQSwECFAAUAAAACACHTuJA&#10;mfCOr0ICAACXBAAADgAAAAAAAAABACAAAAA/AQAAZHJzL2Uyb0RvYy54bWxQSwUGAAAAAAYABgBZ&#10;AQAA8wUAAAAA&#10;" adj="17359,5400">
                <v:fill on="t" focussize="0,0"/>
                <v:stroke weight="2pt" color="#243F60" joinstyle="miter"/>
                <v:imagedata o:title=""/>
                <o:lock v:ext="edit" aspectratio="f"/>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3235960</wp:posOffset>
                </wp:positionH>
                <wp:positionV relativeFrom="paragraph">
                  <wp:posOffset>371475</wp:posOffset>
                </wp:positionV>
                <wp:extent cx="500380" cy="139700"/>
                <wp:effectExtent l="12700" t="30480" r="20320" b="33020"/>
                <wp:wrapNone/>
                <wp:docPr id="16" name="箭头: 右 17"/>
                <wp:cNvGraphicFramePr/>
                <a:graphic xmlns:a="http://schemas.openxmlformats.org/drawingml/2006/main">
                  <a:graphicData uri="http://schemas.microsoft.com/office/word/2010/wordprocessingShape">
                    <wps:wsp>
                      <wps:cNvSpPr/>
                      <wps:spPr>
                        <a:xfrm>
                          <a:off x="0" y="0"/>
                          <a:ext cx="500380" cy="139700"/>
                        </a:xfrm>
                        <a:prstGeom prst="rightArrow">
                          <a:avLst>
                            <a:gd name="adj1" fmla="val 50000"/>
                            <a:gd name="adj2" fmla="val 50095"/>
                          </a:avLst>
                        </a:prstGeom>
                        <a:solidFill>
                          <a:srgbClr val="4F81BD"/>
                        </a:solidFill>
                        <a:ln w="25400" cap="flat" cmpd="sng">
                          <a:solidFill>
                            <a:srgbClr val="243F60"/>
                          </a:solidFill>
                          <a:prstDash val="solid"/>
                          <a:miter/>
                          <a:headEnd type="none" w="med" len="med"/>
                          <a:tailEnd type="none" w="med" len="med"/>
                        </a:ln>
                      </wps:spPr>
                      <wps:bodyPr wrap="square" anchor="ctr" upright="1"/>
                    </wps:wsp>
                  </a:graphicData>
                </a:graphic>
              </wp:anchor>
            </w:drawing>
          </mc:Choice>
          <mc:Fallback>
            <w:pict>
              <v:shape id="箭头: 右 17" o:spid="_x0000_s1026" o:spt="13" type="#_x0000_t13" style="position:absolute;left:0pt;margin-left:254.8pt;margin-top:29.25pt;height:11pt;width:39.4pt;z-index:251673600;v-text-anchor:middle;mso-width-relative:page;mso-height-relative:page;" fillcolor="#4F81BD" filled="t" stroked="t" coordsize="21600,21600" o:gfxdata="UEsFBgAAAAAAAAAAAAAAAAAAAAAAAFBLAwQKAAAAAACHTuJAAAAAAAAAAAAAAAAABAAAAGRycy9Q&#10;SwMEFAAAAAgAh07iQA3eRS7XAAAACQEAAA8AAABkcnMvZG93bnJldi54bWxNj01PwzAMhu9I/IfI&#10;SNxYUrROWWm6A9IuCCFtTKjHrDFtReNUSfbBv8ec4GbLj14/b725+kmcMaYxkIFioUAgdcGN1Bs4&#10;vG8fNIiULTk7BUID35hg09ze1LZy4UI7PO9zLziEUmUNDDnPlZSpG9DbtAgzEt8+Q/Q28xp76aK9&#10;cLif5KNSK+ntSPxhsDM+D9h97U/eQDu+vX7EHWq53hbtoXhZSu1bY+7vCvUEIuM1/8Hwq8/q0LDT&#10;MZzIJTEZKNV6xSgPugTBQKn1EsTRgFYlyKaW/xs0P1BLAwQUAAAACACHTuJAgBntk0ACAACXBAAA&#10;DgAAAGRycy9lMm9Eb2MueG1srVTNctMwEL4zwztodKe2k7RNPXE6QAgXBjpTeICtJMdi9IekxMlT&#10;8BJc6QVeqcNrsJLdXy49cJF3pdW3+32r9eJ8rxXZCR+kNQ2tjkpKhGGWS7Np6JfP61dzSkIEw0FZ&#10;Ixp6EIGeL1++WPSuFhPbWcWFJwhiQt27hnYxurooAuuEhnBknTB42FqvIaLrNwX30CO6VsWkLE+K&#10;3nruvGUiBNxdDYd0RPTPAbRtK5lYWbbVwsQB1QsFESmFTrpAl7nathUsfmrbICJRDUWmMa+YBO2r&#10;tBbLBdQbD66TbCwBnlPCE04apMGkd1AriEC2Xv4DpSXzNtg2HjGri4FIVgRZVOUTbS47cCJzQamD&#10;uxM9/D9Y9nF34Ynk+BJOKDGgseN/rn/e/Phdk5vvv0h1miTqXagx8tJd+NELaCa++9br9EUmZJ9l&#10;PdzJKvaRMNw8LsvpHAVneFRNz07LLHtxf9n5EN8Lq0kyGurlpouvvbd9lhR2H0LM2vKxQOBfK0pa&#10;rbBVO1AEEwyYqP+DmMmTmLPjxAXzjoho3WZO8MEqyddSqez4zdVb5QnCN3S2nldvVuPlR2HKkL6h&#10;k+MZ5icMcBxafIZoaoeSBrPJDB5dCQ+RJ7Pp+uRWjkdhqbIVhG6oIB+lAqDWMorUBag7Afyd4SQe&#10;HHbN4LTSVI0WnBIlcLiTlSMjSPWcSFREGZQo9XvocLKuLD/gI+lxSpDTty14TASGdRYHiUVPydbl&#10;nmF7s0jpEr7XrPU4W2kgHvo5yf3/ZPk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Dd5FLtcAAAAJ&#10;AQAADwAAAAAAAAABACAAAAA4AAAAZHJzL2Rvd25yZXYueG1sUEsBAhQAFAAAAAgAh07iQIAZ7ZNA&#10;AgAAlwQAAA4AAAAAAAAAAQAgAAAAPAEAAGRycy9lMm9Eb2MueG1sUEsFBgAAAAAGAAYAWQEAAO4F&#10;AAAAAA==&#10;" adj="18580,5400">
                <v:fill on="t" focussize="0,0"/>
                <v:stroke weight="2pt" color="#243F60" joinstyle="miter"/>
                <v:imagedata o:title=""/>
                <o:lock v:ext="edit" aspectratio="f"/>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6631305</wp:posOffset>
                </wp:positionH>
                <wp:positionV relativeFrom="paragraph">
                  <wp:posOffset>450850</wp:posOffset>
                </wp:positionV>
                <wp:extent cx="469265" cy="123825"/>
                <wp:effectExtent l="12700" t="30480" r="26035" b="36195"/>
                <wp:wrapNone/>
                <wp:docPr id="17" name="箭头: 右 18"/>
                <wp:cNvGraphicFramePr/>
                <a:graphic xmlns:a="http://schemas.openxmlformats.org/drawingml/2006/main">
                  <a:graphicData uri="http://schemas.microsoft.com/office/word/2010/wordprocessingShape">
                    <wps:wsp>
                      <wps:cNvSpPr/>
                      <wps:spPr>
                        <a:xfrm>
                          <a:off x="0" y="0"/>
                          <a:ext cx="469265" cy="123825"/>
                        </a:xfrm>
                        <a:prstGeom prst="rightArrow">
                          <a:avLst>
                            <a:gd name="adj1" fmla="val 50000"/>
                            <a:gd name="adj2" fmla="val 50108"/>
                          </a:avLst>
                        </a:prstGeom>
                        <a:solidFill>
                          <a:srgbClr val="4F81BD"/>
                        </a:solidFill>
                        <a:ln w="25400" cap="flat" cmpd="sng">
                          <a:solidFill>
                            <a:srgbClr val="243F60"/>
                          </a:solidFill>
                          <a:prstDash val="solid"/>
                          <a:miter/>
                          <a:headEnd type="none" w="med" len="med"/>
                          <a:tailEnd type="none" w="med" len="med"/>
                        </a:ln>
                      </wps:spPr>
                      <wps:bodyPr wrap="square" anchor="ctr" upright="1"/>
                    </wps:wsp>
                  </a:graphicData>
                </a:graphic>
              </wp:anchor>
            </w:drawing>
          </mc:Choice>
          <mc:Fallback>
            <w:pict>
              <v:shape id="箭头: 右 18" o:spid="_x0000_s1026" o:spt="13" type="#_x0000_t13" style="position:absolute;left:0pt;margin-left:522.15pt;margin-top:35.5pt;height:9.75pt;width:36.95pt;z-index:251674624;v-text-anchor:middle;mso-width-relative:page;mso-height-relative:page;" fillcolor="#4F81BD" filled="t" stroked="t" coordsize="21600,21600" o:gfxdata="UEsFBgAAAAAAAAAAAAAAAAAAAAAAAFBLAwQKAAAAAACHTuJAAAAAAAAAAAAAAAAABAAAAGRycy9Q&#10;SwMEFAAAAAgAh07iQGrKg5TYAAAACwEAAA8AAABkcnMvZG93bnJldi54bWxNj0FOwzAQRfdI3MEa&#10;JDYVtdMUKCFOFyhFdEnLASbxNIka2yF223B7pitYfs3Tn/fz9WR7caYxdN5pSOYKBLnam841Gr72&#10;m4cViBDRGey9Iw0/FGBd3N7kmBl/cZ903sVGcIkLGWpoYxwyKUPdksUw9wM5vh38aDFyHBtpRrxw&#10;ue3lQqknabFz/KHFgd5aqo+7k9XwPqV2s6/k9wFxVm7T5ljOPkqt7+8S9Qoi0hT/YLjqszoU7FT5&#10;kzNB9JzVcpkyq+E54VFXIklWCxCVhhf1CLLI5f8NxS9QSwMEFAAAAAgAh07iQLUDN7Y/AgAAlwQA&#10;AA4AAABkcnMvZTJvRG9jLnhtbK1US5LTMBDdU8UdVNoz/kwSgivOFBDChoKpGjiAIsm2KP2QlDg5&#10;BZdgCxu40hTXoCWbTDJssiALp2W1Xr/3Wu3FzV5JtOPOC6NrXFzlGHFNDRO6rfGnj+tnc4x8IJoR&#10;aTSv8YF7fLN8+mTR24qXpjOScYcARPuqtzXuQrBVlnnacUX8lbFcw2ZjnCIBlq7NmCM9oCuZlXk+&#10;y3rjmHWGcu/h7WrYxCOiuwTQNI2gfGXoVnEdBlTHJQkgyXfCerxMbJuG0/ChaTwPSNYYlIb0hCIQ&#10;b+IzWy5I1TpiO0FHCuQSCo80KSI0FD1CrUggaOvEP1BKUGe8acIVNSobhCRHQEWRP/LmriOWJy1g&#10;tbdH0/3/g6Xvd7cOCQY34TlGmijo+O8f3++//arQ/defqJhHi3rrK8i8s7duXHkIo95941T8ByVo&#10;n2w9HG3l+4AovJzMXpSzKUYUtoryel5OI2b2cNg6H95yo1AMauxE24WXzpk+WUp273xI3rKRIGGf&#10;C4waJaFVOyLRNIff2MqTnPI8p8iTFqg7IkL0t3KE90YKthZSpoVrN6+lQwAPAtbz4tVqJH2WJjXq&#10;a1xOJ1AfUQLj0MA1hFBZsNTrNik4O+JPkcvJ9XqWqAOZs7TIbEV8NzBIW4NCJQJ36dp2nLA3mqFw&#10;sNA1DdOKIxvFGUaSw3DHKGUGIuQlmUBCamhN7PfQ4RhtDDvAJelhSkDTly1xUIho2hkYJBocRlub&#10;egbtTSbFQ3BfU4/H2YoDcbpORR6+J8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asqDlNgAAAAL&#10;AQAADwAAAAAAAAABACAAAAA4AAAAZHJzL2Rvd25yZXYueG1sUEsBAhQAFAAAAAgAh07iQLUDN7Y/&#10;AgAAlwQAAA4AAAAAAAAAAQAgAAAAPQEAAGRycy9lMm9Eb2MueG1sUEsFBgAAAAAGAAYAWQEAAO4F&#10;AAAAAA==&#10;" adj="18745,5400">
                <v:fill on="t" focussize="0,0"/>
                <v:stroke weight="2pt" color="#243F60" joinstyle="miter"/>
                <v:imagedata o:title=""/>
                <o:lock v:ext="edit" aspectratio="f"/>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3776345</wp:posOffset>
                </wp:positionH>
                <wp:positionV relativeFrom="paragraph">
                  <wp:posOffset>113665</wp:posOffset>
                </wp:positionV>
                <wp:extent cx="2718435" cy="675640"/>
                <wp:effectExtent l="4445" t="4445" r="7620" b="5715"/>
                <wp:wrapNone/>
                <wp:docPr id="8" name="文本框 9"/>
                <wp:cNvGraphicFramePr/>
                <a:graphic xmlns:a="http://schemas.openxmlformats.org/drawingml/2006/main">
                  <a:graphicData uri="http://schemas.microsoft.com/office/word/2010/wordprocessingShape">
                    <wps:wsp>
                      <wps:cNvSpPr txBox="1"/>
                      <wps:spPr>
                        <a:xfrm>
                          <a:off x="0" y="0"/>
                          <a:ext cx="2718435" cy="675640"/>
                        </a:xfrm>
                        <a:prstGeom prst="rect">
                          <a:avLst/>
                        </a:prstGeom>
                        <a:solidFill>
                          <a:srgbClr val="FFFFFF"/>
                        </a:solidFill>
                        <a:ln w="6350" cap="flat" cmpd="sng">
                          <a:solidFill>
                            <a:srgbClr val="000000"/>
                          </a:solidFill>
                          <a:prstDash val="solid"/>
                          <a:miter/>
                          <a:headEnd type="none" w="med" len="med"/>
                          <a:tailEnd type="none" w="med" len="med"/>
                        </a:ln>
                      </wps:spPr>
                      <wps:txbx>
                        <w:txbxContent>
                          <w:p>
                            <w:r>
                              <w:rPr>
                                <w:rFonts w:hint="eastAsia"/>
                              </w:rPr>
                              <w:t>旗</w:t>
                            </w:r>
                            <w:r>
                              <w:rPr>
                                <w:rFonts w:hint="eastAsia"/>
                                <w:lang w:eastAsia="zh-CN"/>
                              </w:rPr>
                              <w:t>农牧和水利局</w:t>
                            </w:r>
                            <w:r>
                              <w:rPr>
                                <w:rFonts w:hint="eastAsia"/>
                              </w:rPr>
                              <w:t>（对涉及</w:t>
                            </w:r>
                            <w:r>
                              <w:rPr>
                                <w:rFonts w:hint="eastAsia"/>
                                <w:lang w:eastAsia="zh-CN"/>
                              </w:rPr>
                              <w:t>农牧和水利局</w:t>
                            </w:r>
                            <w:r>
                              <w:rPr>
                                <w:rFonts w:hint="eastAsia"/>
                              </w:rPr>
                              <w:t>的相关材料进行审核）</w:t>
                            </w:r>
                          </w:p>
                        </w:txbxContent>
                      </wps:txbx>
                      <wps:bodyPr wrap="square" anchor="t" upright="1"/>
                    </wps:wsp>
                  </a:graphicData>
                </a:graphic>
              </wp:anchor>
            </w:drawing>
          </mc:Choice>
          <mc:Fallback>
            <w:pict>
              <v:shape id="文本框 9" o:spid="_x0000_s1026" o:spt="202" type="#_x0000_t202" style="position:absolute;left:0pt;margin-left:297.35pt;margin-top:8.95pt;height:53.2pt;width:214.05pt;z-index:251666432;mso-width-relative:page;mso-height-relative:page;" fillcolor="#FFFFFF" filled="t" stroked="t" coordsize="21600,21600" o:gfxdata="UEsFBgAAAAAAAAAAAAAAAAAAAAAAAFBLAwQKAAAAAACHTuJAAAAAAAAAAAAAAAAABAAAAGRycy9Q&#10;SwMEFAAAAAgAh07iQOqRwqXYAAAACwEAAA8AAABkcnMvZG93bnJldi54bWxNj81OwzAQhO9IvIO1&#10;SNyoXae0NI1TCSQkxI02F25uvE2i+iey3aa8PdsT3HY0n2Znqu3VWXbBmIbgFcxnAhj6NpjBdwqa&#10;/fvTC7CUtTfaBo8KfjDBtr6/q3RpwuS/8LLLHaMQn0qtoM95LDlPbY9Op1kY0ZN3DNHpTDJ23EQ9&#10;UbizXAqx5E4Pnj70esS3HtvT7uwUfCxf8zc25tMUsghTw9t4tEmpx4e52ADLeM1/MNzqU3WoqdMh&#10;nL1JzCp4Xi9WhJKxWgO7AUJKGnOgSy4K4HXF/2+ofwFQSwMEFAAAAAgAh07iQOxZyk4fAgAATwQA&#10;AA4AAABkcnMvZTJvRG9jLnhtbK1US44TMRDdI3EHy3vSSWaSGaJ0RoIQNgiQBg7guN3dlvzDdtKd&#10;C8ANWLFhP+fKOXh2MpkPLLLAC3fZLr+q96rc85teK7IVPkhrSjoaDCkRhttKmqakX7+sXl1TEiIz&#10;FVPWiJLuRKA3i5cv5p2bibFtraqEJwAxYda5krYxullRBN4KzcLAOmFwWFuvWcTSN0XlWQd0rYrx&#10;cDgtOusr5y0XIWB3eTikR0R/DqCta8nF0vKNFiYeUL1QLIJSaKULdJGzrWvB46e6DiISVVIwjXlG&#10;ENjrNBeLOZs1nrlW8mMK7JwUnnHSTBoEPUEtWWRk4+VfUFpyb4Ot44BbXRyIZEXAYjR8ps1ty5zI&#10;XCB1cCfRw/+D5R+3nz2RVUlRdsM0Cr7/+WP/627/+zt5neTpXJjB69bBL/ZvbI+mud8P2Eys+9rr&#10;9AUfgnOIuzuJK/pIODbHV6Pry4sJJRxn06vJ9DKrXzzcdj7E98JqkoySehQva8q2H0JEJnC9d0nB&#10;glWyWkml8sI367fKky1DoVd5pCRx5YmbMqRD9IsJUuQM3Vuja2BqBwWCaXK8JzfCY+BhHv8CTokt&#10;WWgPCWSE5MZmWkbhs9UKVr0zFYk7B5UNHhdNyWhRUaIE3mKysmdkUp3jCXbKgGQq0aEUyYr9ugdM&#10;Mte22qFsHfob9L5tmEdMZnhr8QTAe+O8bFponSuacdBnWbbjm0iN/Hidoz38BxZ/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BYAAABkcnMv&#10;UEsBAhQAFAAAAAgAh07iQOqRwqXYAAAACwEAAA8AAAAAAAAAAQAgAAAAOAAAAGRycy9kb3ducmV2&#10;LnhtbFBLAQIUABQAAAAIAIdO4kDsWcpOHwIAAE8EAAAOAAAAAAAAAAEAIAAAAD0BAABkcnMvZTJv&#10;RG9jLnhtbFBLBQYAAAAABgAGAFkBAADOBQAAAAA=&#10;">
                <v:fill on="t" focussize="0,0"/>
                <v:stroke weight="0.5pt" color="#000000" joinstyle="miter"/>
                <v:imagedata o:title=""/>
                <o:lock v:ext="edit" aspectratio="f"/>
                <v:textbox>
                  <w:txbxContent>
                    <w:p>
                      <w:r>
                        <w:rPr>
                          <w:rFonts w:hint="eastAsia"/>
                        </w:rPr>
                        <w:t>旗</w:t>
                      </w:r>
                      <w:r>
                        <w:rPr>
                          <w:rFonts w:hint="eastAsia"/>
                          <w:lang w:eastAsia="zh-CN"/>
                        </w:rPr>
                        <w:t>农牧和水利局</w:t>
                      </w:r>
                      <w:r>
                        <w:rPr>
                          <w:rFonts w:hint="eastAsia"/>
                        </w:rPr>
                        <w:t>（对涉及</w:t>
                      </w:r>
                      <w:r>
                        <w:rPr>
                          <w:rFonts w:hint="eastAsia"/>
                          <w:lang w:eastAsia="zh-CN"/>
                        </w:rPr>
                        <w:t>农牧和水利局</w:t>
                      </w:r>
                      <w:r>
                        <w:rPr>
                          <w:rFonts w:hint="eastAsia"/>
                        </w:rPr>
                        <w:t>的相关材料进行审核）</w:t>
                      </w:r>
                    </w:p>
                  </w:txbxContent>
                </v:textbox>
              </v:shape>
            </w:pict>
          </mc:Fallback>
        </mc:AlternateContent>
      </w:r>
    </w:p>
    <w:p>
      <w:pPr>
        <w:pStyle w:val="12"/>
        <w:rPr>
          <w:rFonts w:ascii="仿宋" w:hAnsi="仿宋" w:eastAsia="仿宋"/>
          <w:sz w:val="32"/>
          <w:szCs w:val="32"/>
        </w:rPr>
      </w:pPr>
      <w:r>
        <mc:AlternateContent>
          <mc:Choice Requires="wps">
            <w:drawing>
              <wp:anchor distT="0" distB="0" distL="114300" distR="114300" simplePos="0" relativeHeight="251676672" behindDoc="0" locked="0" layoutInCell="1" allowOverlap="1">
                <wp:simplePos x="0" y="0"/>
                <wp:positionH relativeFrom="column">
                  <wp:posOffset>6600190</wp:posOffset>
                </wp:positionH>
                <wp:positionV relativeFrom="paragraph">
                  <wp:posOffset>2946400</wp:posOffset>
                </wp:positionV>
                <wp:extent cx="516890" cy="132080"/>
                <wp:effectExtent l="12700" t="30480" r="29210" b="40640"/>
                <wp:wrapNone/>
                <wp:docPr id="20" name="箭头: 右 21"/>
                <wp:cNvGraphicFramePr/>
                <a:graphic xmlns:a="http://schemas.openxmlformats.org/drawingml/2006/main">
                  <a:graphicData uri="http://schemas.microsoft.com/office/word/2010/wordprocessingShape">
                    <wps:wsp>
                      <wps:cNvSpPr/>
                      <wps:spPr>
                        <a:xfrm>
                          <a:off x="0" y="0"/>
                          <a:ext cx="516890" cy="132080"/>
                        </a:xfrm>
                        <a:prstGeom prst="rightArrow">
                          <a:avLst>
                            <a:gd name="adj1" fmla="val 50000"/>
                            <a:gd name="adj2" fmla="val 50005"/>
                          </a:avLst>
                        </a:prstGeom>
                        <a:solidFill>
                          <a:srgbClr val="4F81BD"/>
                        </a:solidFill>
                        <a:ln w="25400" cap="flat" cmpd="sng">
                          <a:solidFill>
                            <a:srgbClr val="243F60"/>
                          </a:solidFill>
                          <a:prstDash val="solid"/>
                          <a:miter/>
                          <a:headEnd type="none" w="med" len="med"/>
                          <a:tailEnd type="none" w="med" len="med"/>
                        </a:ln>
                      </wps:spPr>
                      <wps:bodyPr wrap="square" anchor="ctr" upright="1"/>
                    </wps:wsp>
                  </a:graphicData>
                </a:graphic>
              </wp:anchor>
            </w:drawing>
          </mc:Choice>
          <mc:Fallback>
            <w:pict>
              <v:shape id="箭头: 右 21" o:spid="_x0000_s1026" o:spt="13" type="#_x0000_t13" style="position:absolute;left:0pt;margin-left:519.7pt;margin-top:232pt;height:10.4pt;width:40.7pt;z-index:251676672;v-text-anchor:middle;mso-width-relative:page;mso-height-relative:page;" fillcolor="#4F81BD" filled="t" stroked="t" coordsize="21600,21600" o:gfxdata="UEsFBgAAAAAAAAAAAAAAAAAAAAAAAFBLAwQKAAAAAACHTuJAAAAAAAAAAAAAAAAABAAAAGRycy9Q&#10;SwMEFAAAAAgAh07iQMMICdjbAAAADQEAAA8AAABkcnMvZG93bnJldi54bWxNj81OwzAQhO9IvIO1&#10;SNyonTYqaYhTofIrcagolbi68ZJExOsQu2n79mxPcJzZT7MzxfLoOjHiEFpPGpKJAoFUedtSrWH7&#10;8XSTgQjRkDWdJ9RwwgDL8vKiMLn1B3rHcRNrwSEUcqOhibHPpQxVg86Eie+R+PblB2ciy6GWdjAH&#10;DnednCo1l860xB8a0+Oqwep7s3ca1skq8e71tL5/aR9+HsfPt+dZvNX6+ipRdyAiHuMfDOf6XB1K&#10;7rTze7JBdKzVbJEyqyGdp7zqjCRTxXN2bGVpBrIs5P8V5S9QSwMEFAAAAAgAh07iQIAuwxo8AgAA&#10;lwQAAA4AAABkcnMvZTJvRG9jLnhtbK1US5LTMBDdU8UdVNoTfyZJBVecKSCEDQVTNXAARZJjUfoh&#10;KXFyCi7BFjZwpSmuQUv2ZJKwyQIv5JbVet3vdbfnt3sl0Y47L4yucTHKMeKaGib0psafP61ezDDy&#10;gWhGpNG8xgfu8e3i+bN5ZytemtZIxh0CEO2rzta4DcFWWeZpyxXxI2O5hsPGOEUCbN0mY450gK5k&#10;Vub5NOuMY9YZyr2Hr8v+EA+I7hpA0zSC8qWhW8V16FEdlyQAJd8K6/EiZds0nIaPTeN5QLLGwDSk&#10;FYKAvY5rtpiTauOIbQUdUiDXpHDBSRGhIegRakkCQVsn/oFSgjrjTRNG1KisJ5IUARZFfqHNfUss&#10;T1xAam+Povv/B0s/7O4cEqzGJUiiiYKK//n54+H77wo9fPuFyiJK1Flfgee9vXPDzoMZ+e4bp+Ib&#10;mKB9kvVwlJXvA6LwcVJMZy8BncJRcVPmsyR79nTZOh/ecaNQNGrsxKYNr5wzXZKU7N77kLRlQ4KE&#10;fSkwapSEUu2IRJMcnqGUJz7lpc8k+kDcARGsx8gR3hsp2EpImTZus34jHQL4Go9Xs+L1crh85iY1&#10;6kC6yRjiI0pgHBpoQzCVBUm93iQGZ1f8KXI5vllNH+U4c4uZLYlv+wzSUc9QicBdatuWE/ZWMxQO&#10;FqqmYVpxzEZxhpHkMNzRSp6BCHmNJygiNUgU691XOFprww7QJB1MCXD6uiUOAhFNWwODRIPDaGtT&#10;zaC8SaR4Cfo1aT3MVhyI030K8vQ/Wfw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wwgJ2NsAAAAN&#10;AQAADwAAAAAAAAABACAAAAA4AAAAZHJzL2Rvd25yZXYueG1sUEsBAhQAFAAAAAgAh07iQIAuwxo8&#10;AgAAlwQAAA4AAAAAAAAAAQAgAAAAQAEAAGRycy9lMm9Eb2MueG1sUEsFBgAAAAAGAAYAWQEAAO4F&#10;AAAAAA==&#10;" adj="18841,5400">
                <v:fill on="t" focussize="0,0"/>
                <v:stroke weight="2pt" color="#243F60" joinstyle="miter"/>
                <v:imagedata o:title=""/>
                <o:lock v:ext="edit" aspectratio="f"/>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6647180</wp:posOffset>
                </wp:positionH>
                <wp:positionV relativeFrom="paragraph">
                  <wp:posOffset>1465580</wp:posOffset>
                </wp:positionV>
                <wp:extent cx="493395" cy="116205"/>
                <wp:effectExtent l="12700" t="30480" r="27305" b="31115"/>
                <wp:wrapNone/>
                <wp:docPr id="18" name="箭头: 右 19"/>
                <wp:cNvGraphicFramePr/>
                <a:graphic xmlns:a="http://schemas.openxmlformats.org/drawingml/2006/main">
                  <a:graphicData uri="http://schemas.microsoft.com/office/word/2010/wordprocessingShape">
                    <wps:wsp>
                      <wps:cNvSpPr/>
                      <wps:spPr>
                        <a:xfrm>
                          <a:off x="0" y="0"/>
                          <a:ext cx="493395" cy="116205"/>
                        </a:xfrm>
                        <a:prstGeom prst="rightArrow">
                          <a:avLst>
                            <a:gd name="adj1" fmla="val 50000"/>
                            <a:gd name="adj2" fmla="val 49987"/>
                          </a:avLst>
                        </a:prstGeom>
                        <a:solidFill>
                          <a:srgbClr val="4F81BD"/>
                        </a:solidFill>
                        <a:ln w="25400" cap="flat" cmpd="sng">
                          <a:solidFill>
                            <a:srgbClr val="243F60"/>
                          </a:solidFill>
                          <a:prstDash val="solid"/>
                          <a:miter/>
                          <a:headEnd type="none" w="med" len="med"/>
                          <a:tailEnd type="none" w="med" len="med"/>
                        </a:ln>
                      </wps:spPr>
                      <wps:bodyPr wrap="square" anchor="ctr" upright="1"/>
                    </wps:wsp>
                  </a:graphicData>
                </a:graphic>
              </wp:anchor>
            </w:drawing>
          </mc:Choice>
          <mc:Fallback>
            <w:pict>
              <v:shape id="箭头: 右 19" o:spid="_x0000_s1026" o:spt="13" type="#_x0000_t13" style="position:absolute;left:0pt;margin-left:523.4pt;margin-top:115.4pt;height:9.15pt;width:38.85pt;z-index:251675648;v-text-anchor:middle;mso-width-relative:page;mso-height-relative:page;" fillcolor="#4F81BD" filled="t" stroked="t" coordsize="21600,21600" o:gfxdata="UEsFBgAAAAAAAAAAAAAAAAAAAAAAAFBLAwQKAAAAAACHTuJAAAAAAAAAAAAAAAAABAAAAGRycy9Q&#10;SwMEFAAAAAgAh07iQCUhQkrYAAAADQEAAA8AAABkcnMvZG93bnJldi54bWxNjzFPwzAQhXck/oN1&#10;SGzUTghRSeN0QDAytBSyOvGRRI3PUey05d9znWC7d/f07nvl9uJGccI5DJ40JCsFAqn1dqBOw+Hj&#10;7WENIkRD1oyeUMMPBthWtzelKaw/0w5P+9gJDqFQGA19jFMhZWh7dCas/ITEt28/OxNZzp20szlz&#10;uBtlqlQunRmIP/Rmwpce2+N+cRpel6+6PeQNhfcduWldp6b+dFrf3yVqAyLiJf6Z4YrP6FAxU+MX&#10;skGMrFWWM3vUkD4qHq6WJM2eQDS8yp4TkFUp/7eofgFQSwMEFAAAAAgAh07iQCz7RbBBAgAAlwQA&#10;AA4AAABkcnMvZTJvRG9jLnhtbK1US44TMRDdI3EHy3vSn3xIonRGQAgbBCMNHMCx3Wkj/7CddHIK&#10;LsGW2cCVRlyDsrvJJMMmC7LolNvlV/Xec/Xi5qAk2nPnhdEVLgY5RlxTw4TeVvjzp/WLKUY+EM2I&#10;NJpX+Mg9vlk+f7Zo7ZyXpjGScYcARPt5ayvchGDnWeZpwxXxA2O5hs3aOEUCLN02Y460gK5kVub5&#10;JGuNY9YZyr2Ht6tuE/eI7hpAU9eC8pWhO8V16FAdlyQAJd8I6/EydVvXnIaPde15QLLCwDSkJxSB&#10;eBOf2XJB5ltHbCNo3wK5poUnnBQRGoqeoFYkELRz4h8oJagz3tRhQI3KOiJJEWBR5E+0uWuI5YkL&#10;SO3tSXT//2Dph/2tQ4LBTQDfNVHg+O/7Hw/ff83Rw7efqJhFiVrr55B5Z29dv/IQRr6H2qn4D0zQ&#10;Icl6PMnKDwFReDmaDYezMUYUtopiUubjiJk9HrbOh3fcKBSDCjuxbcIr50ybJCX79z4kbVnfIGFf&#10;CoxqJcGqPZFonMOvt/IspzzPGc1m05d93R4ROvhbOcJ7IwVbCynTwm03b6RDAA8E1tPi9ao/fJEm&#10;NWorXI5HUB9RAuNQwzWEUFmQ1OttYnBxxJ8jl6PhepJah2Yu0mJnK+KbroO01TFUInCXrm3DCXur&#10;GQpHC65pmFYcu1GcYSQ5DHeMUmYgQl6TCU1IDdZEvzuHY7Qx7AiXpIUpAU5fd8RBIaJpY2CQaHAY&#10;7WzyDOxNIsVDcF+Tx/1sxYE4X6cij9+T5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AlIUJK2AAA&#10;AA0BAAAPAAAAAAAAAAEAIAAAADgAAABkcnMvZG93bnJldi54bWxQSwECFAAUAAAACACHTuJALPtF&#10;sEECAACXBAAADgAAAAAAAAABACAAAAA9AQAAZHJzL2Uyb0RvYy54bWxQSwUGAAAAAAYABgBZAQAA&#10;8AUAAAAA&#10;" adj="19058,5400">
                <v:fill on="t" focussize="0,0"/>
                <v:stroke weight="2pt" color="#243F60" joinstyle="miter"/>
                <v:imagedata o:title=""/>
                <o:lock v:ext="edit" aspectratio="f"/>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3848735</wp:posOffset>
                </wp:positionH>
                <wp:positionV relativeFrom="paragraph">
                  <wp:posOffset>1279525</wp:posOffset>
                </wp:positionV>
                <wp:extent cx="2703195" cy="651510"/>
                <wp:effectExtent l="4445" t="4445" r="10160" b="17145"/>
                <wp:wrapNone/>
                <wp:docPr id="6" name="文本框 7"/>
                <wp:cNvGraphicFramePr/>
                <a:graphic xmlns:a="http://schemas.openxmlformats.org/drawingml/2006/main">
                  <a:graphicData uri="http://schemas.microsoft.com/office/word/2010/wordprocessingShape">
                    <wps:wsp>
                      <wps:cNvSpPr txBox="1"/>
                      <wps:spPr>
                        <a:xfrm>
                          <a:off x="0" y="0"/>
                          <a:ext cx="2703195" cy="651510"/>
                        </a:xfrm>
                        <a:prstGeom prst="rect">
                          <a:avLst/>
                        </a:prstGeom>
                        <a:solidFill>
                          <a:srgbClr val="FFFFFF"/>
                        </a:solidFill>
                        <a:ln w="6350" cap="flat" cmpd="sng">
                          <a:solidFill>
                            <a:srgbClr val="000000"/>
                          </a:solidFill>
                          <a:prstDash val="solid"/>
                          <a:miter/>
                          <a:headEnd type="none" w="med" len="med"/>
                          <a:tailEnd type="none" w="med" len="med"/>
                        </a:ln>
                      </wps:spPr>
                      <wps:txbx>
                        <w:txbxContent>
                          <w:p>
                            <w:r>
                              <w:rPr>
                                <w:rFonts w:hint="eastAsia"/>
                              </w:rPr>
                              <w:t>旗生态环境局（对涉及旗生态环境局的相关材料进行审核）</w:t>
                            </w:r>
                          </w:p>
                        </w:txbxContent>
                      </wps:txbx>
                      <wps:bodyPr wrap="square" anchor="t" upright="1"/>
                    </wps:wsp>
                  </a:graphicData>
                </a:graphic>
              </wp:anchor>
            </w:drawing>
          </mc:Choice>
          <mc:Fallback>
            <w:pict>
              <v:shape id="文本框 7" o:spid="_x0000_s1026" o:spt="202" type="#_x0000_t202" style="position:absolute;left:0pt;margin-left:303.05pt;margin-top:100.75pt;height:51.3pt;width:212.85pt;z-index:251664384;mso-width-relative:page;mso-height-relative:page;" fillcolor="#FFFFFF" filled="t" stroked="t" coordsize="21600,21600" o:gfxdata="UEsFBgAAAAAAAAAAAAAAAAAAAAAAAFBLAwQKAAAAAACHTuJAAAAAAAAAAAAAAAAABAAAAGRycy9Q&#10;SwMEFAAAAAgAh07iQFsoDvvWAAAADAEAAA8AAABkcnMvZG93bnJldi54bWxNj0FLxDAQhe+C/yGM&#10;4M1N0mqR2umCgiDeXHvxlm1m22IyKU12u/57syc9DvPx3vea7dk7caIlToER9EaBIO6DnXhA6D5f&#10;7x5BxGTYGheYEH4owra9vmpMbcPKH3TapUHkEI61QRhTmmspYz+SN3ETZuL8O4TFm5TPZZB2MWsO&#10;904WSlXSm4lzw2hmehmp/94dPcJb9Zy+qLPvtizKsHayXw4uIt7eaPUEItE5/cFw0c/q0GanfTiy&#10;jcIhVKrSGUUolH4AcSFUqfOaPUKp7jXItpH/R7S/UEsDBBQAAAAIAIdO4kD12q6pHgIAAE8EAAAO&#10;AAAAZHJzL2Uyb0RvYy54bWytVEuOEzEQ3SNxB8t70p2MkoFWOiNBCBsESAMHcNzutCX/sJ105wJw&#10;A1Zs2HOunINnJ5P5wCILvHCX7fKreq/KPb8ZtCI74YO0pqbjUUmJMNw20mxq+uXz6sVLSkJkpmHK&#10;GlHTvQj0ZvH82bx3lZjYzqpGeAIQE6re1bSL0VVFEXgnNAsj64TBYWu9ZhFLvykaz3qga1VMynJW&#10;9NY3zlsuQsDu8nhIT4j+EkDbtpKLpeVbLUw8onqhWASl0EkX6CJn27aCx49tG0QkqqZgGvOMILDX&#10;aS4Wc1ZtPHOd5KcU2CUpPOGkmTQIeoZassjI1su/oLTk3gbbxhG3ujgSyYqAxbh8os1tx5zIXCB1&#10;cGfRw/+D5R92nzyRTU1nlBimUfDDj++Hn78Pv76R6yRP70IFr1sHvzi8tgOa5m4/YDOxHlqv0xd8&#10;CM4h7v4srhgi4dicXJdX41dTSjjOZtPxdJzVL+5vOx/iO2E1SUZNPYqXNWW79yEiE7jeuaRgwSrZ&#10;rKRSeeE36zfKkx1DoVd5pCRx5ZGbMqRH9KspUuQM3duia2BqBwWC2eR4j26Eh8BlHv8CToktWeiO&#10;CWSE5MYqLaPw2eoEa96ahsS9g8oGj4umZLRoKFECbzFZ2TMyqS7xBDtlQDKV6FiKZMVhPQAmmWvb&#10;7FG2Hv0Nel+3zCMmM7yzeALgvXVebjponSuacdBnWbbTm0iN/HCdo93/Bx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BYAAABkcnMvUEsB&#10;AhQAFAAAAAgAh07iQFsoDvvWAAAADAEAAA8AAAAAAAAAAQAgAAAAOAAAAGRycy9kb3ducmV2Lnht&#10;bFBLAQIUABQAAAAIAIdO4kD12q6pHgIAAE8EAAAOAAAAAAAAAAEAIAAAADsBAABkcnMvZTJvRG9j&#10;LnhtbFBLBQYAAAAABgAGAFkBAADLBQAAAAA=&#10;">
                <v:fill on="t" focussize="0,0"/>
                <v:stroke weight="0.5pt" color="#000000" joinstyle="miter"/>
                <v:imagedata o:title=""/>
                <o:lock v:ext="edit" aspectratio="f"/>
                <v:textbox>
                  <w:txbxContent>
                    <w:p>
                      <w:r>
                        <w:rPr>
                          <w:rFonts w:hint="eastAsia"/>
                        </w:rPr>
                        <w:t>旗生态环境局（对涉及旗生态环境局的相关材料进行审核）</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3250565</wp:posOffset>
                </wp:positionH>
                <wp:positionV relativeFrom="paragraph">
                  <wp:posOffset>1515745</wp:posOffset>
                </wp:positionV>
                <wp:extent cx="508635" cy="147955"/>
                <wp:effectExtent l="12700" t="30480" r="24765" b="37465"/>
                <wp:wrapNone/>
                <wp:docPr id="7" name="箭头: 右 8"/>
                <wp:cNvGraphicFramePr/>
                <a:graphic xmlns:a="http://schemas.openxmlformats.org/drawingml/2006/main">
                  <a:graphicData uri="http://schemas.microsoft.com/office/word/2010/wordprocessingShape">
                    <wps:wsp>
                      <wps:cNvSpPr/>
                      <wps:spPr>
                        <a:xfrm>
                          <a:off x="0" y="0"/>
                          <a:ext cx="508635" cy="147955"/>
                        </a:xfrm>
                        <a:prstGeom prst="rightArrow">
                          <a:avLst>
                            <a:gd name="adj1" fmla="val 50000"/>
                            <a:gd name="adj2" fmla="val 50022"/>
                          </a:avLst>
                        </a:prstGeom>
                        <a:solidFill>
                          <a:srgbClr val="4F81BD"/>
                        </a:solidFill>
                        <a:ln w="25400" cap="flat" cmpd="sng">
                          <a:solidFill>
                            <a:srgbClr val="243F60"/>
                          </a:solidFill>
                          <a:prstDash val="solid"/>
                          <a:miter/>
                          <a:headEnd type="none" w="med" len="med"/>
                          <a:tailEnd type="none" w="med" len="med"/>
                        </a:ln>
                      </wps:spPr>
                      <wps:txbx>
                        <w:txbxContent>
                          <w:p/>
                        </w:txbxContent>
                      </wps:txbx>
                      <wps:bodyPr wrap="square" anchor="ctr" upright="1"/>
                    </wps:wsp>
                  </a:graphicData>
                </a:graphic>
              </wp:anchor>
            </w:drawing>
          </mc:Choice>
          <mc:Fallback>
            <w:pict>
              <v:shape id="箭头: 右 8" o:spid="_x0000_s1026" o:spt="13" type="#_x0000_t13" style="position:absolute;left:0pt;margin-left:255.95pt;margin-top:119.35pt;height:11.65pt;width:40.05pt;z-index:251665408;v-text-anchor:middle;mso-width-relative:page;mso-height-relative:page;" fillcolor="#4F81BD" filled="t" stroked="t" coordsize="21600,21600" o:gfxdata="UEsFBgAAAAAAAAAAAAAAAAAAAAAAAFBLAwQKAAAAAACHTuJAAAAAAAAAAAAAAAAABAAAAGRycy9Q&#10;SwMEFAAAAAgAh07iQGT61ADZAAAACwEAAA8AAABkcnMvZG93bnJldi54bWxNj81OwzAQhO9IvIO1&#10;SNyok5T+JI1TiUpwpRQkrk68jaPG6yh20/L2LCd6290ZzX5Tbq+uFxOOofOkIJ0lIJAabzpqFXx9&#10;vj6tQYSoyejeEyr4wQDb6v6u1IXxF/rA6RBbwSEUCq3AxjgUUobGotNh5gck1o5+dDryOrbSjPrC&#10;4a6XWZIspdMd8QerB9xZbE6Hs1OQfdtTbPZvbTcP++klX73v6udJqceHNNmAiHiN/2b4w2d0qJip&#10;9mcyQfQKFmmas5XD5usVCHYs8ozb1XxZ8iCrUt52qH4BUEsDBBQAAAAIAIdO4kAfA8KJRAIAAKAE&#10;AAAOAAAAZHJzL2Uyb0RvYy54bWytVEuS0zAQ3VPFHVTaEyeeeCa44kwBIWwomKqBAyiSbIvSD0mJ&#10;nVNwCbbMBq40xTVoKSaThE0WZOG0rNbrfu+pPb/tlURb7rwwusKT0RgjrqlhQjcV/vxp9WKGkQ9E&#10;MyKN5hXecY9vF8+fzTtb8ty0RjLuEIBoX3a2wm0ItswyT1uuiB8ZyzVs1sYpEmDpmow50gG6klk+&#10;Hl9nnXHMOkO59/B2ud/EA6K7BNDUtaB8aehGcR32qI5LEoCSb4X1eJG6rWtOw8e69jwgWWFgGtIT&#10;ikC8js9sMSdl44htBR1aIJe0cMZJEaGh6AFqSQJBGyf+gVKCOuNNHUbUqGxPJCkCLCbjM23uW2J5&#10;4gJSe3sQ3f8/WPphe+eQYBW+wUgTBYb/fvjx+P1XiR6//USzKFBnfQl59/bODSsPYWTb107Ff+CB&#10;+iTq7iAq7wOi8LIYz66vCowobE2mNy+LImJmT4et8+EdNwrFoMJONG145ZzpkqBk+96HpCwb+iPs&#10;ywSjWkkwakskKsbwG4w8ysnPcvJ8qDsgQgd/K0d4b6RgKyFlWrhm/UY6BPAVnq5mk9fL4fBJmtSo&#10;q3BeTKE+ogSGoYZLCKGyIKjXTWJwcsQfI+fTq9V1ah2aOUmLnS2Jb/cdpK09QyUCd+nStpywt5qh&#10;sLNgmoZZxbEbxRlGksNoxyhlBiLkJZnQhNRgTfR773CMQr/uB9vXhu3gtnQwLkDv64Y4qEk0bQ1M&#10;FA0Oo41N9oHTSa94Hi5usnsYsjgZx+tU7+nDsvg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FgAAAGRycy9QSwECFAAUAAAACACHTuJAZPrU&#10;ANkAAAALAQAADwAAAAAAAAABACAAAAA4AAAAZHJzL2Rvd25yZXYueG1sUEsBAhQAFAAAAAgAh07i&#10;QB8DwolEAgAAoAQAAA4AAAAAAAAAAQAgAAAAPgEAAGRycy9lMm9Eb2MueG1sUEsFBgAAAAAGAAYA&#10;WQEAAPQFAAAAAA==&#10;" adj="18458,5400">
                <v:fill on="t" focussize="0,0"/>
                <v:stroke weight="2pt" color="#243F60" joinstyle="miter"/>
                <v:imagedata o:title=""/>
                <o:lock v:ext="edit" aspectratio="f"/>
                <v:textbox>
                  <w:txbxContent>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3817620</wp:posOffset>
                </wp:positionH>
                <wp:positionV relativeFrom="paragraph">
                  <wp:posOffset>2663190</wp:posOffset>
                </wp:positionV>
                <wp:extent cx="2718435" cy="659130"/>
                <wp:effectExtent l="4445" t="4445" r="7620" b="9525"/>
                <wp:wrapNone/>
                <wp:docPr id="11" name="文本框 12"/>
                <wp:cNvGraphicFramePr/>
                <a:graphic xmlns:a="http://schemas.openxmlformats.org/drawingml/2006/main">
                  <a:graphicData uri="http://schemas.microsoft.com/office/word/2010/wordprocessingShape">
                    <wps:wsp>
                      <wps:cNvSpPr txBox="1"/>
                      <wps:spPr>
                        <a:xfrm>
                          <a:off x="0" y="0"/>
                          <a:ext cx="2718435" cy="659130"/>
                        </a:xfrm>
                        <a:prstGeom prst="rect">
                          <a:avLst/>
                        </a:prstGeom>
                        <a:solidFill>
                          <a:srgbClr val="FFFFFF"/>
                        </a:solidFill>
                        <a:ln w="6350" cap="flat" cmpd="sng">
                          <a:solidFill>
                            <a:srgbClr val="000000"/>
                          </a:solidFill>
                          <a:prstDash val="solid"/>
                          <a:miter/>
                          <a:headEnd type="none" w="med" len="med"/>
                          <a:tailEnd type="none" w="med" len="med"/>
                        </a:ln>
                      </wps:spPr>
                      <wps:txbx>
                        <w:txbxContent>
                          <w:p>
                            <w:r>
                              <w:rPr>
                                <w:rFonts w:hint="eastAsia"/>
                              </w:rPr>
                              <w:t>旗林业和草原局（对涉及旗林业和草原局的相关材料进行审核）</w:t>
                            </w:r>
                          </w:p>
                        </w:txbxContent>
                      </wps:txbx>
                      <wps:bodyPr wrap="square" anchor="t" upright="1"/>
                    </wps:wsp>
                  </a:graphicData>
                </a:graphic>
              </wp:anchor>
            </w:drawing>
          </mc:Choice>
          <mc:Fallback>
            <w:pict>
              <v:shape id="文本框 12" o:spid="_x0000_s1026" o:spt="202" type="#_x0000_t202" style="position:absolute;left:0pt;margin-left:300.6pt;margin-top:209.7pt;height:51.9pt;width:214.05pt;z-index:251669504;mso-width-relative:page;mso-height-relative:page;" fillcolor="#FFFFFF" filled="t" stroked="t" coordsize="21600,21600" o:gfxdata="UEsFBgAAAAAAAAAAAAAAAAAAAAAAAFBLAwQKAAAAAACHTuJAAAAAAAAAAAAAAAAABAAAAGRycy9Q&#10;SwMEFAAAAAgAh07iQGlQj5/YAAAADAEAAA8AAABkcnMvZG93bnJldi54bWxNj8tOwzAQRfdI/IM1&#10;SOyoHadENGRSCSQkxI42G3ZuPE0i/Ihstyl/j7uC5ege3Xum2V6sYWcKcfIOoVgJYOR6ryc3IHT7&#10;t4cnYDEpp5XxjhB+KMK2vb1pVK394j7pvEsDyyUu1gphTGmuOY/9SFbFlZ/J5ezog1Upn2HgOqgl&#10;l1vDpRAVt2pyeWFUM72O1H/vThbhvXpJX9TpD13K0i8d78PRRMT7u0I8A0t0SX8wXPWzOrTZ6eBP&#10;TkdmECpRyIwirIvNGtiVEHJTAjsgPMpSAm8b/v+J9hdQSwMEFAAAAAgAh07iQBAUmUUfAgAAUQQA&#10;AA4AAABkcnMvZTJvRG9jLnhtbK1US44TMRDdI3EHy3um0wkZhlaSkSCEDQKkgQM4bne3Jf+wnXTn&#10;AnADVmzYz7lyDp6dTOYDiyzwwl22y6/qvSr37HrQimyFD9KaOS0vRpQIw20tTTunX7+sXlxREiIz&#10;NVPWiDndiUCvF8+fzXpXibHtrKqFJwAxoerdnHYxuqooAu+EZuHCOmFw2FivWcTSt0XtWQ90rYrx&#10;aHRZ9NbXzlsuQsDu8nBIj4j+HEDbNJKLpeUbLUw8oHqhWASl0EkX6CJn2zSCx09NE0Qkak7BNOYZ&#10;QWCv01wsZqxqPXOd5McU2DkpPOGkmTQIeoJassjIxsu/oLTk3gbbxAtudXEgkhUBi3L0RJubjjmR&#10;uUDq4E6ih/8Hyz9uP3sia3RCSYlhGhXf//yx/3W7//2dlOMkUO9CBb8bB884vLEDnO/2AzYT76Hx&#10;On3BiOAc8u5O8oohEo7N8avy6uVkSgnH2eX0dTnJ+hf3t50P8b2wmiRjTj3Kl1Vl2w8hIhO43rmk&#10;YMEqWa+kUnnh2/Vb5cmWodSrPFKSuPLITRnSI/pkihQ5Q/826BuY2kGDYNoc79GN8BB4lMe/gFNi&#10;Sxa6QwIZIbmxSssofLY6wep3piZx5yCzwfOiKRktakqUwGtMVvaMTKpzPMFOGZBMJTqUIllxWA+A&#10;Seba1juUrUeHg963DfOIyQzvLB4BeG+cl20HrXNFMw46Lct2fBWplR+uc7T7P8Hi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BYAAABkcnMv&#10;UEsBAhQAFAAAAAgAh07iQGlQj5/YAAAADAEAAA8AAAAAAAAAAQAgAAAAOAAAAGRycy9kb3ducmV2&#10;LnhtbFBLAQIUABQAAAAIAIdO4kAQFJlFHwIAAFEEAAAOAAAAAAAAAAEAIAAAAD0BAABkcnMvZTJv&#10;RG9jLnhtbFBLBQYAAAAABgAGAFkBAADOBQAAAAA=&#10;">
                <v:fill on="t" focussize="0,0"/>
                <v:stroke weight="0.5pt" color="#000000" joinstyle="miter"/>
                <v:imagedata o:title=""/>
                <o:lock v:ext="edit" aspectratio="f"/>
                <v:textbox>
                  <w:txbxContent>
                    <w:p>
                      <w:r>
                        <w:rPr>
                          <w:rFonts w:hint="eastAsia"/>
                        </w:rPr>
                        <w:t>旗林业和草原局（对涉及旗林业和草原局的相关材料进行审核）</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3225800</wp:posOffset>
                </wp:positionH>
                <wp:positionV relativeFrom="paragraph">
                  <wp:posOffset>2855595</wp:posOffset>
                </wp:positionV>
                <wp:extent cx="476885" cy="155575"/>
                <wp:effectExtent l="12700" t="30480" r="18415" b="42545"/>
                <wp:wrapNone/>
                <wp:docPr id="14" name="箭头: 右 15"/>
                <wp:cNvGraphicFramePr/>
                <a:graphic xmlns:a="http://schemas.openxmlformats.org/drawingml/2006/main">
                  <a:graphicData uri="http://schemas.microsoft.com/office/word/2010/wordprocessingShape">
                    <wps:wsp>
                      <wps:cNvSpPr/>
                      <wps:spPr>
                        <a:xfrm>
                          <a:off x="0" y="0"/>
                          <a:ext cx="476885" cy="155575"/>
                        </a:xfrm>
                        <a:prstGeom prst="rightArrow">
                          <a:avLst>
                            <a:gd name="adj1" fmla="val 50000"/>
                            <a:gd name="adj2" fmla="val 50123"/>
                          </a:avLst>
                        </a:prstGeom>
                        <a:solidFill>
                          <a:srgbClr val="4F81BD"/>
                        </a:solidFill>
                        <a:ln w="25400" cap="flat" cmpd="sng">
                          <a:solidFill>
                            <a:srgbClr val="243F60"/>
                          </a:solidFill>
                          <a:prstDash val="solid"/>
                          <a:miter/>
                          <a:headEnd type="none" w="med" len="med"/>
                          <a:tailEnd type="none" w="med" len="med"/>
                        </a:ln>
                      </wps:spPr>
                      <wps:bodyPr wrap="square" anchor="ctr" upright="1"/>
                    </wps:wsp>
                  </a:graphicData>
                </a:graphic>
              </wp:anchor>
            </w:drawing>
          </mc:Choice>
          <mc:Fallback>
            <w:pict>
              <v:shape id="箭头: 右 15" o:spid="_x0000_s1026" o:spt="13" type="#_x0000_t13" style="position:absolute;left:0pt;margin-left:254pt;margin-top:224.85pt;height:12.25pt;width:37.55pt;z-index:251672576;v-text-anchor:middle;mso-width-relative:page;mso-height-relative:page;" fillcolor="#4F81BD" filled="t" stroked="t" coordsize="21600,21600" o:gfxdata="UEsFBgAAAAAAAAAAAAAAAAAAAAAAAFBLAwQKAAAAAACHTuJAAAAAAAAAAAAAAAAABAAAAGRycy9Q&#10;SwMEFAAAAAgAh07iQBgB/1DdAAAACwEAAA8AAABkcnMvZG93bnJldi54bWxNj81OwzAQhO9IvIO1&#10;SNyonZKSEOJUAgkqUQlKKBJHN1mSiHgdYvcHnp7lRI87O5r5Jp8fbC92OPrOkYZookAgVa7uqNGw&#10;fr2/SEH4YKg2vSPU8I0e5sXpSW6y2u3pBXdlaASHkM+MhjaEIZPSVy1a4yduQOLfhxutCXyOjaxH&#10;s+dw28upUlfSmo64oTUD3rVYfZZbyyVP0c96tbQLKrvbd7lIHh+e3760Pj+L1A2IgIfwb4Y/fEaH&#10;gpk2bku1F72GmUp5S9AQx9cJCHbM0ssIxIaVJJ6CLHJ5vKH4BVBLAwQUAAAACACHTuJAy+IuC0AC&#10;AACXBAAADgAAAGRycy9lMm9Eb2MueG1srVRLktMwEN1TxR1U2hPHnngm5YozBYSwoWCqBg6gSLIt&#10;Sj8kJU5OwSXYwgauNMU1aMkmkwybLMjCaVmt1++9Vntxu1cS7bjzwuga55MpRlxTw4Rua/zp4/rF&#10;HCMfiGZEGs1rfOAe3y6fP1v0tuKF6Yxk3CEA0b7qbY27EGyVZZ52XBE/MZZr2GyMUyTA0rUZc6QH&#10;dCWzYjq9znrjmHWGcu/h7WrYxCOiuwTQNI2gfGXoVnEdBlTHJQkgyXfCerxMbJuG0/ChaTwPSNYY&#10;lIb0hCIQb+IzWy5I1TpiO0FHCuQSCk80KSI0FD1CrUggaOvEP1BKUGe8acKEGpUNQpIjoCKfPvHm&#10;viOWJy1gtbdH0/3/g6Xvd3cOCQY3YYaRJgo6/vvH94dvvyr08PUnystoUW99BZn39s6NKw9h1Ltv&#10;nIr/oATtk62Ho618HxCFl7Ob6/m8xIjCVl6W5U3CzB4PW+fDW24UikGNnWi78NI50ydLye6dD8lb&#10;NhIk7HOOUaMktGpHJCqn8BtbeZJTnOfkxVXMgbojIkR/K0d4b6RgayFlWrh281o6BPAgYD3PX63G&#10;w2dpUqO+xkU5g/qIEhiHBq4hhMqCpV63ScHZEX+KXMyu1teJOpA5S4vMVsR3A4O0NShUInCXrm3H&#10;CXujGQoHC13TMK04slGcYSQ5DHeMUmYgQl6SCSSkBotiv4cOx2hj2AEuSQ9TApq+bImDQkTTzsAg&#10;0eAw2trUM2hvMikegvuavB5nKw7E6ToVefyeLP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FgAAAGRycy9QSwECFAAUAAAACACHTuJAGAH/&#10;UN0AAAALAQAADwAAAAAAAAABACAAAAA4AAAAZHJzL2Rvd25yZXYueG1sUEsBAhQAFAAAAAgAh07i&#10;QMviLgtAAgAAlwQAAA4AAAAAAAAAAQAgAAAAQgEAAGRycy9lMm9Eb2MueG1sUEsFBgAAAAAGAAYA&#10;WQEAAPQFAAAAAA==&#10;" adj="18069,5400">
                <v:fill on="t" focussize="0,0"/>
                <v:stroke weight="2pt" color="#243F60" joinstyle="miter"/>
                <v:imagedata o:title=""/>
                <o:lock v:ext="edit" aspectratio="f"/>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3266440</wp:posOffset>
                </wp:positionH>
                <wp:positionV relativeFrom="paragraph">
                  <wp:posOffset>4090035</wp:posOffset>
                </wp:positionV>
                <wp:extent cx="453390" cy="135255"/>
                <wp:effectExtent l="12700" t="30480" r="29210" b="37465"/>
                <wp:wrapNone/>
                <wp:docPr id="9" name="箭头: 右 10"/>
                <wp:cNvGraphicFramePr/>
                <a:graphic xmlns:a="http://schemas.openxmlformats.org/drawingml/2006/main">
                  <a:graphicData uri="http://schemas.microsoft.com/office/word/2010/wordprocessingShape">
                    <wps:wsp>
                      <wps:cNvSpPr/>
                      <wps:spPr>
                        <a:xfrm>
                          <a:off x="0" y="0"/>
                          <a:ext cx="453390" cy="135255"/>
                        </a:xfrm>
                        <a:prstGeom prst="rightArrow">
                          <a:avLst>
                            <a:gd name="adj1" fmla="val 50000"/>
                            <a:gd name="adj2" fmla="val 49986"/>
                          </a:avLst>
                        </a:prstGeom>
                        <a:solidFill>
                          <a:srgbClr val="4F81BD"/>
                        </a:solidFill>
                        <a:ln w="25400" cap="flat" cmpd="sng">
                          <a:solidFill>
                            <a:srgbClr val="243F60"/>
                          </a:solidFill>
                          <a:prstDash val="solid"/>
                          <a:miter/>
                          <a:headEnd type="none" w="med" len="med"/>
                          <a:tailEnd type="none" w="med" len="med"/>
                        </a:ln>
                      </wps:spPr>
                      <wps:txbx>
                        <w:txbxContent>
                          <w:p/>
                        </w:txbxContent>
                      </wps:txbx>
                      <wps:bodyPr wrap="square" anchor="ctr" upright="1"/>
                    </wps:wsp>
                  </a:graphicData>
                </a:graphic>
              </wp:anchor>
            </w:drawing>
          </mc:Choice>
          <mc:Fallback>
            <w:pict>
              <v:shape id="箭头: 右 10" o:spid="_x0000_s1026" o:spt="13" type="#_x0000_t13" style="position:absolute;left:0pt;margin-left:257.2pt;margin-top:322.05pt;height:10.65pt;width:35.7pt;z-index:251667456;v-text-anchor:middle;mso-width-relative:page;mso-height-relative:page;" fillcolor="#4F81BD" filled="t" stroked="t" coordsize="21600,21600" o:gfxdata="UEsFBgAAAAAAAAAAAAAAAAAAAAAAAFBLAwQKAAAAAACHTuJAAAAAAAAAAAAAAAAABAAAAGRycy9Q&#10;SwMEFAAAAAgAh07iQPUwjNTaAAAACwEAAA8AAABkcnMvZG93bnJldi54bWxNj8tOwzAQRfdI/IM1&#10;SGwqahuctApxqgrEsos+hMTOjd0kEI+j2H39PcOqLGfm6M655eLie3ZyY+wCapBTAcxhHWyHjYbd&#10;9uNpDiwmg9b0AZ2Gq4uwqO7vSlPYcMa1O21SwygEY2E0tCkNBeexbp03cRoGh3Q7hNGbROPYcDua&#10;M4X7nj8LkXNvOqQPrRncW+vqn83Ra5i8LGfr7vv9czW58u3Xqtn5pRRaPz5I8QosuUu6wfCnT+pQ&#10;kdM+HNFG1mvIpFKEasiVksCIyOYZldnTJs8U8Krk/ztUv1BLAwQUAAAACACHTuJAR6HyHEUCAACh&#10;BAAADgAAAGRycy9lMm9Eb2MueG1srVRLktMwEN1TxR1U2hMnTpxKUnGmgBA2FEzVwAEUSbZF6Yek&#10;xM4puARb2MCVprgGLcXkM2yyIAunZbVev/da7eVdpyTac+eF0SUeDYYYcU0NE7ou8aePmxczjHwg&#10;mhFpNC/xgXt8t3r+bNnaBc9NYyTjDgGI9ovWlrgJwS6yzNOGK+IHxnINm5VxigRYujpjjrSArmSW&#10;D4fTrDWOWWco9x7ero+buEd0twCaqhKUrw3dKa7DEdVxSQJI8o2wHq8S26riNHyoKs8DkiUGpSE9&#10;oQjE2/jMVkuyqB2xjaA9BXILhSeaFBEaip6g1iQQtHPiHyglqDPeVGFAjcqOQpIjoGI0fOLNQ0Ms&#10;T1rAam9Ppvv/B0vf7+8dEqzEc4w0UdDw3z++P377tUCPX3+iUXKotX4BiQ/23oFfceUhjHK7yqn4&#10;D0JQl1w9nFzlXUAUXk6K8XgOflPYGo2LvCii69n5sHU+vOVGoRiU2Im6CS+dM21ylOzf+ZCsZT1B&#10;wj6PMKqUhE7tiUTFEH59Jy9y8sucyXw+m/Z1e0Rg8LdyhPdGCrYRUqaFq7evpUMADwI2s9GrdX/4&#10;Kk1q1JY4LyZQH1EC01DBLYRQWXDU6zopuDriL5HzyXgzTdSBzFVaZLYmvjkySFtHhUoE7tKtbThh&#10;bzRD4WChaxqGFUc2ijOMJIfZjlHKDETIWzKBhNTQmnOHYxS6bde3fWvYAa5LC/MC8r7siIOaRNPG&#10;wEjR4DDa2dQ+6HTyK56Hm5va3U9ZHI3Ldap3/rKs/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WAAAAZHJzL1BLAQIUABQAAAAIAIdO4kD1&#10;MIzU2gAAAAsBAAAPAAAAAAAAAAEAIAAAADgAAABkcnMvZG93bnJldi54bWxQSwECFAAUAAAACACH&#10;TuJAR6HyHEUCAAChBAAADgAAAAAAAAABACAAAAA/AQAAZHJzL2Uyb0RvYy54bWxQSwUGAAAAAAYA&#10;BgBZAQAA9gUAAAAA&#10;" adj="18380,5400">
                <v:fill on="t" focussize="0,0"/>
                <v:stroke weight="2pt" color="#243F60" joinstyle="miter"/>
                <v:imagedata o:title=""/>
                <o:lock v:ext="edit" aspectratio="f"/>
                <v:textbox>
                  <w:txbxContent>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2019300</wp:posOffset>
                </wp:positionH>
                <wp:positionV relativeFrom="paragraph">
                  <wp:posOffset>2205355</wp:posOffset>
                </wp:positionV>
                <wp:extent cx="461010" cy="171450"/>
                <wp:effectExtent l="12700" t="26670" r="21590" b="30480"/>
                <wp:wrapNone/>
                <wp:docPr id="4" name="箭头: 右 5"/>
                <wp:cNvGraphicFramePr/>
                <a:graphic xmlns:a="http://schemas.openxmlformats.org/drawingml/2006/main">
                  <a:graphicData uri="http://schemas.microsoft.com/office/word/2010/wordprocessingShape">
                    <wps:wsp>
                      <wps:cNvSpPr/>
                      <wps:spPr>
                        <a:xfrm>
                          <a:off x="0" y="0"/>
                          <a:ext cx="461010" cy="171450"/>
                        </a:xfrm>
                        <a:prstGeom prst="rightArrow">
                          <a:avLst>
                            <a:gd name="adj1" fmla="val 50000"/>
                            <a:gd name="adj2" fmla="val 61670"/>
                          </a:avLst>
                        </a:prstGeom>
                        <a:solidFill>
                          <a:srgbClr val="4F81BD"/>
                        </a:solidFill>
                        <a:ln w="25400" cap="flat" cmpd="sng">
                          <a:solidFill>
                            <a:srgbClr val="243F60"/>
                          </a:solidFill>
                          <a:prstDash val="solid"/>
                          <a:miter/>
                          <a:headEnd type="none" w="med" len="med"/>
                          <a:tailEnd type="none" w="med" len="med"/>
                        </a:ln>
                      </wps:spPr>
                      <wps:txbx>
                        <w:txbxContent>
                          <w:p/>
                        </w:txbxContent>
                      </wps:txbx>
                      <wps:bodyPr wrap="square" anchor="ctr" upright="1"/>
                    </wps:wsp>
                  </a:graphicData>
                </a:graphic>
              </wp:anchor>
            </w:drawing>
          </mc:Choice>
          <mc:Fallback>
            <w:pict>
              <v:shape id="箭头: 右 5" o:spid="_x0000_s1026" o:spt="13" type="#_x0000_t13" style="position:absolute;left:0pt;margin-left:159pt;margin-top:173.65pt;height:13.5pt;width:36.3pt;z-index:251662336;v-text-anchor:middle;mso-width-relative:page;mso-height-relative:page;" fillcolor="#4F81BD" filled="t" stroked="t" coordsize="21600,21600" o:gfxdata="UEsFBgAAAAAAAAAAAAAAAAAAAAAAAFBLAwQKAAAAAACHTuJAAAAAAAAAAAAAAAAABAAAAGRycy9Q&#10;SwMEFAAAAAgAh07iQPjkBvnaAAAACwEAAA8AAABkcnMvZG93bnJldi54bWxNj8FOwzAQRO9I/IO1&#10;SFwQtUOqtIQ4FUKCQw+oBCSubrwkEfY6xE5b/p7lBLcZ7Wj2TbU5eScOOMUhkIZsoUAgtcEO1Gl4&#10;e328XoOIyZA1LhBq+MYIm/r8rDKlDUd6wUOTOsElFEujoU9pLKWMbY/exEUYkfj2ESZvEtupk3Yy&#10;Ry73Tt4oVUhvBuIPvRnxocf2s5m9Brt9x2Y7fmVXYfdczMbeW/e00/ryIlN3IBKe0l8YfvEZHWpm&#10;2oeZbBROQ56teUtisVzlIDiR36oCxJ7FapmDrCv5f0P9A1BLAwQUAAAACACHTuJARqntzkMCAACg&#10;BAAADgAAAGRycy9lMm9Eb2MueG1srVTNkhIxEL5b5TukcneHQWC3phi2VMSLpVu1+gBNkmFi5c8k&#10;MPAUvoRXvegrbfkadsLAwnrhIIehM+l83d/3pWd6u9WKbIQP0pqallcDSoRhlkuzqunnT4sXN5SE&#10;CIaDskbUdCcCvZ09fzbtXCWGtrWKC08QxISqczVtY3RVUQTWCg3hyjphcLOxXkPEpV8V3EOH6FoV&#10;w8FgUnTWc+ctEyHg2/l+k/aI/hJA2zSSibllay1M3KN6oSAipdBKF+gsd9s0gsWPTRNEJKqmyDTm&#10;JxbBeJmexWwK1cqDayXrW4BLWnjCSYM0WPQINYcIZO3lP1BaMm+DbeIVs7rYE8mKIIty8ESb+xac&#10;yFxQ6uCOoof/B8s+bO48kbymI0oMaDT8z88fD99/V+Th2y8yTgJ1LlSYd+/ufL8KGCa228br9I88&#10;yDaLujuKKraRMHw5mpTIjBKGW+V1ORpn0YvHw86H+E5YTVJQUy9XbXzlve2yoLB5H2JWlvf9Af9S&#10;UtJohUZtQJHxAH+9kSc5w9OcSTm5PtTtEbGDQ+UEH6ySfCGVygu/Wr5RniA8EljclK/nqQAeOUtT&#10;hnQ1HY5HWJ8wwGFo8BJiqB0KGswqMzg7Ek6Rh6OXi8mhrbO01NkcQrvvIG/tGWoZRXIBqlYAf2s4&#10;iTuHphmcVZq60YJTogSOdopyZgSpLslEesogy+T33uEUxe1y29u+tHyHt6XDcUF6X9fgsSYY1lqc&#10;KBY9JWuX7UOns17pPF7crFw/ZGkyTte53uOHZfY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FgAAAGRycy9QSwECFAAUAAAACACHTuJA+OQG&#10;+doAAAALAQAADwAAAAAAAAABACAAAAA4AAAAZHJzL2Rvd25yZXYueG1sUEsBAhQAFAAAAAgAh07i&#10;QEap7c5DAgAAoAQAAA4AAAAAAAAAAQAgAAAAPwEAAGRycy9lMm9Eb2MueG1sUEsFBgAAAAAGAAYA&#10;WQEAAPQFAAAAAA==&#10;" adj="16647,5400">
                <v:fill on="t" focussize="0,0"/>
                <v:stroke weight="2pt" color="#243F60" joinstyle="miter"/>
                <v:imagedata o:title=""/>
                <o:lock v:ext="edit" aspectratio="f"/>
                <v:textbox>
                  <w:txbxContent>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747395</wp:posOffset>
                </wp:positionH>
                <wp:positionV relativeFrom="paragraph">
                  <wp:posOffset>2170430</wp:posOffset>
                </wp:positionV>
                <wp:extent cx="453390" cy="191135"/>
                <wp:effectExtent l="12700" t="30480" r="29210" b="32385"/>
                <wp:wrapNone/>
                <wp:docPr id="2" name="箭头: 右 3"/>
                <wp:cNvGraphicFramePr/>
                <a:graphic xmlns:a="http://schemas.openxmlformats.org/drawingml/2006/main">
                  <a:graphicData uri="http://schemas.microsoft.com/office/word/2010/wordprocessingShape">
                    <wps:wsp>
                      <wps:cNvSpPr/>
                      <wps:spPr>
                        <a:xfrm>
                          <a:off x="0" y="0"/>
                          <a:ext cx="453390" cy="191135"/>
                        </a:xfrm>
                        <a:prstGeom prst="rightArrow">
                          <a:avLst>
                            <a:gd name="adj1" fmla="val 50000"/>
                            <a:gd name="adj2" fmla="val 49934"/>
                          </a:avLst>
                        </a:prstGeom>
                        <a:solidFill>
                          <a:srgbClr val="4F81BD"/>
                        </a:solidFill>
                        <a:ln w="25400" cap="flat" cmpd="sng">
                          <a:solidFill>
                            <a:srgbClr val="243F60"/>
                          </a:solidFill>
                          <a:prstDash val="solid"/>
                          <a:miter/>
                          <a:headEnd type="none" w="med" len="med"/>
                          <a:tailEnd type="none" w="med" len="med"/>
                        </a:ln>
                      </wps:spPr>
                      <wps:txbx>
                        <w:txbxContent>
                          <w:p/>
                        </w:txbxContent>
                      </wps:txbx>
                      <wps:bodyPr wrap="square" anchor="ctr" upright="1"/>
                    </wps:wsp>
                  </a:graphicData>
                </a:graphic>
              </wp:anchor>
            </w:drawing>
          </mc:Choice>
          <mc:Fallback>
            <w:pict>
              <v:shape id="箭头: 右 3" o:spid="_x0000_s1026" o:spt="13" type="#_x0000_t13" style="position:absolute;left:0pt;margin-left:58.85pt;margin-top:170.9pt;height:15.05pt;width:35.7pt;z-index:251660288;v-text-anchor:middle;mso-width-relative:page;mso-height-relative:page;" fillcolor="#4F81BD" filled="t" stroked="t" coordsize="21600,21600" o:gfxdata="UEsFBgAAAAAAAAAAAAAAAAAAAAAAAFBLAwQKAAAAAACHTuJAAAAAAAAAAAAAAAAABAAAAGRycy9Q&#10;SwMEFAAAAAgAh07iQByYuKLYAAAACwEAAA8AAABkcnMvZG93bnJldi54bWxNj8FOwzAQRO9I/IO1&#10;SFwQdVwKaUKcCpA4caIFiaMbb5Oo9jqK3bT9e7YnOM7s0+xMtTp5JyYcYx9Ig5plIJCaYHtqNXxt&#10;3u+XIGIyZI0LhBrOGGFVX19VprThSJ84rVMrOIRiaTR0KQ2llLHp0Js4CwMS33Zh9CaxHFtpR3Pk&#10;cO/kPMuepDc98YfODPjWYbNfH7yGu40a96+OHn/s7qOgaX5+WXz3Wt/eqOwZRMJT+oPhUp+rQ82d&#10;tuFANgrHWuU5oxoeFoo3XIhloUBs2clVAbKu5P8N9S9QSwMEFAAAAAgAh07iQMvue49FAgAAoAQA&#10;AA4AAABkcnMvZTJvRG9jLnhtbK1US5LTMBDdU8UdVNoTx/lMTVxxpoAQNhRM1cABFEm2RemHpMTO&#10;KbgEW9jAlaa4Bi3Z5DNssiALp2W1Xvd7T+3lXack2nPnhdElzkdjjLimhgldl/jTx82LW4x8IJoR&#10;aTQv8YF7fLd6/mzZ2oJPTGMk4w4BiPZFa0vchGCLLPO04Yr4kbFcw2ZlnCIBlq7OmCMtoCuZTcbj&#10;m6w1jllnKPce3q77TTwgumsATVUJyteG7hTXoUd1XJIAlHwjrMer1G1VcRo+VJXnAckSA9OQnlAE&#10;4m18ZqslKWpHbCPo0AK5poUnnBQRGooeodYkELRz4h8oJagz3lRhRI3KeiJJEWCRj59o89AQyxMX&#10;kNrbo+j+/8HS9/t7hwQr8QQjTRQY/vvH98dvvwr0+PUnmkaBWusLyHuw925YeQgj265yKv4DD9Ql&#10;UQ9HUXkXEIWXs/l0ugC5KWzlizyfziNmdjpsnQ9vuVEoBiV2om7CS+dMmwQl+3c+JGXZ0B9hn3OM&#10;KiXBqD2RaD6G32DkWQ7wOeXMFovpbKg7IEIHfytHeG+kYBshZVq4evtaOgTwQGBzm79aD4cv0qRG&#10;LQg3n0F9RAkMQwWXEEJlQVCv68Tg4og/R57Mppub1Do0c5EWO1sT3/QdpK2eoRKBu3RpG07YG81Q&#10;OFgwTcOs4tiN4gwjyWG0Y5QyAxHymkxoQmqwJvrdOxyj0G27wfatYQe4LS2MC9D7siMOahJNGwMT&#10;RYPDaGeTfeB00iueh4ub7B6GLE7G+TrVO31YV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FgAAAGRycy9QSwECFAAUAAAACACHTuJAHJi4&#10;otgAAAALAQAADwAAAAAAAAABACAAAAA4AAAAZHJzL2Rvd25yZXYueG1sUEsBAhQAFAAAAAgAh07i&#10;QMvue49FAgAAoAQAAA4AAAAAAAAAAQAgAAAAPQEAAGRycy9lMm9Eb2MueG1sUEsFBgAAAAAGAAYA&#10;WQEAAPQFAAAAAA==&#10;" adj="17054,5400">
                <v:fill on="t" focussize="0,0"/>
                <v:stroke weight="2pt" color="#243F60" joinstyle="miter"/>
                <v:imagedata o:title=""/>
                <o:lock v:ext="edit" aspectratio="f"/>
                <v:textbox>
                  <w:txbxContent>
                    <w:p/>
                  </w:txbxContent>
                </v:textbox>
              </v:shape>
            </w:pict>
          </mc:Fallback>
        </mc:AlternateContent>
      </w:r>
    </w:p>
    <w:sectPr>
      <w:pgSz w:w="16838" w:h="11906" w:orient="landscape"/>
      <w:pgMar w:top="1800" w:right="1440" w:bottom="1800" w:left="1440" w:header="851" w:footer="992" w:gutter="0"/>
      <w:cols w:space="425" w:num="1"/>
      <w:docGrid w:type="lines" w:linePitch="317" w:charSpace="609"/>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6"/>
          <w:jc w:val="right"/>
        </w:pPr>
        <w:r>
          <w:fldChar w:fldCharType="begin"/>
        </w:r>
        <w:r>
          <w:instrText xml:space="preserve">PAGE   \* MERGEFORMAT</w:instrText>
        </w:r>
        <w:r>
          <w:fldChar w:fldCharType="separate"/>
        </w:r>
        <w:r>
          <w:rPr>
            <w:lang w:val="zh-CN"/>
          </w:rPr>
          <w:t>2</w:t>
        </w:r>
        <w:r>
          <w:fldChar w:fldCharType="end"/>
        </w:r>
      </w:p>
    </w:sdtContent>
  </w:sdt>
  <w:p>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0" distR="0" simplePos="0" relativeHeight="251670528" behindDoc="1" locked="0" layoutInCell="1" allowOverlap="1">
              <wp:simplePos x="0" y="0"/>
              <wp:positionH relativeFrom="page">
                <wp:posOffset>1096645</wp:posOffset>
              </wp:positionH>
              <wp:positionV relativeFrom="page">
                <wp:posOffset>9795510</wp:posOffset>
              </wp:positionV>
              <wp:extent cx="356870" cy="105410"/>
              <wp:effectExtent l="0" t="0" r="0" b="0"/>
              <wp:wrapNone/>
              <wp:docPr id="25" name="Shape 7"/>
              <wp:cNvGraphicFramePr/>
              <a:graphic xmlns:a="http://schemas.openxmlformats.org/drawingml/2006/main">
                <a:graphicData uri="http://schemas.microsoft.com/office/word/2010/wordprocessingShape">
                  <wps:wsp>
                    <wps:cNvSpPr txBox="1"/>
                    <wps:spPr>
                      <a:xfrm>
                        <a:off x="0" y="0"/>
                        <a:ext cx="356870" cy="105410"/>
                      </a:xfrm>
                      <a:prstGeom prst="rect">
                        <a:avLst/>
                      </a:prstGeom>
                      <a:noFill/>
                    </wps:spPr>
                    <wps:txbx>
                      <w:txbxContent>
                        <w:p>
                          <w:pPr>
                            <w:pStyle w:val="22"/>
                            <w:rPr>
                              <w:sz w:val="24"/>
                              <w:szCs w:val="24"/>
                            </w:rPr>
                          </w:pPr>
                          <w:r>
                            <w:rPr>
                              <w:rFonts w:ascii="Times New Roman" w:hAnsi="Times New Roman" w:eastAsia="Times New Roman" w:cs="Times New Roman"/>
                              <w:color w:val="000000"/>
                              <w:sz w:val="24"/>
                              <w:szCs w:val="24"/>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z w:val="24"/>
                              <w:szCs w:val="24"/>
                            </w:rPr>
                            <w:t>#</w:t>
                          </w:r>
                          <w:r>
                            <w:rPr>
                              <w:sz w:val="24"/>
                              <w:szCs w:val="24"/>
                            </w:rPr>
                            <w:fldChar w:fldCharType="end"/>
                          </w:r>
                          <w:r>
                            <w:rPr>
                              <w:rFonts w:ascii="Times New Roman" w:hAnsi="Times New Roman" w:eastAsia="Times New Roman" w:cs="Times New Roman"/>
                              <w:color w:val="000000"/>
                              <w:sz w:val="24"/>
                              <w:szCs w:val="24"/>
                            </w:rPr>
                            <w:t xml:space="preserve"> -</w:t>
                          </w:r>
                        </w:p>
                      </w:txbxContent>
                    </wps:txbx>
                    <wps:bodyPr wrap="none" lIns="0" tIns="0" rIns="0" bIns="0">
                      <a:spAutoFit/>
                    </wps:bodyPr>
                  </wps:wsp>
                </a:graphicData>
              </a:graphic>
            </wp:anchor>
          </w:drawing>
        </mc:Choice>
        <mc:Fallback>
          <w:pict>
            <v:shape id="Shape 7" o:spid="_x0000_s1026" o:spt="202" type="#_x0000_t202" style="position:absolute;left:0pt;margin-left:86.35pt;margin-top:771.3pt;height:8.3pt;width:28.1pt;mso-position-horizontal-relative:page;mso-position-vertical-relative:page;mso-wrap-style:none;z-index:-251645952;mso-width-relative:page;mso-height-relative:page;" filled="f" stroked="f" coordsize="21600,21600" o:gfxdata="UEsFBgAAAAAAAAAAAAAAAAAAAAAAAFBLAwQKAAAAAACHTuJAAAAAAAAAAAAAAAAABAAAAGRycy9Q&#10;SwMEFAAAAAgAh07iQNUW19bYAAAADQEAAA8AAABkcnMvZG93bnJldi54bWxNj81OwzAQhO9IvIO1&#10;SNyoU4s2aYjTQyUu3CgIiZsbb+MI/0S2myZvz/YEt53d0ew3zX52lk0Y0xC8hPWqAIa+C3rwvYTP&#10;j9enCljKymtlg0cJCybYt/d3jap1uPp3nI65ZxTiU60kmJzHmvPUGXQqrcKInm7nEJ3KJGPPdVRX&#10;CneWi6LYcqcGTx+MGvFgsPs5XpyEcv4KOCY84Pd56qIZlsq+LVI+PqyLF2AZ5/xnhhs+oUNLTKdw&#10;8ToxS7oUJVlp2DyLLTCyCFHtgJ1uq81OAG8b/r9F+wtQSwMEFAAAAAgAh07iQABP9mOuAQAAcAMA&#10;AA4AAABkcnMvZTJvRG9jLnhtbK1TwW7bMAy9D9g/CLovdrKlLYw4RYugw4BhG9DtAxRZigVIoiAq&#10;sfP3o2QnLbpLD7vINEk/vvcob+5HZ9lJRTTgW75c1JwpL6Ez/tDyP7+fPt1xhkn4TljwquVnhfx+&#10;+/HDZgiNWkEPtlOREYjHZggt71MKTVWh7JUTuICgPBU1RCcSvcZD1UUxELqz1aqub6oBYhciSIVI&#10;2d1U5DNifA8gaG2k2oE8OuXThBqVFYkkYW8C8m1hq7WS6afWqBKzLSelqZw0hOJ9PqvtRjSHKEJv&#10;5ExBvIfCG01OGE9Dr1A7kQQ7RvMPlDMyAoJOCwmumoQUR0jFsn7jzXMvgipayGoMV9Px/8HKH6df&#10;kZmu5as1Z1442ngZy26zN0PAhlqeAzWl8RFGujGXPFIySx51dPlJYhjVydnz1Vk1JiYp+Xl9c3dL&#10;FUmlZb3+sizOVy8fh4jpqwLHctDySIsrforTd0xEhFovLXmWhydjbc5nhhOTHKVxP86099CdifVA&#10;u225p6vMmf3mybp8DS5BvAT7OcjgGB6OiQaUuRl1gpqH0SIKnfnS5E2/fi9dLz/K9i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VFtfW2AAAAA0BAAAPAAAAAAAAAAEAIAAAADgAAABkcnMvZG93bnJl&#10;di54bWxQSwECFAAUAAAACACHTuJAAE/2Y64BAABwAwAADgAAAAAAAAABACAAAAA9AQAAZHJzL2Uy&#10;b0RvYy54bWxQSwUGAAAAAAYABgBZAQAAXQUAAAAA&#10;">
              <v:fill on="f" focussize="0,0"/>
              <v:stroke on="f"/>
              <v:imagedata o:title=""/>
              <o:lock v:ext="edit" aspectratio="f"/>
              <v:textbox inset="0mm,0mm,0mm,0mm" style="mso-fit-shape-to-text:t;">
                <w:txbxContent>
                  <w:p>
                    <w:pPr>
                      <w:pStyle w:val="22"/>
                      <w:rPr>
                        <w:sz w:val="24"/>
                        <w:szCs w:val="24"/>
                      </w:rPr>
                    </w:pPr>
                    <w:r>
                      <w:rPr>
                        <w:rFonts w:ascii="Times New Roman" w:hAnsi="Times New Roman" w:eastAsia="Times New Roman" w:cs="Times New Roman"/>
                        <w:color w:val="000000"/>
                        <w:sz w:val="24"/>
                        <w:szCs w:val="24"/>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z w:val="24"/>
                        <w:szCs w:val="24"/>
                      </w:rPr>
                      <w:t>#</w:t>
                    </w:r>
                    <w:r>
                      <w:rPr>
                        <w:sz w:val="24"/>
                        <w:szCs w:val="24"/>
                      </w:rPr>
                      <w:fldChar w:fldCharType="end"/>
                    </w:r>
                    <w:r>
                      <w:rPr>
                        <w:rFonts w:ascii="Times New Roman" w:hAnsi="Times New Roman" w:eastAsia="Times New Roman" w:cs="Times New Roman"/>
                        <w:color w:val="000000"/>
                        <w:sz w:val="24"/>
                        <w:szCs w:val="24"/>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8B2481"/>
    <w:multiLevelType w:val="multilevel"/>
    <w:tmpl w:val="508B2481"/>
    <w:lvl w:ilvl="0" w:tentative="0">
      <w:start w:val="5"/>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213"/>
  <w:drawingGridVerticalSpacing w:val="31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yMjI4ZDAyMzUxMTQyYTRjNGU2Y2QwN2I4MjBjNTQifQ=="/>
  </w:docVars>
  <w:rsids>
    <w:rsidRoot w:val="007803E4"/>
    <w:rsid w:val="00000D46"/>
    <w:rsid w:val="0000369C"/>
    <w:rsid w:val="00003DBD"/>
    <w:rsid w:val="0002189C"/>
    <w:rsid w:val="00034423"/>
    <w:rsid w:val="000573E4"/>
    <w:rsid w:val="000577C8"/>
    <w:rsid w:val="00066505"/>
    <w:rsid w:val="00067F31"/>
    <w:rsid w:val="000821CB"/>
    <w:rsid w:val="000B4ED4"/>
    <w:rsid w:val="000B7EE0"/>
    <w:rsid w:val="000C33E3"/>
    <w:rsid w:val="000C407D"/>
    <w:rsid w:val="000E4F9E"/>
    <w:rsid w:val="000F6945"/>
    <w:rsid w:val="00105AD8"/>
    <w:rsid w:val="00126D13"/>
    <w:rsid w:val="00135367"/>
    <w:rsid w:val="001400E7"/>
    <w:rsid w:val="001502BD"/>
    <w:rsid w:val="001631D3"/>
    <w:rsid w:val="00164DA7"/>
    <w:rsid w:val="00165102"/>
    <w:rsid w:val="00167BD4"/>
    <w:rsid w:val="00186EDF"/>
    <w:rsid w:val="00187B87"/>
    <w:rsid w:val="00192FC6"/>
    <w:rsid w:val="00193060"/>
    <w:rsid w:val="001A4A66"/>
    <w:rsid w:val="001C3F72"/>
    <w:rsid w:val="001C533D"/>
    <w:rsid w:val="001F200B"/>
    <w:rsid w:val="00233A3F"/>
    <w:rsid w:val="00234044"/>
    <w:rsid w:val="00234204"/>
    <w:rsid w:val="0023776C"/>
    <w:rsid w:val="00242107"/>
    <w:rsid w:val="00257121"/>
    <w:rsid w:val="00257F8F"/>
    <w:rsid w:val="0026259F"/>
    <w:rsid w:val="00262D73"/>
    <w:rsid w:val="002736D1"/>
    <w:rsid w:val="0028250C"/>
    <w:rsid w:val="00286E14"/>
    <w:rsid w:val="002926C2"/>
    <w:rsid w:val="002966CB"/>
    <w:rsid w:val="002A6EDC"/>
    <w:rsid w:val="002C5918"/>
    <w:rsid w:val="002D0CD1"/>
    <w:rsid w:val="002D2012"/>
    <w:rsid w:val="002E0E64"/>
    <w:rsid w:val="002E15FD"/>
    <w:rsid w:val="002E73DB"/>
    <w:rsid w:val="002F72DE"/>
    <w:rsid w:val="0030286D"/>
    <w:rsid w:val="00306CD0"/>
    <w:rsid w:val="00311893"/>
    <w:rsid w:val="003148D0"/>
    <w:rsid w:val="0031583D"/>
    <w:rsid w:val="00315915"/>
    <w:rsid w:val="003163AB"/>
    <w:rsid w:val="00320C96"/>
    <w:rsid w:val="00322957"/>
    <w:rsid w:val="00325CA0"/>
    <w:rsid w:val="00326F9B"/>
    <w:rsid w:val="003418A6"/>
    <w:rsid w:val="003703E9"/>
    <w:rsid w:val="003754A9"/>
    <w:rsid w:val="00375F09"/>
    <w:rsid w:val="003764FC"/>
    <w:rsid w:val="00377938"/>
    <w:rsid w:val="00386864"/>
    <w:rsid w:val="003A0A3B"/>
    <w:rsid w:val="003B7E03"/>
    <w:rsid w:val="003D745D"/>
    <w:rsid w:val="003E27BE"/>
    <w:rsid w:val="003E5D83"/>
    <w:rsid w:val="003F1401"/>
    <w:rsid w:val="00405E86"/>
    <w:rsid w:val="00414907"/>
    <w:rsid w:val="004344AE"/>
    <w:rsid w:val="00437E05"/>
    <w:rsid w:val="00443EFF"/>
    <w:rsid w:val="004459FE"/>
    <w:rsid w:val="00445A26"/>
    <w:rsid w:val="004621FB"/>
    <w:rsid w:val="00467964"/>
    <w:rsid w:val="004703F8"/>
    <w:rsid w:val="00475E83"/>
    <w:rsid w:val="00486E4A"/>
    <w:rsid w:val="004B2A43"/>
    <w:rsid w:val="004C11E5"/>
    <w:rsid w:val="004C38DA"/>
    <w:rsid w:val="004C513B"/>
    <w:rsid w:val="004D0E34"/>
    <w:rsid w:val="004D24A1"/>
    <w:rsid w:val="004E3DB2"/>
    <w:rsid w:val="004F1EA6"/>
    <w:rsid w:val="00512418"/>
    <w:rsid w:val="00547200"/>
    <w:rsid w:val="005478E9"/>
    <w:rsid w:val="00557EE1"/>
    <w:rsid w:val="00560891"/>
    <w:rsid w:val="00567576"/>
    <w:rsid w:val="00571D7F"/>
    <w:rsid w:val="00573584"/>
    <w:rsid w:val="00574B92"/>
    <w:rsid w:val="00580E7C"/>
    <w:rsid w:val="005815A4"/>
    <w:rsid w:val="0058348F"/>
    <w:rsid w:val="005858F8"/>
    <w:rsid w:val="0059109C"/>
    <w:rsid w:val="005A49A6"/>
    <w:rsid w:val="005B5A2B"/>
    <w:rsid w:val="005E257E"/>
    <w:rsid w:val="005E61A4"/>
    <w:rsid w:val="005F2D3F"/>
    <w:rsid w:val="005F3532"/>
    <w:rsid w:val="00604C41"/>
    <w:rsid w:val="006159AC"/>
    <w:rsid w:val="006235E3"/>
    <w:rsid w:val="00651492"/>
    <w:rsid w:val="00652429"/>
    <w:rsid w:val="00655BE8"/>
    <w:rsid w:val="0066759A"/>
    <w:rsid w:val="00670EC4"/>
    <w:rsid w:val="006912E9"/>
    <w:rsid w:val="006A14D8"/>
    <w:rsid w:val="006D0AF0"/>
    <w:rsid w:val="006D48D6"/>
    <w:rsid w:val="006E08AE"/>
    <w:rsid w:val="006F0F15"/>
    <w:rsid w:val="00723369"/>
    <w:rsid w:val="007264F6"/>
    <w:rsid w:val="00740313"/>
    <w:rsid w:val="00745054"/>
    <w:rsid w:val="00754C8E"/>
    <w:rsid w:val="00775698"/>
    <w:rsid w:val="007771F0"/>
    <w:rsid w:val="007803E4"/>
    <w:rsid w:val="00784942"/>
    <w:rsid w:val="007A1E3D"/>
    <w:rsid w:val="007D6538"/>
    <w:rsid w:val="007F6B09"/>
    <w:rsid w:val="00806902"/>
    <w:rsid w:val="00825F40"/>
    <w:rsid w:val="008270B8"/>
    <w:rsid w:val="00856F39"/>
    <w:rsid w:val="008806CC"/>
    <w:rsid w:val="00887D9A"/>
    <w:rsid w:val="008901D2"/>
    <w:rsid w:val="008A0312"/>
    <w:rsid w:val="008C1CA9"/>
    <w:rsid w:val="008D67CC"/>
    <w:rsid w:val="008E1E24"/>
    <w:rsid w:val="008F3419"/>
    <w:rsid w:val="008F73C9"/>
    <w:rsid w:val="00914C2A"/>
    <w:rsid w:val="00920ACE"/>
    <w:rsid w:val="0092688D"/>
    <w:rsid w:val="00926B14"/>
    <w:rsid w:val="00932282"/>
    <w:rsid w:val="00940F23"/>
    <w:rsid w:val="00944782"/>
    <w:rsid w:val="00950499"/>
    <w:rsid w:val="00961AB9"/>
    <w:rsid w:val="00976682"/>
    <w:rsid w:val="009772B8"/>
    <w:rsid w:val="0099257F"/>
    <w:rsid w:val="009929A9"/>
    <w:rsid w:val="00997D5D"/>
    <w:rsid w:val="009A3E6B"/>
    <w:rsid w:val="009B1109"/>
    <w:rsid w:val="009D4437"/>
    <w:rsid w:val="009E4242"/>
    <w:rsid w:val="00A047E6"/>
    <w:rsid w:val="00A05A1E"/>
    <w:rsid w:val="00A41080"/>
    <w:rsid w:val="00A43881"/>
    <w:rsid w:val="00A51198"/>
    <w:rsid w:val="00A524A3"/>
    <w:rsid w:val="00A52BFD"/>
    <w:rsid w:val="00A710E4"/>
    <w:rsid w:val="00A81F4F"/>
    <w:rsid w:val="00A91298"/>
    <w:rsid w:val="00A957B0"/>
    <w:rsid w:val="00AB6558"/>
    <w:rsid w:val="00AC6907"/>
    <w:rsid w:val="00AD2EFA"/>
    <w:rsid w:val="00AE1600"/>
    <w:rsid w:val="00AE4038"/>
    <w:rsid w:val="00AF1987"/>
    <w:rsid w:val="00B051F4"/>
    <w:rsid w:val="00B1107B"/>
    <w:rsid w:val="00B15E46"/>
    <w:rsid w:val="00B2435C"/>
    <w:rsid w:val="00B42B03"/>
    <w:rsid w:val="00B4368D"/>
    <w:rsid w:val="00B56481"/>
    <w:rsid w:val="00B56B1B"/>
    <w:rsid w:val="00B63DF5"/>
    <w:rsid w:val="00B941EB"/>
    <w:rsid w:val="00BA3D0E"/>
    <w:rsid w:val="00BA5E04"/>
    <w:rsid w:val="00BE27A1"/>
    <w:rsid w:val="00BE4F90"/>
    <w:rsid w:val="00BE65F8"/>
    <w:rsid w:val="00BF06E6"/>
    <w:rsid w:val="00C026DF"/>
    <w:rsid w:val="00C05D32"/>
    <w:rsid w:val="00C139F5"/>
    <w:rsid w:val="00C270F3"/>
    <w:rsid w:val="00C30700"/>
    <w:rsid w:val="00C310B1"/>
    <w:rsid w:val="00C36378"/>
    <w:rsid w:val="00C37CA8"/>
    <w:rsid w:val="00C37EE8"/>
    <w:rsid w:val="00C64EF5"/>
    <w:rsid w:val="00C9538E"/>
    <w:rsid w:val="00CA203E"/>
    <w:rsid w:val="00CA5B84"/>
    <w:rsid w:val="00CB3C29"/>
    <w:rsid w:val="00CB6ACC"/>
    <w:rsid w:val="00CE2B08"/>
    <w:rsid w:val="00CF67B7"/>
    <w:rsid w:val="00D01994"/>
    <w:rsid w:val="00D0677B"/>
    <w:rsid w:val="00D12AE2"/>
    <w:rsid w:val="00D13666"/>
    <w:rsid w:val="00D34419"/>
    <w:rsid w:val="00D4093C"/>
    <w:rsid w:val="00D42EA9"/>
    <w:rsid w:val="00D4513E"/>
    <w:rsid w:val="00D56970"/>
    <w:rsid w:val="00D71B5C"/>
    <w:rsid w:val="00D758E6"/>
    <w:rsid w:val="00D810A0"/>
    <w:rsid w:val="00D85753"/>
    <w:rsid w:val="00D94D13"/>
    <w:rsid w:val="00D966B0"/>
    <w:rsid w:val="00DB0397"/>
    <w:rsid w:val="00DD0054"/>
    <w:rsid w:val="00DD27A0"/>
    <w:rsid w:val="00DE0117"/>
    <w:rsid w:val="00DE4F5D"/>
    <w:rsid w:val="00DF0A98"/>
    <w:rsid w:val="00E10549"/>
    <w:rsid w:val="00E17EB0"/>
    <w:rsid w:val="00E30B4F"/>
    <w:rsid w:val="00E337B7"/>
    <w:rsid w:val="00E33928"/>
    <w:rsid w:val="00E37E3F"/>
    <w:rsid w:val="00E451C8"/>
    <w:rsid w:val="00E6731F"/>
    <w:rsid w:val="00E87E46"/>
    <w:rsid w:val="00E96F18"/>
    <w:rsid w:val="00EB05C8"/>
    <w:rsid w:val="00EC1220"/>
    <w:rsid w:val="00EC321B"/>
    <w:rsid w:val="00F16423"/>
    <w:rsid w:val="00F21691"/>
    <w:rsid w:val="00F253EB"/>
    <w:rsid w:val="00F26E2B"/>
    <w:rsid w:val="00F32025"/>
    <w:rsid w:val="00F33BCE"/>
    <w:rsid w:val="00F50A56"/>
    <w:rsid w:val="00F50FB0"/>
    <w:rsid w:val="00F54392"/>
    <w:rsid w:val="00F573F5"/>
    <w:rsid w:val="00F65C7B"/>
    <w:rsid w:val="00F75B1F"/>
    <w:rsid w:val="00F76B4B"/>
    <w:rsid w:val="00F93D4D"/>
    <w:rsid w:val="00F94908"/>
    <w:rsid w:val="00FA3DB9"/>
    <w:rsid w:val="00FA5349"/>
    <w:rsid w:val="00FA57CB"/>
    <w:rsid w:val="00FB65D7"/>
    <w:rsid w:val="00FB751D"/>
    <w:rsid w:val="00FC2898"/>
    <w:rsid w:val="00FC7AEA"/>
    <w:rsid w:val="00FF1360"/>
    <w:rsid w:val="092E56B0"/>
    <w:rsid w:val="0BEC19E4"/>
    <w:rsid w:val="0CDB6C13"/>
    <w:rsid w:val="0E234429"/>
    <w:rsid w:val="0E6C275D"/>
    <w:rsid w:val="13E602A1"/>
    <w:rsid w:val="17D861DD"/>
    <w:rsid w:val="17DB27C5"/>
    <w:rsid w:val="1E8608F4"/>
    <w:rsid w:val="20952CCD"/>
    <w:rsid w:val="216A4EB0"/>
    <w:rsid w:val="25BB4CC7"/>
    <w:rsid w:val="2BA8589A"/>
    <w:rsid w:val="2CEF37DA"/>
    <w:rsid w:val="334E55D4"/>
    <w:rsid w:val="35D56A99"/>
    <w:rsid w:val="36E26ADF"/>
    <w:rsid w:val="3765393E"/>
    <w:rsid w:val="3EA118DA"/>
    <w:rsid w:val="3F305664"/>
    <w:rsid w:val="40B961FB"/>
    <w:rsid w:val="422A28E4"/>
    <w:rsid w:val="48FE259D"/>
    <w:rsid w:val="4A6F2535"/>
    <w:rsid w:val="57ED6AB4"/>
    <w:rsid w:val="5BD53AF1"/>
    <w:rsid w:val="60EC49EB"/>
    <w:rsid w:val="646A34A1"/>
    <w:rsid w:val="6AB2131D"/>
    <w:rsid w:val="6D332F2B"/>
    <w:rsid w:val="6E7C044B"/>
    <w:rsid w:val="6FA16FCF"/>
    <w:rsid w:val="767E417B"/>
    <w:rsid w:val="799E3791"/>
    <w:rsid w:val="7CF42780"/>
    <w:rsid w:val="7F2B090C"/>
    <w:rsid w:val="E7DE10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link w:val="1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567"/>
    </w:pPr>
  </w:style>
  <w:style w:type="paragraph" w:styleId="5">
    <w:name w:val="Balloon Text"/>
    <w:basedOn w:val="1"/>
    <w:link w:val="20"/>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1">
    <w:name w:val="Body text|1"/>
    <w:basedOn w:val="1"/>
    <w:link w:val="18"/>
    <w:qFormat/>
    <w:uiPriority w:val="0"/>
    <w:pPr>
      <w:spacing w:line="448" w:lineRule="auto"/>
      <w:ind w:firstLine="400"/>
      <w:jc w:val="left"/>
    </w:pPr>
    <w:rPr>
      <w:rFonts w:ascii="宋体" w:hAnsi="宋体" w:eastAsia="宋体" w:cs="宋体"/>
      <w:color w:val="000000"/>
      <w:kern w:val="0"/>
      <w:sz w:val="28"/>
      <w:szCs w:val="28"/>
    </w:rPr>
  </w:style>
  <w:style w:type="paragraph" w:customStyle="1" w:styleId="12">
    <w:name w:val="正文1"/>
    <w:qFormat/>
    <w:uiPriority w:val="0"/>
    <w:pPr>
      <w:jc w:val="both"/>
    </w:pPr>
    <w:rPr>
      <w:rFonts w:ascii="Times New Roman" w:hAnsi="Times New Roman" w:eastAsia="宋体" w:cs="Times New Roman"/>
      <w:kern w:val="2"/>
      <w:sz w:val="21"/>
      <w:szCs w:val="21"/>
      <w:lang w:val="en-US" w:eastAsia="zh-CN" w:bidi="ar-SA"/>
    </w:rPr>
  </w:style>
  <w:style w:type="paragraph" w:styleId="13">
    <w:name w:val="List Paragraph"/>
    <w:basedOn w:val="1"/>
    <w:qFormat/>
    <w:uiPriority w:val="34"/>
    <w:pPr>
      <w:ind w:firstLine="420" w:firstLineChars="200"/>
    </w:pPr>
  </w:style>
  <w:style w:type="paragraph" w:customStyle="1" w:styleId="14">
    <w:name w:val="Heading #2|1"/>
    <w:basedOn w:val="1"/>
    <w:link w:val="19"/>
    <w:qFormat/>
    <w:uiPriority w:val="0"/>
    <w:pPr>
      <w:spacing w:line="600" w:lineRule="exact"/>
      <w:ind w:firstLine="630"/>
      <w:jc w:val="left"/>
      <w:outlineLvl w:val="1"/>
    </w:pPr>
    <w:rPr>
      <w:rFonts w:ascii="宋体" w:hAnsi="宋体" w:eastAsia="宋体" w:cs="宋体"/>
      <w:b/>
      <w:bCs/>
      <w:color w:val="000000"/>
      <w:kern w:val="0"/>
      <w:sz w:val="28"/>
      <w:szCs w:val="28"/>
    </w:rPr>
  </w:style>
  <w:style w:type="character" w:customStyle="1" w:styleId="15">
    <w:name w:val="页眉 字符"/>
    <w:basedOn w:val="10"/>
    <w:link w:val="7"/>
    <w:qFormat/>
    <w:uiPriority w:val="99"/>
    <w:rPr>
      <w:kern w:val="2"/>
      <w:sz w:val="18"/>
      <w:szCs w:val="18"/>
    </w:rPr>
  </w:style>
  <w:style w:type="character" w:customStyle="1" w:styleId="16">
    <w:name w:val="页脚 字符"/>
    <w:basedOn w:val="10"/>
    <w:link w:val="6"/>
    <w:qFormat/>
    <w:uiPriority w:val="99"/>
    <w:rPr>
      <w:kern w:val="2"/>
      <w:sz w:val="18"/>
      <w:szCs w:val="18"/>
    </w:rPr>
  </w:style>
  <w:style w:type="character" w:customStyle="1" w:styleId="17">
    <w:name w:val="标题 3 字符"/>
    <w:basedOn w:val="10"/>
    <w:link w:val="4"/>
    <w:qFormat/>
    <w:uiPriority w:val="9"/>
    <w:rPr>
      <w:rFonts w:ascii="宋体" w:hAnsi="宋体" w:eastAsia="宋体" w:cs="宋体"/>
      <w:b/>
      <w:bCs/>
      <w:sz w:val="27"/>
      <w:szCs w:val="27"/>
    </w:rPr>
  </w:style>
  <w:style w:type="character" w:customStyle="1" w:styleId="18">
    <w:name w:val="Body text|1_"/>
    <w:basedOn w:val="10"/>
    <w:link w:val="11"/>
    <w:qFormat/>
    <w:uiPriority w:val="0"/>
    <w:rPr>
      <w:rFonts w:ascii="宋体" w:hAnsi="宋体" w:eastAsia="宋体" w:cs="宋体"/>
      <w:color w:val="000000"/>
      <w:sz w:val="28"/>
      <w:szCs w:val="28"/>
    </w:rPr>
  </w:style>
  <w:style w:type="character" w:customStyle="1" w:styleId="19">
    <w:name w:val="Heading #2|1_"/>
    <w:basedOn w:val="10"/>
    <w:link w:val="14"/>
    <w:qFormat/>
    <w:uiPriority w:val="0"/>
    <w:rPr>
      <w:rFonts w:ascii="宋体" w:hAnsi="宋体" w:eastAsia="宋体" w:cs="宋体"/>
      <w:b/>
      <w:bCs/>
      <w:color w:val="000000"/>
      <w:sz w:val="28"/>
      <w:szCs w:val="28"/>
    </w:rPr>
  </w:style>
  <w:style w:type="character" w:customStyle="1" w:styleId="20">
    <w:name w:val="批注框文本 字符"/>
    <w:basedOn w:val="10"/>
    <w:link w:val="5"/>
    <w:semiHidden/>
    <w:qFormat/>
    <w:uiPriority w:val="99"/>
    <w:rPr>
      <w:kern w:val="2"/>
      <w:sz w:val="18"/>
      <w:szCs w:val="18"/>
    </w:rPr>
  </w:style>
  <w:style w:type="character" w:customStyle="1" w:styleId="21">
    <w:name w:val="Header or footer|2_"/>
    <w:basedOn w:val="10"/>
    <w:link w:val="22"/>
    <w:qFormat/>
    <w:uiPriority w:val="0"/>
    <w:rPr>
      <w:lang w:val="zh-TW" w:eastAsia="zh-TW" w:bidi="zh-TW"/>
    </w:rPr>
  </w:style>
  <w:style w:type="paragraph" w:customStyle="1" w:styleId="22">
    <w:name w:val="Header or footer|2"/>
    <w:basedOn w:val="1"/>
    <w:link w:val="21"/>
    <w:qFormat/>
    <w:uiPriority w:val="0"/>
    <w:pPr>
      <w:jc w:val="left"/>
    </w:pPr>
    <w:rPr>
      <w:kern w:val="0"/>
      <w:sz w:val="20"/>
      <w:szCs w:val="2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microsoft.com/office/2006/relationships/keyMapCustomizations" Target="customizations.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21</Pages>
  <Words>8676</Words>
  <Characters>8897</Characters>
  <Lines>60</Lines>
  <Paragraphs>17</Paragraphs>
  <TotalTime>1</TotalTime>
  <ScaleCrop>false</ScaleCrop>
  <LinksUpToDate>false</LinksUpToDate>
  <CharactersWithSpaces>9012</CharactersWithSpaces>
  <Application>WPS Office_11.8.2.12019_F1E327BC-269C-435d-A152-05C5408002CA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2020-10-06T21:18:00Z</dcterms:created>
  <dc:creator>Administrator</dc:creator>
  <cp:lastModifiedBy>aaa</cp:lastModifiedBy>
  <cp:lastPrinted>2021-02-02T11:26:00Z</cp:lastPrinted>
  <dcterms:modified xsi:type="dcterms:W3CDTF">2026-09-20T10:28:01Z</dcterms:modified>
  <cp:revision>169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2052-11.8.2.12019</vt:lpwstr>
  </property>
  <property fmtid="{D5CDD505-2E9C-101B-9397-08002B2CF9AE}" pid="3" name="ICV">
    <vt:lpwstr>CEE4771AF5F8CC0BB144AF6A80225E55</vt:lpwstr>
  </property>
</Properties>
</file>