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pStyle w:val="2"/>
        <w:rPr>
          <w:rFonts w:hint="eastAsia"/>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sz w:val="24"/>
        </w:rPr>
      </w:pPr>
    </w:p>
    <w:p>
      <w:pPr>
        <w:pStyle w:val="2"/>
        <w:rPr>
          <w:rFonts w:hint="eastAsia"/>
        </w:rPr>
      </w:pPr>
    </w:p>
    <w:p>
      <w:pPr>
        <w:rPr>
          <w:rFonts w:hint="eastAsia" w:ascii="仿宋_GB2312" w:hAnsi="宋体" w:eastAsia="仿宋_GB2312"/>
          <w:sz w:val="32"/>
          <w:lang w:eastAsia="zh-CN"/>
        </w:rPr>
      </w:pPr>
      <w:r>
        <w:rPr>
          <w:rFonts w:hint="eastAsia" w:ascii="仿宋_GB2312" w:eastAsia="仿宋_GB2312"/>
          <w:sz w:val="32"/>
        </w:rPr>
        <w:t>伊国资</w:t>
      </w:r>
      <w:r>
        <w:rPr>
          <w:rFonts w:hint="eastAsia" w:ascii="仿宋_GB2312" w:eastAsia="仿宋_GB2312"/>
          <w:sz w:val="32"/>
          <w:lang w:eastAsia="zh-CN"/>
        </w:rPr>
        <w:t>委字</w:t>
      </w:r>
      <w:r>
        <w:rPr>
          <w:rFonts w:hint="eastAsia" w:ascii="仿宋_GB2312" w:hAnsi="宋体" w:eastAsia="仿宋_GB2312"/>
          <w:sz w:val="32"/>
        </w:rPr>
        <w:t>〔20</w:t>
      </w:r>
      <w:r>
        <w:rPr>
          <w:rFonts w:hint="eastAsia" w:ascii="仿宋_GB2312" w:hAnsi="宋体" w:eastAsia="仿宋_GB2312"/>
          <w:sz w:val="32"/>
          <w:lang w:val="en-US" w:eastAsia="zh-CN"/>
        </w:rPr>
        <w:t>23</w:t>
      </w:r>
      <w:r>
        <w:rPr>
          <w:rFonts w:hint="eastAsia" w:ascii="仿宋_GB2312" w:hAnsi="宋体" w:eastAsia="仿宋_GB2312"/>
          <w:sz w:val="32"/>
        </w:rPr>
        <w:t>〕</w:t>
      </w:r>
      <w:r>
        <w:rPr>
          <w:rFonts w:hint="eastAsia" w:ascii="仿宋_GB2312" w:hAnsi="宋体" w:eastAsia="仿宋_GB2312"/>
          <w:sz w:val="32"/>
          <w:lang w:val="en-US" w:eastAsia="zh-CN"/>
        </w:rPr>
        <w:t>133</w:t>
      </w:r>
      <w:r>
        <w:rPr>
          <w:rFonts w:hint="eastAsia" w:ascii="仿宋_GB2312" w:hAnsi="宋体" w:eastAsia="仿宋_GB2312"/>
          <w:sz w:val="32"/>
        </w:rPr>
        <w:t xml:space="preserve">号            </w:t>
      </w:r>
      <w:r>
        <w:rPr>
          <w:rFonts w:hint="eastAsia" w:ascii="仿宋_GB2312" w:hAnsi="宋体" w:eastAsia="仿宋_GB2312"/>
          <w:sz w:val="32"/>
          <w:lang w:val="en-US" w:eastAsia="zh-CN"/>
        </w:rPr>
        <w:t xml:space="preserve">   </w:t>
      </w:r>
      <w:r>
        <w:rPr>
          <w:rFonts w:hint="eastAsia" w:ascii="仿宋_GB2312" w:hAnsi="宋体" w:eastAsia="仿宋_GB2312"/>
          <w:sz w:val="32"/>
        </w:rPr>
        <w:t xml:space="preserve">   </w:t>
      </w:r>
      <w:r>
        <w:rPr>
          <w:rFonts w:hint="eastAsia" w:ascii="楷体" w:hAnsi="楷体" w:eastAsia="楷体" w:cs="楷体"/>
          <w:sz w:val="32"/>
        </w:rPr>
        <w:t>签发人</w:t>
      </w:r>
      <w:r>
        <w:rPr>
          <w:rFonts w:hint="eastAsia" w:ascii="仿宋_GB2312" w:hAnsi="宋体" w:eastAsia="仿宋_GB2312"/>
          <w:sz w:val="32"/>
        </w:rPr>
        <w:t>：</w:t>
      </w:r>
      <w:r>
        <w:rPr>
          <w:rFonts w:hint="eastAsia" w:ascii="仿宋_GB2312" w:hAnsi="宋体" w:eastAsia="仿宋_GB2312"/>
          <w:sz w:val="32"/>
          <w:lang w:eastAsia="zh-CN"/>
        </w:rPr>
        <w:t>吕利平</w:t>
      </w:r>
    </w:p>
    <w:p>
      <w:pPr>
        <w:keepNext w:val="0"/>
        <w:keepLines w:val="0"/>
        <w:pageBreakBefore w:val="0"/>
        <w:widowControl w:val="0"/>
        <w:kinsoku/>
        <w:wordWrap/>
        <w:overflowPunct/>
        <w:topLinePunct w:val="0"/>
        <w:autoSpaceDE/>
        <w:autoSpaceDN/>
        <w:bidi w:val="0"/>
        <w:adjustRightInd/>
        <w:snapToGrid/>
        <w:spacing w:line="660" w:lineRule="exact"/>
        <w:ind w:firstLine="2240" w:firstLineChars="700"/>
        <w:textAlignment w:val="auto"/>
        <w:rPr>
          <w:rFonts w:hint="eastAsia" w:ascii="仿宋_GB2312" w:hAnsi="宋体" w:eastAsia="仿宋_GB2312"/>
          <w:sz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伊金霍洛旗国有资产监督管理委员会关于</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eastAsia="zh-CN"/>
        </w:rPr>
        <w:t>落实旗属</w:t>
      </w:r>
      <w:r>
        <w:rPr>
          <w:rFonts w:hint="eastAsia" w:ascii="方正小标宋简体" w:hAnsi="方正小标宋简体" w:eastAsia="方正小标宋简体" w:cs="方正小标宋简体"/>
          <w:sz w:val="44"/>
          <w:szCs w:val="44"/>
        </w:rPr>
        <w:t>国有企业合规管理</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30" w:lineRule="exact"/>
        <w:ind w:left="0"/>
        <w:jc w:val="both"/>
        <w:textAlignment w:val="baseline"/>
        <w:rPr>
          <w:rFonts w:hint="eastAsia" w:cs="仿宋_GB2312"/>
          <w:b w:val="0"/>
          <w:bCs w:val="0"/>
          <w:color w:val="auto"/>
          <w:sz w:val="32"/>
          <w:lang w:val="en-US" w:eastAsia="zh-CN"/>
        </w:rPr>
      </w:pPr>
      <w:r>
        <w:rPr>
          <w:rFonts w:hint="eastAsia" w:ascii="仿宋_GB2312" w:hAnsi="仿宋_GB2312" w:eastAsia="仿宋_GB2312" w:cs="仿宋_GB2312"/>
          <w:bCs/>
          <w:sz w:val="32"/>
          <w:szCs w:val="32"/>
          <w:lang w:eastAsia="zh-CN"/>
        </w:rPr>
        <w:t>各旗属国有企业、各股室：</w:t>
      </w:r>
      <w:r>
        <w:rPr>
          <w:rFonts w:hint="eastAsia" w:cs="仿宋_GB2312"/>
          <w:b w:val="0"/>
          <w:bCs w:val="0"/>
          <w:color w:val="auto"/>
          <w:sz w:val="32"/>
          <w:lang w:val="en-US"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spacing w:before="0" w:line="530" w:lineRule="exact"/>
        <w:ind w:left="0" w:firstLine="640" w:firstLineChars="200"/>
        <w:jc w:val="both"/>
        <w:textAlignment w:val="baseline"/>
        <w:rPr>
          <w:rFonts w:hint="eastAsia"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000000"/>
          <w:sz w:val="32"/>
          <w:lang w:eastAsia="zh-CN"/>
        </w:rPr>
        <w:t>为深入贯彻习近平法治思想，完善旗属国有企业合规管理体系建设，全面提升依法合规经营能力和水平，切实防控风险，保障国企深化改革与高质量发展</w:t>
      </w:r>
      <w:r>
        <w:rPr>
          <w:rFonts w:hint="eastAsia" w:cs="仿宋_GB2312"/>
          <w:color w:val="000000"/>
          <w:sz w:val="32"/>
          <w:lang w:val="en-US" w:eastAsia="zh-CN"/>
        </w:rPr>
        <w:t>,</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根据《伊金霍洛旗国有资产监督管理委员会关于加强旗属国有企业合规管理三年行动工作(2023-2025年)指导意见》</w:t>
      </w:r>
      <w:r>
        <w:rPr>
          <w:rFonts w:hint="eastAsia" w:cs="仿宋_GB2312"/>
          <w:b w:val="0"/>
          <w:bCs w:val="0"/>
          <w:i w:val="0"/>
          <w:caps w:val="0"/>
          <w:color w:val="auto"/>
          <w:spacing w:val="0"/>
          <w:kern w:val="0"/>
          <w:sz w:val="32"/>
          <w:szCs w:val="32"/>
          <w:shd w:val="clear" w:fill="FFFFFF"/>
          <w:lang w:val="en-US" w:eastAsia="zh-CN" w:bidi="ar"/>
        </w:rPr>
        <w:t>内容,特制定《旗属国有企业合规管理清单》，现将有关事项通知如下。</w:t>
      </w:r>
    </w:p>
    <w:p>
      <w:pPr>
        <w:keepNext w:val="0"/>
        <w:keepLines w:val="0"/>
        <w:pageBreakBefore w:val="0"/>
        <w:widowControl/>
        <w:suppressLineNumbers w:val="0"/>
        <w:kinsoku/>
        <w:wordWrap/>
        <w:overflowPunct/>
        <w:topLinePunct w:val="0"/>
        <w:autoSpaceDE/>
        <w:autoSpaceDN/>
        <w:bidi w:val="0"/>
        <w:adjustRightInd/>
        <w:snapToGrid/>
        <w:spacing w:line="530" w:lineRule="exact"/>
        <w:ind w:left="0" w:firstLine="640" w:firstLineChars="200"/>
        <w:jc w:val="both"/>
        <w:rPr>
          <w:rFonts w:hint="eastAsia" w:ascii="黑体" w:hAnsi="黑体" w:eastAsia="黑体" w:cs="黑体"/>
          <w:b w:val="0"/>
          <w:bCs w:val="0"/>
          <w:i w:val="0"/>
          <w:caps w:val="0"/>
          <w:color w:val="auto"/>
          <w:spacing w:val="0"/>
          <w:kern w:val="0"/>
          <w:sz w:val="32"/>
          <w:szCs w:val="32"/>
          <w:shd w:val="clear" w:fill="FFFFFF"/>
          <w:lang w:val="en-US" w:eastAsia="zh-CN" w:bidi="ar"/>
        </w:rPr>
      </w:pPr>
      <w:r>
        <w:rPr>
          <w:rFonts w:hint="eastAsia" w:ascii="黑体" w:hAnsi="黑体" w:eastAsia="黑体" w:cs="黑体"/>
          <w:b w:val="0"/>
          <w:bCs w:val="0"/>
          <w:i w:val="0"/>
          <w:caps w:val="0"/>
          <w:color w:val="auto"/>
          <w:spacing w:val="0"/>
          <w:kern w:val="0"/>
          <w:sz w:val="32"/>
          <w:szCs w:val="32"/>
          <w:shd w:val="clear" w:fill="FFFFFF"/>
          <w:lang w:val="en-US" w:eastAsia="zh-CN" w:bidi="ar"/>
        </w:rPr>
        <w:t>一、合规管理责任主体“三道防线”</w:t>
      </w:r>
    </w:p>
    <w:p>
      <w:pPr>
        <w:keepNext w:val="0"/>
        <w:keepLines w:val="0"/>
        <w:pageBreakBefore w:val="0"/>
        <w:widowControl/>
        <w:kinsoku w:val="0"/>
        <w:wordWrap/>
        <w:overflowPunct/>
        <w:topLinePunct w:val="0"/>
        <w:autoSpaceDE w:val="0"/>
        <w:autoSpaceDN w:val="0"/>
        <w:bidi w:val="0"/>
        <w:adjustRightInd w:val="0"/>
        <w:snapToGrid w:val="0"/>
        <w:spacing w:line="530" w:lineRule="exact"/>
        <w:ind w:left="0" w:firstLine="640" w:firstLineChars="200"/>
        <w:jc w:val="both"/>
        <w:textAlignment w:val="baseline"/>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（一）合规管理责任筑牢“第一道防线”</w:t>
      </w:r>
    </w:p>
    <w:p>
      <w:pPr>
        <w:pStyle w:val="7"/>
        <w:keepNext w:val="0"/>
        <w:keepLines w:val="0"/>
        <w:pageBreakBefore w:val="0"/>
        <w:numPr>
          <w:ilvl w:val="0"/>
          <w:numId w:val="0"/>
        </w:numPr>
        <w:kinsoku/>
        <w:wordWrap/>
        <w:overflowPunct/>
        <w:topLinePunct w:val="0"/>
        <w:autoSpaceDE/>
        <w:autoSpaceDN/>
        <w:bidi w:val="0"/>
        <w:adjustRightInd/>
        <w:snapToGrid/>
        <w:spacing w:before="0" w:line="530" w:lineRule="exact"/>
        <w:ind w:left="0" w:firstLine="640" w:firstLineChars="200"/>
        <w:jc w:val="both"/>
        <w:rPr>
          <w:rFonts w:hint="eastAsia" w:ascii="仿宋_GB2312" w:hAnsi="仿宋_GB2312" w:eastAsia="仿宋_GB2312" w:cs="仿宋_GB2312"/>
          <w:b w:val="0"/>
          <w:bCs w:val="0"/>
          <w:color w:val="000000"/>
          <w:kern w:val="2"/>
          <w:sz w:val="32"/>
          <w:szCs w:val="24"/>
          <w:lang w:val="en-US" w:eastAsia="zh-CN" w:bidi="ar-SA"/>
        </w:rPr>
      </w:pPr>
      <w:r>
        <w:rPr>
          <w:rFonts w:hint="eastAsia" w:ascii="仿宋_GB2312" w:hAnsi="仿宋_GB2312" w:eastAsia="仿宋_GB2312" w:cs="仿宋_GB2312"/>
          <w:b w:val="0"/>
          <w:bCs w:val="0"/>
          <w:color w:val="000000"/>
          <w:kern w:val="2"/>
          <w:sz w:val="32"/>
          <w:szCs w:val="24"/>
          <w:lang w:val="en-US" w:eastAsia="zh-CN" w:bidi="ar-SA"/>
        </w:rPr>
        <w:t>企业的财务、投资、产权、安全生产、生产经营、质量环保、人力资源、营销等业务部门及职能部门，按照“管业务必须管合规”要求完善业务管理制度和流程，编制重点岗位合规职责清单，将合规要求落实到岗、明确到人，主动开展合规风险识别和隐患排查，发布合规预警，组织合规审查，及时向合规管理（牵头）部门通报合规风险事项，应当切实落实合规管理主体责任，负责本领域的日常合规管理工作，妥善应对合规风险事件，做好本领域合规培训和商业伙伴合规调查等工作，坚决守住“第一道防线”。</w:t>
      </w:r>
    </w:p>
    <w:p>
      <w:pPr>
        <w:keepNext w:val="0"/>
        <w:keepLines w:val="0"/>
        <w:pageBreakBefore w:val="0"/>
        <w:widowControl/>
        <w:kinsoku w:val="0"/>
        <w:wordWrap/>
        <w:overflowPunct/>
        <w:topLinePunct w:val="0"/>
        <w:autoSpaceDE w:val="0"/>
        <w:autoSpaceDN w:val="0"/>
        <w:bidi w:val="0"/>
        <w:adjustRightInd w:val="0"/>
        <w:snapToGrid w:val="0"/>
        <w:spacing w:line="530" w:lineRule="exact"/>
        <w:ind w:left="0" w:firstLine="640" w:firstLineChars="200"/>
        <w:jc w:val="both"/>
        <w:textAlignment w:val="baseline"/>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（二）合规管理责任筑牢“第二道防线”</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jc w:val="both"/>
        <w:textAlignment w:val="auto"/>
        <w:rPr>
          <w:rFonts w:hint="eastAsia" w:ascii="仿宋_GB2312" w:hAnsi="仿宋_GB2312" w:eastAsia="仿宋_GB2312" w:cs="仿宋_GB2312"/>
          <w:b w:val="0"/>
          <w:bCs w:val="0"/>
          <w:color w:val="000000"/>
          <w:sz w:val="32"/>
          <w:lang w:eastAsia="zh-CN"/>
        </w:rPr>
      </w:pPr>
      <w:r>
        <w:rPr>
          <w:rFonts w:hint="eastAsia" w:ascii="仿宋_GB2312" w:hAnsi="仿宋_GB2312" w:eastAsia="仿宋_GB2312" w:cs="仿宋_GB2312"/>
          <w:b w:val="0"/>
          <w:bCs w:val="0"/>
          <w:color w:val="000000"/>
          <w:sz w:val="32"/>
          <w:lang w:eastAsia="zh-CN"/>
        </w:rPr>
        <w:t>企业合规管理部门（企业法律事务机构）牵头负责本企业合规管理工作，统筹协调和指导相关部门、所属子企业建立健全合规管理体系，不断筑牢“第二道防线”。</w:t>
      </w:r>
    </w:p>
    <w:p>
      <w:pPr>
        <w:keepNext w:val="0"/>
        <w:keepLines w:val="0"/>
        <w:pageBreakBefore w:val="0"/>
        <w:widowControl/>
        <w:kinsoku w:val="0"/>
        <w:wordWrap/>
        <w:overflowPunct/>
        <w:topLinePunct w:val="0"/>
        <w:autoSpaceDE w:val="0"/>
        <w:autoSpaceDN w:val="0"/>
        <w:bidi w:val="0"/>
        <w:adjustRightInd w:val="0"/>
        <w:snapToGrid w:val="0"/>
        <w:spacing w:line="530" w:lineRule="exact"/>
        <w:ind w:left="0" w:firstLine="640" w:firstLineChars="200"/>
        <w:jc w:val="both"/>
        <w:textAlignment w:val="baseline"/>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（三）合规管理责任筑牢“第三道防线”</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b w:val="0"/>
          <w:bCs w:val="0"/>
          <w:color w:val="auto"/>
          <w:sz w:val="32"/>
          <w:lang w:eastAsia="zh-CN"/>
        </w:rPr>
        <w:t>企业监事会、派驻纪检组和审计等监督部门依据有关规定，在职</w:t>
      </w:r>
      <w:r>
        <w:rPr>
          <w:rFonts w:hint="eastAsia" w:ascii="仿宋_GB2312" w:hAnsi="仿宋_GB2312" w:eastAsia="仿宋_GB2312" w:cs="仿宋_GB2312"/>
          <w:b w:val="0"/>
          <w:bCs w:val="0"/>
          <w:color w:val="000000"/>
          <w:sz w:val="32"/>
          <w:lang w:eastAsia="zh-CN"/>
        </w:rPr>
        <w:t>权范围内对合规要求落实情况进行监督，加强对重大项目、财务资金、物资采购、招投标等重点领域的监督检查，对发现的问题督促有关部门或子企业立行立改，并按照相关规定追究责任，</w:t>
      </w:r>
      <w:r>
        <w:rPr>
          <w:rFonts w:hint="eastAsia" w:ascii="仿宋" w:hAnsi="仿宋" w:eastAsia="仿宋" w:cs="仿宋"/>
          <w:b w:val="0"/>
          <w:bCs w:val="0"/>
          <w:color w:val="auto"/>
          <w:sz w:val="32"/>
          <w:lang w:eastAsia="zh-CN"/>
        </w:rPr>
        <w:t>不断加强“第三道防线”的建设</w:t>
      </w:r>
      <w:r>
        <w:rPr>
          <w:rFonts w:hint="eastAsia" w:ascii="仿宋_GB2312" w:hAnsi="仿宋_GB2312" w:eastAsia="仿宋_GB2312" w:cs="仿宋_GB2312"/>
          <w:b w:val="0"/>
          <w:bCs w:val="0"/>
          <w:color w:val="000000"/>
          <w:sz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0" w:line="530" w:lineRule="exact"/>
        <w:ind w:left="0" w:firstLine="640" w:firstLineChars="200"/>
        <w:jc w:val="both"/>
        <w:textAlignment w:val="baseline"/>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二、合规管理重点</w:t>
      </w:r>
    </w:p>
    <w:p>
      <w:pPr>
        <w:keepNext w:val="0"/>
        <w:keepLines w:val="0"/>
        <w:pageBreakBefore w:val="0"/>
        <w:widowControl/>
        <w:kinsoku w:val="0"/>
        <w:wordWrap/>
        <w:overflowPunct/>
        <w:topLinePunct w:val="0"/>
        <w:autoSpaceDE w:val="0"/>
        <w:autoSpaceDN w:val="0"/>
        <w:bidi w:val="0"/>
        <w:adjustRightInd w:val="0"/>
        <w:snapToGrid w:val="0"/>
        <w:spacing w:line="530" w:lineRule="exact"/>
        <w:ind w:left="0" w:firstLine="640" w:firstLineChars="200"/>
        <w:jc w:val="both"/>
        <w:textAlignment w:val="baseline"/>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（一）合规管理重点内容</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内部</w:t>
      </w:r>
      <w:r>
        <w:rPr>
          <w:rFonts w:hint="eastAsia" w:ascii="仿宋_GB2312" w:hAnsi="仿宋_GB2312" w:eastAsia="仿宋_GB2312" w:cs="仿宋_GB2312"/>
          <w:sz w:val="32"/>
          <w:szCs w:val="32"/>
        </w:rPr>
        <w:t>治理。全面</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落实“三重一大”决策制度，强化制度文件的合规</w:t>
      </w:r>
      <w:r>
        <w:rPr>
          <w:rFonts w:hint="eastAsia" w:ascii="仿宋_GB2312" w:hAnsi="仿宋_GB2312" w:eastAsia="仿宋_GB2312" w:cs="仿宋_GB2312"/>
          <w:sz w:val="32"/>
          <w:szCs w:val="32"/>
          <w:lang w:eastAsia="zh-CN"/>
        </w:rPr>
        <w:t>合法</w:t>
      </w:r>
      <w:r>
        <w:rPr>
          <w:rFonts w:hint="eastAsia" w:ascii="仿宋_GB2312" w:hAnsi="仿宋_GB2312" w:eastAsia="仿宋_GB2312" w:cs="仿宋_GB2312"/>
          <w:sz w:val="32"/>
          <w:szCs w:val="32"/>
        </w:rPr>
        <w:t>审查，提升决策有效性，保障</w:t>
      </w:r>
      <w:r>
        <w:rPr>
          <w:rFonts w:hint="eastAsia" w:ascii="仿宋_GB2312" w:hAnsi="仿宋_GB2312" w:eastAsia="仿宋_GB2312" w:cs="仿宋_GB2312"/>
          <w:sz w:val="32"/>
          <w:szCs w:val="32"/>
          <w:lang w:eastAsia="zh-CN"/>
        </w:rPr>
        <w:t>党委会、</w:t>
      </w:r>
      <w:r>
        <w:rPr>
          <w:rFonts w:hint="eastAsia" w:ascii="仿宋_GB2312" w:hAnsi="仿宋_GB2312" w:eastAsia="仿宋_GB2312" w:cs="仿宋_GB2312"/>
          <w:sz w:val="32"/>
          <w:szCs w:val="32"/>
        </w:rPr>
        <w:t>董事会、监事会、经理层等依据法律</w:t>
      </w:r>
      <w:r>
        <w:rPr>
          <w:rFonts w:hint="eastAsia" w:ascii="仿宋_GB2312" w:hAnsi="仿宋_GB2312" w:eastAsia="仿宋_GB2312" w:cs="仿宋_GB2312"/>
          <w:sz w:val="32"/>
          <w:szCs w:val="32"/>
          <w:lang w:eastAsia="zh-CN"/>
        </w:rPr>
        <w:t>法</w:t>
      </w:r>
      <w:r>
        <w:rPr>
          <w:rFonts w:hint="eastAsia" w:ascii="仿宋_GB2312" w:hAnsi="仿宋_GB2312" w:eastAsia="仿宋_GB2312" w:cs="仿宋_GB2312"/>
          <w:sz w:val="32"/>
          <w:szCs w:val="32"/>
        </w:rPr>
        <w:t>规</w:t>
      </w:r>
      <w:r>
        <w:rPr>
          <w:rFonts w:hint="eastAsia" w:ascii="仿宋_GB2312" w:hAnsi="仿宋_GB2312" w:eastAsia="仿宋_GB2312" w:cs="仿宋_GB2312"/>
          <w:sz w:val="32"/>
          <w:szCs w:val="32"/>
          <w:lang w:eastAsia="zh-CN"/>
        </w:rPr>
        <w:t>规章制度</w:t>
      </w:r>
      <w:r>
        <w:rPr>
          <w:rFonts w:hint="eastAsia" w:ascii="仿宋_GB2312" w:hAnsi="仿宋_GB2312" w:eastAsia="仿宋_GB2312" w:cs="仿宋_GB2312"/>
          <w:sz w:val="32"/>
          <w:szCs w:val="32"/>
        </w:rPr>
        <w:t xml:space="preserve">履职。    </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市场交易。完善</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交易管理制度，严格履行决策批准程序，建立健全自律诚信体系，突出反欺诈、反商业贿赂、反垄断、反不正当竞争，规范资产交易和招投标</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程序</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合同管理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合同管理可以参考内部控制的相关</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 xml:space="preserve">，针对合同准备阶段、合同签署阶段、合同履行阶段以及合同履行后的阶段进行管控，明确合同统一的管理部门，按业务实行归口管理，加强多部门的联合审核，强化合同履行的事中监控，健全考核和追责。   </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商业伙伴。对重要商业伙伴开展合规调查，通过签订合规协议、要求作出合规承诺等方式促进商业伙伴行为合规，依法合规采集、处理、保存和使用商业伙伴保密信息，保护商业伙伴隐私信息。    </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财务税收。</w:t>
      </w:r>
      <w:r>
        <w:rPr>
          <w:rFonts w:hint="eastAsia" w:ascii="仿宋_GB2312" w:hAnsi="仿宋_GB2312" w:eastAsia="仿宋_GB2312" w:cs="仿宋_GB2312"/>
          <w:sz w:val="32"/>
          <w:szCs w:val="32"/>
          <w:lang w:eastAsia="zh-CN"/>
        </w:rPr>
        <w:t>建立健全</w:t>
      </w:r>
      <w:r>
        <w:rPr>
          <w:rFonts w:hint="eastAsia" w:ascii="仿宋_GB2312" w:hAnsi="仿宋_GB2312" w:eastAsia="仿宋_GB2312" w:cs="仿宋_GB2312"/>
          <w:sz w:val="32"/>
          <w:szCs w:val="32"/>
        </w:rPr>
        <w:t>财务内部控制体系，严格遵守财务规章制度，严格执行财务事项操作和审批流程，严守财经纪律，强化依法纳税意识，严格遵守税收法律政策。</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债务管理。全面落实加强国有企业资产负债约束、维护资金安全、提高资本回报等有关要求，规范发债、资金拆借、担保管理等行为，加大债务监督检查力度，严肃问题责任追究。企业发债要符合资产负债约束要求，发债资金应优先保障主业发展、新兴产业项目等，加强投后管理，有效防范债务偿付风险。  </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投资管理。严格</w:t>
      </w:r>
      <w:r>
        <w:rPr>
          <w:rFonts w:hint="eastAsia" w:ascii="仿宋_GB2312" w:hAnsi="仿宋_GB2312" w:eastAsia="仿宋_GB2312" w:cs="仿宋_GB2312"/>
          <w:sz w:val="32"/>
          <w:szCs w:val="32"/>
          <w:lang w:eastAsia="zh-CN"/>
        </w:rPr>
        <w:t>执行旗国资委项目</w:t>
      </w:r>
      <w:r>
        <w:rPr>
          <w:rFonts w:hint="eastAsia" w:ascii="仿宋_GB2312" w:hAnsi="仿宋_GB2312" w:eastAsia="仿宋_GB2312" w:cs="仿宋_GB2312"/>
          <w:sz w:val="32"/>
          <w:szCs w:val="32"/>
        </w:rPr>
        <w:t xml:space="preserve">投资监管相关规定，建立健全事前、事中、事后管理工作体系，防止违规投资行为，强化违规投资责任追究。    </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工程建设。建立健全工程建设项目合规管理工作体系，强化对工程项目质量、进度、安全、建设资金等环节全过程合规管控，规范履行施工、监理、设计合同，保障建设项目在依法合规的基础上顺利实施。</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知识产权。及时申请注册知识产权成果，规范实施许可和转让，加强对商业秘密和商标的保护，依法规范使用他人知识产权，防止侵权行为。</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租赁性资产。建立健全租赁性资产管理制度，优化业务管理流程，完善租赁合同管理，加强对租赁性资产运行的审计和监督。</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信息安全。强化信息安全保护的有效性与执行性，采取全面可行的保护措施，防止重大商业信息与内幕信息泄露。尊重业务伙伴和客户的隐私信息。依法合规规范采集、处理、保存和使用个人信息。 </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劳动用工。</w:t>
      </w:r>
      <w:r>
        <w:rPr>
          <w:rFonts w:hint="eastAsia" w:ascii="仿宋_GB2312" w:hAnsi="仿宋_GB2312" w:eastAsia="仿宋_GB2312" w:cs="仿宋_GB2312"/>
          <w:sz w:val="32"/>
          <w:szCs w:val="32"/>
          <w:lang w:eastAsia="zh-CN"/>
        </w:rPr>
        <w:t>严格执行旗国资委关于用工审批制度，</w:t>
      </w:r>
      <w:r>
        <w:rPr>
          <w:rFonts w:hint="eastAsia" w:ascii="仿宋_GB2312" w:hAnsi="仿宋_GB2312" w:eastAsia="仿宋_GB2312" w:cs="仿宋_GB2312"/>
          <w:sz w:val="32"/>
          <w:szCs w:val="32"/>
        </w:rPr>
        <w:t xml:space="preserve">严格遵守劳动法律法规，健全完善劳动合同管理制度，规范劳动合同签订、履行、变更和解除等，切实维护劳动者合法权益。    </w:t>
      </w:r>
    </w:p>
    <w:p>
      <w:pPr>
        <w:keepNext w:val="0"/>
        <w:keepLines w:val="0"/>
        <w:pageBreakBefore w:val="0"/>
        <w:kinsoku/>
        <w:wordWrap/>
        <w:overflowPunct/>
        <w:topLinePunct w:val="0"/>
        <w:autoSpaceDE/>
        <w:autoSpaceDN/>
        <w:bidi w:val="0"/>
        <w:adjustRightInd/>
        <w:snapToGrid/>
        <w:spacing w:line="53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 xml:space="preserve">安全环保。严格执行国家安全生产、环境保护法律法规，完善企业生产规范和安全环保制度，加强监督检查，及时发现并整改违规问题。   </w:t>
      </w:r>
    </w:p>
    <w:p>
      <w:pPr>
        <w:pStyle w:val="7"/>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w:t>
      </w:r>
      <w:r>
        <w:rPr>
          <w:rFonts w:hint="eastAsia"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 xml:space="preserve">产品质量。完善质量体系，加强过程控制，严把各环节质量关，提供优质产品和服务。  </w:t>
      </w:r>
    </w:p>
    <w:p>
      <w:pPr>
        <w:pStyle w:val="7"/>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cs="仿宋_GB2312"/>
          <w:sz w:val="32"/>
          <w:szCs w:val="32"/>
          <w:lang w:val="en-US" w:eastAsia="zh-CN"/>
        </w:rPr>
        <w:t>.</w:t>
      </w:r>
      <w:r>
        <w:rPr>
          <w:rFonts w:hint="eastAsia" w:ascii="仿宋_GB2312" w:hAnsi="仿宋_GB2312" w:eastAsia="仿宋_GB2312" w:cs="仿宋_GB2312"/>
          <w:sz w:val="32"/>
          <w:szCs w:val="32"/>
        </w:rPr>
        <w:t>礼品与商务接待。禁止超规格、超标准接受或送出礼品以及超标准接受或组织商务宴请，维护正常商业关系与市场秩序。</w:t>
      </w:r>
    </w:p>
    <w:p>
      <w:pPr>
        <w:pStyle w:val="7"/>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cs="仿宋_GB2312"/>
          <w:sz w:val="32"/>
          <w:szCs w:val="32"/>
          <w:lang w:val="en-US" w:eastAsia="zh-CN"/>
        </w:rPr>
        <w:t>.</w:t>
      </w:r>
      <w:r>
        <w:rPr>
          <w:rFonts w:hint="eastAsia" w:ascii="仿宋_GB2312" w:hAnsi="仿宋_GB2312" w:eastAsia="仿宋_GB2312" w:cs="仿宋_GB2312"/>
          <w:sz w:val="32"/>
          <w:szCs w:val="32"/>
        </w:rPr>
        <w:t>社会捐赠与赞助。严格审批程序，防止因不当捐赠与赞助导致的社会负面评价与不良效果。</w:t>
      </w:r>
    </w:p>
    <w:p>
      <w:pPr>
        <w:pStyle w:val="7"/>
        <w:keepNext w:val="0"/>
        <w:keepLines w:val="0"/>
        <w:pageBreakBefore w:val="0"/>
        <w:widowControl/>
        <w:numPr>
          <w:ilvl w:val="0"/>
          <w:numId w:val="0"/>
        </w:numPr>
        <w:kinsoku/>
        <w:wordWrap/>
        <w:overflowPunct/>
        <w:topLinePunct w:val="0"/>
        <w:autoSpaceDE/>
        <w:autoSpaceDN/>
        <w:bidi w:val="0"/>
        <w:adjustRightInd/>
        <w:snapToGrid/>
        <w:spacing w:before="0" w:line="530" w:lineRule="exact"/>
        <w:ind w:left="0" w:firstLine="640" w:firstLineChars="200"/>
        <w:jc w:val="both"/>
        <w:textAlignment w:val="baseline"/>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sz w:val="32"/>
          <w:szCs w:val="32"/>
          <w:lang w:val="en-US" w:eastAsia="zh-CN"/>
        </w:rPr>
        <w:t>17</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域外业务。健全域外合规经营的制度、体系、流程，重视开展项目的合规论证和尽职调查，定期开展对域外投资经营行为合规风险评估，形成境外投资经营行为合规风险书面评估报告，并提出整改或预防意见。按照要求履行资产有关评估程序。严格执行国家出口管制法律法规，防止出口产品及服务因违规受到处罚。严格执行旗国资委投资项目负面清单。</w:t>
      </w:r>
    </w:p>
    <w:p>
      <w:pPr>
        <w:keepNext w:val="0"/>
        <w:keepLines w:val="0"/>
        <w:pageBreakBefore w:val="0"/>
        <w:widowControl/>
        <w:kinsoku w:val="0"/>
        <w:wordWrap/>
        <w:overflowPunct/>
        <w:topLinePunct w:val="0"/>
        <w:autoSpaceDE w:val="0"/>
        <w:autoSpaceDN w:val="0"/>
        <w:bidi w:val="0"/>
        <w:adjustRightInd w:val="0"/>
        <w:snapToGrid w:val="0"/>
        <w:spacing w:line="530" w:lineRule="exact"/>
        <w:ind w:left="0" w:firstLine="640" w:firstLineChars="200"/>
        <w:jc w:val="both"/>
        <w:textAlignment w:val="baseline"/>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（二）合规管理重要手段“三张清单”</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30" w:lineRule="exact"/>
        <w:ind w:left="0" w:firstLine="640" w:firstLineChars="200"/>
        <w:jc w:val="both"/>
        <w:textAlignment w:val="baseline"/>
        <w:rPr>
          <w:rFonts w:hint="eastAsia" w:cs="仿宋_GB2312"/>
          <w:sz w:val="32"/>
          <w:szCs w:val="32"/>
          <w:lang w:val="en-US" w:eastAsia="zh-CN"/>
        </w:rPr>
      </w:pPr>
      <w:r>
        <w:rPr>
          <w:rFonts w:hint="eastAsia" w:ascii="楷体_GB2312" w:hAnsi="楷体_GB2312" w:eastAsia="楷体_GB2312" w:cs="楷体_GB2312"/>
          <w:lang w:val="en-US" w:eastAsia="zh-CN"/>
        </w:rPr>
        <w:t>1.风险识别清单。</w:t>
      </w:r>
      <w:r>
        <w:rPr>
          <w:rFonts w:hint="default" w:ascii="仿宋_GB2312" w:hAnsi="仿宋_GB2312" w:eastAsia="仿宋_GB2312" w:cs="仿宋_GB2312"/>
          <w:sz w:val="32"/>
          <w:szCs w:val="32"/>
          <w:lang w:val="en-US" w:eastAsia="zh-CN"/>
        </w:rPr>
        <w:t>风险识别是企业各部门在全面排查的基础上，按照业务类型等将合规风险进行分类，明确合规风险的</w:t>
      </w:r>
      <w:r>
        <w:rPr>
          <w:rFonts w:hint="eastAsia" w:cs="仿宋_GB2312"/>
          <w:sz w:val="32"/>
          <w:szCs w:val="32"/>
          <w:lang w:val="en-US" w:eastAsia="zh-CN"/>
        </w:rPr>
        <w:t>可能性及</w:t>
      </w:r>
      <w:r>
        <w:rPr>
          <w:rFonts w:hint="default" w:ascii="仿宋_GB2312" w:hAnsi="仿宋_GB2312" w:eastAsia="仿宋_GB2312" w:cs="仿宋_GB2312"/>
          <w:sz w:val="32"/>
          <w:szCs w:val="32"/>
          <w:lang w:val="en-US" w:eastAsia="zh-CN"/>
        </w:rPr>
        <w:t>表现形式、产生原因、违规后果、责任主体等方面，作为开展合规管理的重要基础。</w:t>
      </w:r>
      <w:r>
        <w:rPr>
          <w:rFonts w:hint="eastAsia" w:ascii="仿宋_GB2312" w:hAnsi="仿宋_GB2312" w:eastAsia="仿宋_GB2312" w:cs="仿宋_GB2312"/>
          <w:sz w:val="32"/>
          <w:szCs w:val="32"/>
          <w:lang w:val="en-US" w:eastAsia="zh-CN"/>
        </w:rPr>
        <w:t>同时，需按照风险评估的结果，对重要合规风险进行提炼。将风控、内控与合规相结合，制定一体化的全面风险清单。</w:t>
      </w:r>
      <w:r>
        <w:rPr>
          <w:rFonts w:hint="eastAsia" w:cs="仿宋_GB2312"/>
          <w:sz w:val="32"/>
          <w:szCs w:val="32"/>
          <w:lang w:val="en-US" w:eastAsia="zh-CN"/>
        </w:rPr>
        <w:t>（格式详见附件2）</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30" w:lineRule="exact"/>
        <w:ind w:left="0" w:firstLine="640" w:firstLineChars="200"/>
        <w:jc w:val="both"/>
        <w:textAlignment w:val="baseline"/>
        <w:rPr>
          <w:rFonts w:hint="eastAsia" w:cs="仿宋_GB2312"/>
          <w:sz w:val="32"/>
          <w:szCs w:val="32"/>
          <w:lang w:val="en-US" w:eastAsia="zh-CN"/>
        </w:rPr>
      </w:pPr>
      <w:r>
        <w:rPr>
          <w:rFonts w:hint="eastAsia" w:ascii="楷体_GB2312" w:hAnsi="楷体_GB2312" w:eastAsia="楷体_GB2312" w:cs="楷体_GB2312"/>
          <w:lang w:val="en-US" w:eastAsia="zh-CN"/>
        </w:rPr>
        <w:t>2.</w:t>
      </w:r>
      <w:r>
        <w:rPr>
          <w:rFonts w:hint="default" w:ascii="楷体_GB2312" w:hAnsi="楷体_GB2312" w:eastAsia="楷体_GB2312" w:cs="楷体_GB2312"/>
          <w:lang w:val="en-US" w:eastAsia="zh-CN"/>
        </w:rPr>
        <w:t>岗位合规职责</w:t>
      </w:r>
      <w:r>
        <w:rPr>
          <w:rFonts w:hint="eastAsia" w:ascii="楷体_GB2312" w:hAnsi="楷体_GB2312" w:eastAsia="楷体_GB2312" w:cs="楷体_GB2312"/>
          <w:lang w:val="en-US" w:eastAsia="zh-CN"/>
        </w:rPr>
        <w:t>清单。</w:t>
      </w:r>
      <w:r>
        <w:rPr>
          <w:rFonts w:hint="eastAsia" w:ascii="仿宋_GB2312" w:hAnsi="仿宋_GB2312" w:eastAsia="仿宋_GB2312" w:cs="仿宋_GB2312"/>
          <w:kern w:val="0"/>
          <w:sz w:val="32"/>
          <w:szCs w:val="32"/>
          <w:lang w:val="en-US" w:eastAsia="zh-CN" w:bidi="ar"/>
        </w:rPr>
        <w:t>以岗位为根本，结合业务部门、合规管理部门、内部审计和纪检监察部门“三道防线”设定不同岗位的具体职责，对照这些岗位职责，将每个职责中的合规审核、合规管理、合规动作都反映出来，凸显本岗的合规职责</w:t>
      </w:r>
      <w:r>
        <w:rPr>
          <w:rFonts w:hint="eastAsia" w:cs="仿宋_GB2312"/>
          <w:sz w:val="32"/>
          <w:szCs w:val="32"/>
          <w:lang w:val="en-US" w:eastAsia="zh-CN"/>
        </w:rPr>
        <w:t>。（格式详见附件3）</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30" w:lineRule="exact"/>
        <w:ind w:left="0" w:firstLine="640" w:firstLineChars="200"/>
        <w:jc w:val="both"/>
        <w:textAlignment w:val="baseline"/>
        <w:rPr>
          <w:rFonts w:hint="default" w:ascii="仿宋_GB2312" w:hAnsi="仿宋_GB2312" w:eastAsia="仿宋_GB2312" w:cs="仿宋_GB2312"/>
          <w:lang w:val="en-US" w:eastAsia="zh-CN"/>
        </w:rPr>
      </w:pPr>
      <w:r>
        <w:rPr>
          <w:rFonts w:hint="eastAsia" w:ascii="楷体_GB2312" w:hAnsi="楷体_GB2312" w:eastAsia="楷体_GB2312" w:cs="楷体_GB2312"/>
          <w:lang w:val="en-US" w:eastAsia="zh-CN"/>
        </w:rPr>
        <w:t>3.流程管控清单。</w:t>
      </w:r>
      <w:r>
        <w:rPr>
          <w:rFonts w:hint="eastAsia" w:ascii="仿宋_GB2312" w:hAnsi="仿宋_GB2312" w:eastAsia="仿宋_GB2312" w:cs="仿宋_GB2312"/>
          <w:sz w:val="32"/>
          <w:szCs w:val="32"/>
          <w:lang w:val="en-US" w:eastAsia="zh-CN"/>
        </w:rPr>
        <w:t>流程管控是在企业的业务流程和管理流程中，通过识别合规风险，设置关键风控点，增加合规审查环节，每个流程管控环节依次确认，形成流程管控清单。企业员工需要梳理业务管理流程，分析重点环节的风险，在薄弱环节增设措施，修改企业原有管理措施，制定适当的流程来及时跟踪合规义务的出台和变更，以确保企业持续合规。</w:t>
      </w:r>
      <w:r>
        <w:rPr>
          <w:rFonts w:hint="eastAsia" w:cs="仿宋_GB2312"/>
          <w:sz w:val="32"/>
          <w:szCs w:val="32"/>
          <w:lang w:val="en-US" w:eastAsia="zh-CN"/>
        </w:rPr>
        <w:t>（格式详见附件4）</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jc w:val="both"/>
        <w:textAlignment w:val="auto"/>
        <w:rPr>
          <w:rFonts w:hint="eastAsia" w:ascii="黑体" w:hAnsi="黑体" w:eastAsia="黑体" w:cs="黑体"/>
          <w:color w:val="auto"/>
          <w:sz w:val="32"/>
          <w:lang w:val="en-US" w:eastAsia="zh-CN"/>
        </w:rPr>
      </w:pPr>
      <w:r>
        <w:rPr>
          <w:rFonts w:hint="eastAsia" w:ascii="黑体" w:hAnsi="黑体" w:eastAsia="黑体" w:cs="黑体"/>
          <w:color w:val="auto"/>
          <w:sz w:val="32"/>
          <w:lang w:eastAsia="zh-CN"/>
        </w:rPr>
        <w:t>三、</w:t>
      </w:r>
      <w:r>
        <w:rPr>
          <w:rFonts w:hint="eastAsia" w:ascii="黑体" w:hAnsi="黑体" w:eastAsia="黑体" w:cs="黑体"/>
          <w:color w:val="auto"/>
          <w:sz w:val="32"/>
          <w:lang w:val="en-US" w:eastAsia="zh-CN"/>
        </w:rPr>
        <w:t>合规管理保障</w:t>
      </w:r>
    </w:p>
    <w:p>
      <w:pPr>
        <w:keepNext w:val="0"/>
        <w:keepLines w:val="0"/>
        <w:pageBreakBefore w:val="0"/>
        <w:widowControl/>
        <w:kinsoku w:val="0"/>
        <w:wordWrap/>
        <w:overflowPunct/>
        <w:topLinePunct w:val="0"/>
        <w:autoSpaceDE w:val="0"/>
        <w:autoSpaceDN w:val="0"/>
        <w:bidi w:val="0"/>
        <w:adjustRightInd w:val="0"/>
        <w:snapToGrid w:val="0"/>
        <w:spacing w:line="530" w:lineRule="exact"/>
        <w:ind w:left="0" w:leftChars="0" w:firstLine="640" w:firstLineChars="200"/>
        <w:jc w:val="both"/>
        <w:textAlignment w:val="baseline"/>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（一）加强合规考核评价</w:t>
      </w:r>
    </w:p>
    <w:p>
      <w:pPr>
        <w:keepNext w:val="0"/>
        <w:keepLines w:val="0"/>
        <w:pageBreakBefore w:val="0"/>
        <w:widowControl/>
        <w:kinsoku w:val="0"/>
        <w:wordWrap/>
        <w:overflowPunct/>
        <w:topLinePunct w:val="0"/>
        <w:autoSpaceDE w:val="0"/>
        <w:autoSpaceDN w:val="0"/>
        <w:bidi w:val="0"/>
        <w:adjustRightInd w:val="0"/>
        <w:snapToGrid w:val="0"/>
        <w:spacing w:line="530" w:lineRule="exact"/>
        <w:ind w:left="0" w:leftChars="0" w:firstLine="640" w:firstLineChars="200"/>
        <w:jc w:val="both"/>
        <w:textAlignment w:val="baseline"/>
        <w:rPr>
          <w:rFonts w:hint="eastAsia" w:cs="仿宋_GB2312"/>
          <w:b w:val="0"/>
          <w:bCs w:val="0"/>
          <w:color w:val="auto"/>
          <w:sz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旗国资委将严格按照指导意见对旗属国有企业关于合规管理工作执行情况进行分值（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3-5分</w:t>
      </w:r>
      <w:r>
        <w:rPr>
          <w:rFonts w:hint="eastAsia" w:ascii="仿宋_GB2312" w:hAnsi="仿宋_GB2312" w:eastAsia="仿宋_GB2312" w:cs="仿宋_GB2312"/>
          <w:color w:val="000000" w:themeColor="text1"/>
          <w:sz w:val="32"/>
          <w:szCs w:val="32"/>
          <w:lang w:eastAsia="zh-CN"/>
          <w14:textFill>
            <w14:solidFill>
              <w14:schemeClr w14:val="tx1"/>
            </w14:solidFill>
          </w14:textFill>
        </w:rPr>
        <w:t>）加减考核，并将考核结果纳入企业年度经营业绩考核中，若旗属国有企业拒不执行或者执行缓慢，相关责任人将承担相应责任。</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jc w:val="both"/>
        <w:textAlignment w:val="auto"/>
        <w:rPr>
          <w:rFonts w:hint="eastAsia" w:ascii="仿宋_GB2312" w:hAnsi="仿宋_GB2312" w:eastAsia="仿宋_GB2312" w:cs="仿宋_GB2312"/>
          <w:b w:val="0"/>
          <w:bCs w:val="0"/>
          <w:color w:val="000000"/>
          <w:sz w:val="32"/>
          <w:lang w:val="en-US" w:eastAsia="zh-CN"/>
        </w:rPr>
      </w:pPr>
      <w:r>
        <w:rPr>
          <w:rFonts w:hint="eastAsia" w:ascii="仿宋_GB2312" w:hAnsi="仿宋_GB2312" w:eastAsia="仿宋_GB2312" w:cs="仿宋_GB2312"/>
          <w:b w:val="0"/>
          <w:bCs w:val="0"/>
          <w:color w:val="000000"/>
          <w:sz w:val="32"/>
          <w:lang w:val="en-US" w:eastAsia="zh-CN"/>
        </w:rPr>
        <w:t>集团及重要子企业应该把合规经营管理情况纳入对各部门和所属子企业负责人的年度综合考核，细化评价指标。对所属单位和员工合规职责履行情况进行评价，并将结果作为员工考核、干部任用、评先选优等工作的重要依据。</w:t>
      </w:r>
    </w:p>
    <w:p>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firstLine="640" w:firstLineChars="200"/>
        <w:jc w:val="both"/>
        <w:textAlignment w:val="auto"/>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积极培育合规文化</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firstLine="640" w:firstLineChars="200"/>
        <w:jc w:val="both"/>
        <w:textAlignment w:val="auto"/>
        <w:rPr>
          <w:rFonts w:hint="eastAsia" w:ascii="仿宋_GB2312" w:hAnsi="仿宋_GB2312" w:eastAsia="仿宋_GB2312" w:cs="仿宋_GB2312"/>
          <w:b w:val="0"/>
          <w:bCs w:val="0"/>
          <w:color w:val="000000"/>
          <w:sz w:val="32"/>
          <w:lang w:val="en-US" w:eastAsia="zh-CN"/>
        </w:rPr>
      </w:pPr>
      <w:r>
        <w:rPr>
          <w:rFonts w:hint="eastAsia" w:ascii="仿宋_GB2312" w:hAnsi="仿宋_GB2312" w:eastAsia="仿宋_GB2312" w:cs="仿宋_GB2312"/>
          <w:b w:val="0"/>
          <w:bCs w:val="0"/>
          <w:color w:val="000000"/>
          <w:sz w:val="32"/>
          <w:lang w:val="en-US" w:eastAsia="zh-CN"/>
        </w:rPr>
        <w:t>通过制定发放合规手册、签订合规承诺书等方式，强化全员安全、质量、诚信和廉洁等意识，树立依法合规、守法诚信的价值观，筑牢合规经营的思想基础。</w:t>
      </w:r>
    </w:p>
    <w:p>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建立专业化、高素质的合规管理队伍</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firstLine="640" w:firstLineChars="200"/>
        <w:jc w:val="both"/>
        <w:textAlignment w:val="auto"/>
        <w:rPr>
          <w:rFonts w:hint="eastAsia" w:ascii="仿宋_GB2312" w:hAnsi="仿宋_GB2312" w:eastAsia="仿宋_GB2312" w:cs="仿宋_GB2312"/>
          <w:b w:val="0"/>
          <w:bCs w:val="0"/>
          <w:color w:val="000000"/>
          <w:sz w:val="32"/>
          <w:lang w:val="en-US" w:eastAsia="zh-CN"/>
        </w:rPr>
      </w:pPr>
      <w:r>
        <w:rPr>
          <w:rFonts w:hint="eastAsia" w:ascii="仿宋_GB2312" w:hAnsi="仿宋_GB2312" w:eastAsia="仿宋_GB2312" w:cs="仿宋_GB2312"/>
          <w:b w:val="0"/>
          <w:bCs w:val="0"/>
          <w:color w:val="000000"/>
          <w:sz w:val="32"/>
          <w:lang w:val="en-US" w:eastAsia="zh-CN"/>
        </w:rPr>
        <w:t>根据业务规模、合规风险水平等因素配备合规管理人员，持续加强业务培训，提升队伍能力水平。</w:t>
      </w:r>
    </w:p>
    <w:p>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firstLine="640" w:firstLineChars="200"/>
        <w:jc w:val="both"/>
        <w:textAlignment w:val="auto"/>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建立合规报告制度</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firstLine="640" w:firstLineChars="200"/>
        <w:jc w:val="both"/>
        <w:textAlignment w:val="auto"/>
        <w:rPr>
          <w:rFonts w:hint="eastAsia" w:ascii="仿宋_GB2312" w:hAnsi="仿宋_GB2312" w:eastAsia="仿宋_GB2312" w:cs="仿宋_GB2312"/>
          <w:b w:val="0"/>
          <w:bCs w:val="0"/>
          <w:color w:val="000000"/>
          <w:sz w:val="32"/>
          <w:lang w:val="en-US" w:eastAsia="zh-CN"/>
        </w:rPr>
      </w:pPr>
      <w:r>
        <w:rPr>
          <w:rFonts w:hint="eastAsia" w:ascii="仿宋_GB2312" w:hAnsi="仿宋_GB2312" w:eastAsia="仿宋_GB2312" w:cs="仿宋_GB2312"/>
          <w:b w:val="0"/>
          <w:bCs w:val="0"/>
          <w:color w:val="000000"/>
          <w:sz w:val="32"/>
          <w:lang w:val="en-US" w:eastAsia="zh-CN"/>
        </w:rPr>
        <w:t>发生较大合规风险事件，合规管理牵头部门和相关部门应当及时向合规管理负责人、分管领导报告。重大合规风险事件应当向旗国资委和有关部门报告。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firstLine="640" w:firstLineChars="200"/>
        <w:jc w:val="both"/>
        <w:textAlignment w:val="auto"/>
        <w:rPr>
          <w:rFonts w:hint="eastAsia" w:ascii="仿宋_GB2312" w:hAnsi="仿宋_GB2312" w:eastAsia="仿宋_GB2312" w:cs="仿宋_GB2312"/>
          <w:b w:val="0"/>
          <w:bCs w:val="0"/>
          <w:color w:val="000000"/>
          <w:sz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3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cs="仿宋_GB2312"/>
          <w:b w:val="0"/>
          <w:bCs w:val="0"/>
          <w:color w:val="auto"/>
          <w:sz w:val="32"/>
          <w:lang w:eastAsia="zh-CN"/>
        </w:rPr>
        <w:t>附件：</w:t>
      </w:r>
      <w:r>
        <w:rPr>
          <w:rFonts w:hint="eastAsia" w:ascii="仿宋_GB2312" w:hAnsi="仿宋_GB2312" w:eastAsia="仿宋_GB2312" w:cs="仿宋_GB2312"/>
          <w:b w:val="0"/>
          <w:bCs w:val="0"/>
          <w:color w:val="auto"/>
          <w:sz w:val="32"/>
          <w:lang w:val="en-US" w:eastAsia="zh-CN"/>
        </w:rPr>
        <w:t>1.</w:t>
      </w:r>
      <w:r>
        <w:rPr>
          <w:rFonts w:hint="eastAsia" w:ascii="仿宋_GB2312" w:hAnsi="仿宋_GB2312" w:eastAsia="仿宋_GB2312" w:cs="仿宋_GB2312"/>
          <w:sz w:val="32"/>
          <w:szCs w:val="32"/>
          <w:lang w:val="en-US" w:eastAsia="zh-CN"/>
        </w:rPr>
        <w:t>XXX公司依法合规承诺书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30" w:lineRule="exact"/>
        <w:ind w:leftChars="0" w:firstLine="1600" w:firstLineChars="5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2.合规管理风险识别清单</w:t>
      </w:r>
    </w:p>
    <w:p>
      <w:pPr>
        <w:keepNext w:val="0"/>
        <w:keepLines w:val="0"/>
        <w:pageBreakBefore w:val="0"/>
        <w:widowControl/>
        <w:kinsoku w:val="0"/>
        <w:wordWrap/>
        <w:overflowPunct/>
        <w:topLinePunct w:val="0"/>
        <w:autoSpaceDE w:val="0"/>
        <w:autoSpaceDN w:val="0"/>
        <w:bidi w:val="0"/>
        <w:adjustRightInd w:val="0"/>
        <w:snapToGrid w:val="0"/>
        <w:spacing w:line="530" w:lineRule="exact"/>
        <w:ind w:left="0" w:firstLine="1600" w:firstLineChars="5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lang w:val="en-US" w:eastAsia="zh-CN"/>
        </w:rPr>
        <w:t>3.合规管理岗位合规职责清单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30" w:lineRule="exact"/>
        <w:ind w:leftChars="0" w:firstLine="1600" w:firstLineChars="5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4.合规管理流程管控清单</w:t>
      </w:r>
    </w:p>
    <w:p>
      <w:pPr>
        <w:keepNext w:val="0"/>
        <w:keepLines w:val="0"/>
        <w:pageBreakBefore w:val="0"/>
        <w:widowControl w:val="0"/>
        <w:kinsoku/>
        <w:wordWrap/>
        <w:overflowPunct/>
        <w:topLinePunct w:val="0"/>
        <w:autoSpaceDE/>
        <w:autoSpaceDN/>
        <w:bidi w:val="0"/>
        <w:adjustRightInd/>
        <w:snapToGrid/>
        <w:spacing w:line="520" w:lineRule="exact"/>
        <w:ind w:left="0" w:firstLine="3130" w:firstLineChars="1000"/>
        <w:jc w:val="both"/>
        <w:textAlignment w:val="auto"/>
        <w:rPr>
          <w:rFonts w:hint="eastAsia" w:ascii="仿宋_GB2312" w:hAnsi="仿宋_GB2312" w:eastAsia="仿宋_GB2312" w:cs="仿宋_GB2312"/>
          <w:w w:val="98"/>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firstLine="3130" w:firstLineChars="1000"/>
        <w:jc w:val="both"/>
        <w:textAlignment w:val="auto"/>
        <w:rPr>
          <w:rFonts w:hint="eastAsia" w:ascii="仿宋_GB2312" w:hAnsi="仿宋_GB2312" w:eastAsia="仿宋_GB2312" w:cs="仿宋_GB2312"/>
          <w:w w:val="98"/>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firstLine="3130" w:firstLineChars="1000"/>
        <w:jc w:val="both"/>
        <w:textAlignment w:val="auto"/>
        <w:rPr>
          <w:rFonts w:hint="eastAsia" w:ascii="仿宋_GB2312" w:hAnsi="仿宋_GB2312" w:eastAsia="仿宋_GB2312" w:cs="仿宋_GB2312"/>
          <w:w w:val="98"/>
          <w:sz w:val="32"/>
          <w:szCs w:val="32"/>
          <w:lang w:eastAsia="zh-CN"/>
        </w:rPr>
      </w:pPr>
      <w:r>
        <w:rPr>
          <w:rFonts w:hint="eastAsia" w:ascii="仿宋_GB2312" w:hAnsi="仿宋_GB2312" w:eastAsia="仿宋_GB2312" w:cs="仿宋_GB2312"/>
          <w:w w:val="98"/>
          <w:sz w:val="32"/>
          <w:szCs w:val="32"/>
        </w:rPr>
        <w:t>伊金霍洛旗国有资产</w:t>
      </w:r>
      <w:r>
        <w:rPr>
          <w:rFonts w:hint="eastAsia" w:ascii="仿宋_GB2312" w:hAnsi="仿宋_GB2312" w:eastAsia="仿宋_GB2312" w:cs="仿宋_GB2312"/>
          <w:w w:val="98"/>
          <w:sz w:val="32"/>
          <w:szCs w:val="32"/>
          <w:lang w:eastAsia="zh-CN"/>
        </w:rPr>
        <w:t>监督管理委员会</w:t>
      </w:r>
    </w:p>
    <w:p>
      <w:pPr>
        <w:keepNext w:val="0"/>
        <w:keepLines w:val="0"/>
        <w:pageBreakBefore w:val="0"/>
        <w:widowControl w:val="0"/>
        <w:kinsoku/>
        <w:wordWrap/>
        <w:overflowPunct/>
        <w:topLinePunct w:val="0"/>
        <w:autoSpaceDE/>
        <w:autoSpaceDN/>
        <w:bidi w:val="0"/>
        <w:adjustRightInd/>
        <w:snapToGrid/>
        <w:spacing w:line="520" w:lineRule="exact"/>
        <w:ind w:left="0" w:firstLine="5120" w:firstLineChars="16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20</w:t>
      </w:r>
      <w:r>
        <w:rPr>
          <w:rFonts w:hint="eastAsia" w:ascii="仿宋_GB2312" w:hAnsi="仿宋_GB2312" w:eastAsia="仿宋_GB2312" w:cs="仿宋_GB2312"/>
          <w:sz w:val="32"/>
          <w:lang w:val="en-US" w:eastAsia="zh-CN"/>
        </w:rPr>
        <w:t>23</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25</w:t>
      </w:r>
      <w:r>
        <w:rPr>
          <w:rFonts w:hint="eastAsia" w:ascii="仿宋_GB2312" w:hAnsi="仿宋_GB2312" w:eastAsia="仿宋_GB2312" w:cs="仿宋_GB2312"/>
          <w:sz w:val="32"/>
        </w:rPr>
        <w:t>日</w:t>
      </w:r>
    </w:p>
    <w:p>
      <w:pPr>
        <w:pStyle w:val="2"/>
        <w:rPr>
          <w:rFonts w:hint="eastAsi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jc w:val="both"/>
        <w:textAlignment w:val="baseline"/>
        <w:rPr>
          <w:rFonts w:hint="eastAsia" w:ascii="黑体" w:hAnsi="黑体" w:eastAsia="黑体" w:cs="黑体"/>
          <w:color w:val="000000"/>
          <w:sz w:val="32"/>
          <w:szCs w:val="32"/>
          <w:lang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344805</wp:posOffset>
                </wp:positionV>
                <wp:extent cx="5745480" cy="22860"/>
                <wp:effectExtent l="0" t="4445" r="0" b="18415"/>
                <wp:wrapNone/>
                <wp:docPr id="4" name="Line 3"/>
                <wp:cNvGraphicFramePr/>
                <a:graphic xmlns:a="http://schemas.openxmlformats.org/drawingml/2006/main">
                  <a:graphicData uri="http://schemas.microsoft.com/office/word/2010/wordprocessingShape">
                    <wps:wsp>
                      <wps:cNvCnPr/>
                      <wps:spPr>
                        <a:xfrm flipV="1">
                          <a:off x="0" y="0"/>
                          <a:ext cx="5745480" cy="228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6.75pt;margin-top:27.15pt;height:1.8pt;width:452.4pt;z-index:251660288;mso-width-relative:page;mso-height-relative:page;" filled="f" stroked="t" coordsize="21600,21600" o:gfxdata="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8IOjttgAAAAJAQAADwAAAAAAAAABACAAAAA4AAAAZHJzL2Rvd25y&#10;ZXYueG1sUEsBAhQAFAAAAAgAh07iQMLZDtXoAQAA5wMAAA4AAAAAAAAAAQAgAAAAPQEAAGRycy9l&#10;Mm9Eb2MueG1sUEsFBgAAAAAGAAYAWQEAAJc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31115</wp:posOffset>
                </wp:positionV>
                <wp:extent cx="5790565" cy="0"/>
                <wp:effectExtent l="0" t="4445" r="0" b="5080"/>
                <wp:wrapNone/>
                <wp:docPr id="5" name="Line 2"/>
                <wp:cNvGraphicFramePr/>
                <a:graphic xmlns:a="http://schemas.openxmlformats.org/drawingml/2006/main">
                  <a:graphicData uri="http://schemas.microsoft.com/office/word/2010/wordprocessingShape">
                    <wps:wsp>
                      <wps:cNvCnPr/>
                      <wps:spPr>
                        <a:xfrm>
                          <a:off x="0" y="0"/>
                          <a:ext cx="57905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9pt;margin-top:2.45pt;height:0pt;width:455.95pt;z-index:251661312;mso-width-relative:page;mso-height-relative:page;" filled="f" stroked="t" coordsize="21600,21600" o:gfxdata="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HwPqBrVAAAABwEAAA8AAAAAAAAAAQAgAAAAOAAAAGRycy9kb3ducmV2LnhtbFBLAQIUABQAAAAI&#10;AIdO4kAkW3D22gEAANkDAAAOAAAAAAAAAAEAIAAAADo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伊金霍洛旗国有资产</w:t>
      </w:r>
      <w:r>
        <w:rPr>
          <w:rFonts w:hint="eastAsia" w:ascii="仿宋_GB2312" w:hAnsi="仿宋_GB2312" w:eastAsia="仿宋_GB2312" w:cs="仿宋_GB2312"/>
          <w:sz w:val="28"/>
          <w:szCs w:val="28"/>
          <w:lang w:val="en-US" w:eastAsia="zh-CN"/>
        </w:rPr>
        <w:t>监督</w:t>
      </w:r>
      <w:r>
        <w:rPr>
          <w:rFonts w:hint="eastAsia" w:ascii="仿宋_GB2312" w:hAnsi="仿宋_GB2312" w:eastAsia="仿宋_GB2312" w:cs="仿宋_GB2312"/>
          <w:sz w:val="28"/>
          <w:szCs w:val="28"/>
        </w:rPr>
        <w:t xml:space="preserve">管理委员会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 xml:space="preserve">日印发   </w:t>
      </w:r>
    </w:p>
    <w:p>
      <w:pPr>
        <w:rPr>
          <w:rFonts w:hint="eastAsia" w:ascii="黑体" w:hAnsi="黑体" w:eastAsia="黑体" w:cs="黑体"/>
          <w:color w:val="000000"/>
          <w:sz w:val="32"/>
          <w:szCs w:val="32"/>
          <w:lang w:eastAsia="zh-CN"/>
        </w:rPr>
        <w:sectPr>
          <w:footerReference r:id="rId3" w:type="default"/>
          <w:pgSz w:w="11906" w:h="16838"/>
          <w:pgMar w:top="1440" w:right="1474" w:bottom="1440" w:left="1587" w:header="851" w:footer="992" w:gutter="0"/>
          <w:pgNumType w:fmt="decimal"/>
          <w:cols w:space="425" w:num="1"/>
          <w:docGrid w:type="lines" w:linePitch="312" w:charSpace="0"/>
        </w:sectPr>
      </w:pPr>
    </w:p>
    <w:p>
      <w:pPr>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XXX公司依法合规经营</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为贯彻落实“依法治企、合规经营”理念，积极践行“合规从我做起、合规人人有责”</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价值理念，切实</w:t>
      </w:r>
      <w:r>
        <w:rPr>
          <w:rFonts w:hint="eastAsia" w:ascii="仿宋_GB2312" w:hAnsi="仿宋_GB2312" w:eastAsia="仿宋_GB2312" w:cs="仿宋_GB2312"/>
          <w:color w:val="000000"/>
          <w:sz w:val="32"/>
          <w:szCs w:val="32"/>
          <w:lang w:eastAsia="zh-CN"/>
        </w:rPr>
        <w:t>落实《伊金霍洛旗国有资产监督管理委员会</w:t>
      </w:r>
      <w:r>
        <w:rPr>
          <w:rFonts w:hint="eastAsia" w:ascii="仿宋_GB2312" w:hAnsi="仿宋_GB2312" w:eastAsia="仿宋_GB2312" w:cs="仿宋_GB2312"/>
          <w:color w:val="000000"/>
          <w:sz w:val="32"/>
          <w:szCs w:val="32"/>
        </w:rPr>
        <w:t>关于加强</w:t>
      </w:r>
      <w:r>
        <w:rPr>
          <w:rFonts w:hint="eastAsia" w:ascii="仿宋_GB2312" w:hAnsi="仿宋_GB2312" w:eastAsia="仿宋_GB2312" w:cs="仿宋_GB2312"/>
          <w:color w:val="000000"/>
          <w:sz w:val="32"/>
          <w:szCs w:val="32"/>
          <w:lang w:eastAsia="zh-CN"/>
        </w:rPr>
        <w:t>旗属</w:t>
      </w:r>
      <w:r>
        <w:rPr>
          <w:rFonts w:hint="eastAsia" w:ascii="仿宋_GB2312" w:hAnsi="仿宋_GB2312" w:eastAsia="仿宋_GB2312" w:cs="仿宋_GB2312"/>
          <w:color w:val="000000"/>
          <w:sz w:val="32"/>
          <w:szCs w:val="32"/>
        </w:rPr>
        <w:t>国有企业合规管理三年行动工作(2023-2025年)指导意见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XXX公司XXX（岗位_）XXX（姓名）作以下承诺：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牢固树立合规意识，主动学习、自觉遵守国家法律法规、各类监管规定和企业规章制度，坚持依法依规决策、依法合规履职。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二、全面</w:t>
      </w:r>
      <w:r>
        <w:rPr>
          <w:rFonts w:hint="eastAsia" w:ascii="仿宋_GB2312" w:hAnsi="仿宋_GB2312" w:eastAsia="仿宋_GB2312" w:cs="仿宋_GB2312"/>
          <w:color w:val="000000"/>
          <w:sz w:val="32"/>
          <w:szCs w:val="32"/>
        </w:rPr>
        <w:t>履行合规义务，积极承担职责范围内的合规管理责任，及时识别工作领域内的合规风险和隐患，按照</w:t>
      </w:r>
      <w:r>
        <w:rPr>
          <w:rFonts w:hint="eastAsia" w:ascii="仿宋_GB2312" w:hAnsi="仿宋_GB2312" w:eastAsia="仿宋_GB2312" w:cs="仿宋_GB2312"/>
          <w:color w:val="000000"/>
          <w:sz w:val="32"/>
          <w:szCs w:val="32"/>
          <w:lang w:eastAsia="zh-CN"/>
        </w:rPr>
        <w:t>公司</w:t>
      </w:r>
      <w:r>
        <w:rPr>
          <w:rFonts w:hint="eastAsia" w:ascii="仿宋_GB2312" w:hAnsi="仿宋_GB2312" w:eastAsia="仿宋_GB2312" w:cs="仿宋_GB2312"/>
          <w:color w:val="000000"/>
          <w:sz w:val="32"/>
          <w:szCs w:val="32"/>
        </w:rPr>
        <w:t>制度规定开展报告、预防、处置及补救整改工作。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自觉抵制违规行为，坚决不越底线、不踩红线、不碰高压线，积极配合开展合规审查、合规检查评估、违规问题调查、违规责任追究等工作，及时准确提供相关信息。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弘扬倡导合规文化，积极参与企业法治合规文化建设，广泛参加各类普法学法活动与法律合规培训，主动向政府部门、商业伙伴、社会公众传递、宣贯企业合规文化理念。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、依法合规，维护市场良好秩序。遵守法律法规，认真履行法定义务，</w:t>
      </w:r>
      <w:r>
        <w:rPr>
          <w:rFonts w:hint="eastAsia" w:ascii="仿宋_GB2312" w:hAnsi="仿宋_GB2312" w:eastAsia="仿宋_GB2312" w:cs="仿宋_GB2312"/>
          <w:color w:val="000000"/>
          <w:sz w:val="32"/>
          <w:szCs w:val="32"/>
          <w:lang w:eastAsia="zh-CN"/>
        </w:rPr>
        <w:t>切实</w:t>
      </w:r>
      <w:r>
        <w:rPr>
          <w:rFonts w:hint="eastAsia" w:ascii="仿宋_GB2312" w:hAnsi="仿宋_GB2312" w:eastAsia="仿宋_GB2312" w:cs="仿宋_GB2312"/>
          <w:color w:val="000000"/>
          <w:sz w:val="32"/>
          <w:szCs w:val="32"/>
        </w:rPr>
        <w:t>落实法定责任，遵守社会公德和商业道德，维护网络市场良好秩序。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lang w:eastAsia="zh-CN"/>
        </w:rPr>
        <w:sectPr>
          <w:footerReference r:id="rId4" w:type="default"/>
          <w:pgSz w:w="11906" w:h="16838"/>
          <w:pgMar w:top="1440" w:right="1474" w:bottom="1440" w:left="1587" w:header="851" w:footer="992" w:gutter="0"/>
          <w:pgNumType w:fmt="decimal"/>
          <w:cols w:space="425"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rPr>
        <w:t>健</w:t>
      </w:r>
      <w:r>
        <w:rPr>
          <w:rFonts w:hint="eastAsia" w:ascii="仿宋_GB2312" w:hAnsi="仿宋_GB2312" w:eastAsia="仿宋_GB2312" w:cs="仿宋_GB2312"/>
          <w:color w:val="auto"/>
          <w:sz w:val="32"/>
          <w:szCs w:val="32"/>
          <w:lang w:eastAsia="zh-CN"/>
        </w:rPr>
        <w:t>立</w:t>
      </w:r>
      <w:r>
        <w:rPr>
          <w:rFonts w:hint="eastAsia" w:ascii="仿宋_GB2312" w:hAnsi="仿宋_GB2312" w:eastAsia="仿宋_GB2312" w:cs="仿宋_GB2312"/>
          <w:color w:val="auto"/>
          <w:sz w:val="32"/>
          <w:szCs w:val="32"/>
        </w:rPr>
        <w:t>制度</w:t>
      </w:r>
      <w:r>
        <w:rPr>
          <w:rFonts w:hint="eastAsia" w:ascii="仿宋_GB2312" w:hAnsi="仿宋_GB2312" w:eastAsia="仿宋_GB2312" w:cs="仿宋_GB2312"/>
          <w:color w:val="000000"/>
          <w:sz w:val="32"/>
          <w:szCs w:val="32"/>
        </w:rPr>
        <w:t>，加强公平竞争内部审查。建立公平竞争分析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研判制度，加强与监管部门沟通，完善内部规</w:t>
      </w:r>
      <w:r>
        <w:rPr>
          <w:rFonts w:hint="eastAsia" w:ascii="仿宋_GB2312" w:hAnsi="仿宋_GB2312" w:eastAsia="仿宋_GB2312" w:cs="仿宋_GB2312"/>
          <w:color w:val="000000"/>
          <w:sz w:val="32"/>
          <w:szCs w:val="32"/>
          <w:lang w:eastAsia="zh-CN"/>
        </w:rPr>
        <w:t>则制度</w:t>
      </w:r>
      <w:r>
        <w:rPr>
          <w:rFonts w:hint="eastAsia" w:ascii="仿宋_GB2312" w:hAnsi="仿宋_GB2312" w:eastAsia="仿宋_GB2312" w:cs="仿宋_GB2312"/>
          <w:color w:val="000000"/>
          <w:sz w:val="32"/>
          <w:szCs w:val="32"/>
        </w:rPr>
        <w:t>并严格执行</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w:t>
      </w:r>
      <w:bookmarkStart w:id="0" w:name="_GoBack"/>
      <w:r>
        <w:rPr>
          <w:rFonts w:hint="eastAsia" w:ascii="仿宋_GB2312" w:hAnsi="仿宋_GB2312" w:eastAsia="仿宋_GB2312" w:cs="仿宋_GB2312"/>
          <w:color w:val="auto"/>
          <w:sz w:val="32"/>
          <w:szCs w:val="32"/>
        </w:rPr>
        <w:t>坚决反</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垄断，</w:t>
      </w:r>
      <w:bookmarkEnd w:id="0"/>
      <w:r>
        <w:rPr>
          <w:rFonts w:hint="eastAsia" w:ascii="仿宋_GB2312" w:hAnsi="仿宋_GB2312" w:eastAsia="仿宋_GB2312" w:cs="仿宋_GB2312"/>
          <w:color w:val="000000"/>
          <w:sz w:val="32"/>
          <w:szCs w:val="32"/>
        </w:rPr>
        <w:t>反对资本无序扩张。不违法施行具有或者可能具有排除、限制竞争效果的经营者集中。不与其他经营者达成垄断协议。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、公平参与市场竞争，坚持互利共赢。按照公平合理的原</w:t>
      </w:r>
      <w:r>
        <w:rPr>
          <w:rFonts w:hint="eastAsia" w:ascii="仿宋_GB2312" w:hAnsi="仿宋_GB2312" w:eastAsia="仿宋_GB2312" w:cs="仿宋_GB2312"/>
          <w:color w:val="000000"/>
          <w:sz w:val="32"/>
          <w:szCs w:val="32"/>
          <w:lang w:eastAsia="zh-CN"/>
        </w:rPr>
        <w:t>则参</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eastAsia="zh-CN"/>
        </w:rPr>
        <w:t>市场竞争。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120" w:firstLineChars="16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承诺人（签字）：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760" w:firstLineChars="18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年   月   日  </w:t>
      </w:r>
    </w:p>
    <w:p>
      <w:pPr>
        <w:rPr>
          <w:rFonts w:hint="eastAsia" w:ascii="仿宋_GB2312" w:hAnsi="仿宋_GB2312" w:eastAsia="仿宋_GB2312" w:cs="仿宋_GB2312"/>
          <w:color w:val="000000"/>
          <w:sz w:val="21"/>
          <w:szCs w:val="21"/>
          <w:lang w:eastAsia="zh-CN"/>
        </w:rPr>
      </w:pPr>
    </w:p>
    <w:p>
      <w:pPr>
        <w:rPr>
          <w:rFonts w:hint="eastAsia" w:ascii="仿宋" w:hAnsi="仿宋" w:eastAsia="仿宋" w:cs="仿宋"/>
          <w:color w:val="000000"/>
          <w:sz w:val="21"/>
          <w:szCs w:val="21"/>
          <w:lang w:eastAsia="zh-CN"/>
        </w:rPr>
      </w:pPr>
    </w:p>
    <w:p>
      <w:pPr>
        <w:rPr>
          <w:rFonts w:hint="eastAsia" w:ascii="仿宋" w:hAnsi="仿宋" w:eastAsia="仿宋" w:cs="仿宋"/>
          <w:color w:val="000000"/>
          <w:sz w:val="21"/>
          <w:szCs w:val="21"/>
          <w:lang w:eastAsia="zh-CN"/>
        </w:rPr>
      </w:pPr>
    </w:p>
    <w:p>
      <w:pPr>
        <w:rPr>
          <w:rFonts w:hint="eastAsia" w:ascii="仿宋" w:hAnsi="仿宋" w:eastAsia="仿宋" w:cs="仿宋"/>
          <w:color w:val="000000"/>
          <w:sz w:val="21"/>
          <w:szCs w:val="21"/>
          <w:lang w:eastAsia="zh-CN"/>
        </w:rPr>
      </w:pPr>
    </w:p>
    <w:p>
      <w:pPr>
        <w:rPr>
          <w:rFonts w:hint="eastAsia" w:ascii="仿宋" w:hAnsi="仿宋" w:eastAsia="仿宋" w:cs="仿宋"/>
          <w:color w:val="000000"/>
          <w:sz w:val="21"/>
          <w:szCs w:val="21"/>
          <w:lang w:eastAsia="zh-CN"/>
        </w:rPr>
      </w:pPr>
    </w:p>
    <w:p>
      <w:pPr>
        <w:rPr>
          <w:rFonts w:hint="eastAsia" w:ascii="仿宋" w:hAnsi="仿宋" w:eastAsia="仿宋" w:cs="仿宋"/>
          <w:color w:val="000000"/>
          <w:sz w:val="21"/>
          <w:szCs w:val="21"/>
          <w:lang w:eastAsia="zh-CN"/>
        </w:rPr>
      </w:pPr>
    </w:p>
    <w:p>
      <w:pPr>
        <w:rPr>
          <w:rFonts w:hint="eastAsia" w:ascii="仿宋" w:hAnsi="仿宋" w:eastAsia="仿宋" w:cs="仿宋"/>
          <w:color w:val="000000"/>
          <w:sz w:val="21"/>
          <w:szCs w:val="21"/>
          <w:lang w:eastAsia="zh-CN"/>
        </w:rPr>
      </w:pPr>
    </w:p>
    <w:p>
      <w:pPr>
        <w:rPr>
          <w:rFonts w:hint="eastAsia" w:ascii="仿宋" w:hAnsi="仿宋" w:eastAsia="仿宋" w:cs="仿宋"/>
          <w:color w:val="000000"/>
          <w:sz w:val="21"/>
          <w:szCs w:val="21"/>
          <w:lang w:eastAsia="zh-CN"/>
        </w:rPr>
      </w:pPr>
    </w:p>
    <w:p>
      <w:pP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w:t>
      </w:r>
      <w:r>
        <w:rPr>
          <w:rFonts w:hint="eastAsia" w:ascii="仿宋" w:hAnsi="仿宋" w:eastAsia="仿宋" w:cs="仿宋"/>
          <w:color w:val="000000"/>
          <w:sz w:val="24"/>
          <w:szCs w:val="24"/>
          <w:lang w:eastAsia="zh-CN"/>
        </w:rPr>
        <w:t>本模板只供参考，各企业可参照，但不限于本模板</w:t>
      </w:r>
      <w:r>
        <w:rPr>
          <w:rFonts w:hint="eastAsia" w:ascii="仿宋" w:hAnsi="仿宋" w:eastAsia="仿宋" w:cs="仿宋"/>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sectPr>
      <w:footerReference r:id="rId5"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09E"/>
    <w:multiLevelType w:val="singleLevel"/>
    <w:tmpl w:val="91BD50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MTM5NmE3ZDhlYTdmODcyZjI0MjQ0MjQ4YjUyZTIifQ=="/>
  </w:docVars>
  <w:rsids>
    <w:rsidRoot w:val="204B7D12"/>
    <w:rsid w:val="07217C99"/>
    <w:rsid w:val="07492CC2"/>
    <w:rsid w:val="085D1416"/>
    <w:rsid w:val="0D653ED7"/>
    <w:rsid w:val="0DB17C30"/>
    <w:rsid w:val="15ED08B7"/>
    <w:rsid w:val="180A542C"/>
    <w:rsid w:val="183E3203"/>
    <w:rsid w:val="19E33973"/>
    <w:rsid w:val="1A1533C1"/>
    <w:rsid w:val="1BF9122C"/>
    <w:rsid w:val="1C1035B7"/>
    <w:rsid w:val="1F02489B"/>
    <w:rsid w:val="20117F6A"/>
    <w:rsid w:val="204B7D12"/>
    <w:rsid w:val="21AF4E46"/>
    <w:rsid w:val="22FC5A4D"/>
    <w:rsid w:val="267C4F33"/>
    <w:rsid w:val="26A674CA"/>
    <w:rsid w:val="27C8234C"/>
    <w:rsid w:val="29CD7245"/>
    <w:rsid w:val="2CDC58CC"/>
    <w:rsid w:val="2D98263D"/>
    <w:rsid w:val="2E7B4F48"/>
    <w:rsid w:val="31EC74BB"/>
    <w:rsid w:val="330D298C"/>
    <w:rsid w:val="35935DF5"/>
    <w:rsid w:val="37D5000C"/>
    <w:rsid w:val="38677355"/>
    <w:rsid w:val="398F0240"/>
    <w:rsid w:val="3A7D77A0"/>
    <w:rsid w:val="3A8A15CE"/>
    <w:rsid w:val="3D037D04"/>
    <w:rsid w:val="3FB53C2F"/>
    <w:rsid w:val="42AC2048"/>
    <w:rsid w:val="44DE02F8"/>
    <w:rsid w:val="47ED3A02"/>
    <w:rsid w:val="4A9A1CA8"/>
    <w:rsid w:val="4C031C71"/>
    <w:rsid w:val="4C29271E"/>
    <w:rsid w:val="4C3F2E7F"/>
    <w:rsid w:val="4CE0607F"/>
    <w:rsid w:val="4E0D26B4"/>
    <w:rsid w:val="50536E34"/>
    <w:rsid w:val="50CA4969"/>
    <w:rsid w:val="51782617"/>
    <w:rsid w:val="518E247F"/>
    <w:rsid w:val="51F31E36"/>
    <w:rsid w:val="531848BD"/>
    <w:rsid w:val="5B5B15EB"/>
    <w:rsid w:val="5B71045A"/>
    <w:rsid w:val="5C2768F8"/>
    <w:rsid w:val="5C3D7468"/>
    <w:rsid w:val="5C782CB7"/>
    <w:rsid w:val="5EB648D5"/>
    <w:rsid w:val="624F4CCE"/>
    <w:rsid w:val="65624D19"/>
    <w:rsid w:val="65C15EE3"/>
    <w:rsid w:val="66154DE2"/>
    <w:rsid w:val="68777ABE"/>
    <w:rsid w:val="6A915848"/>
    <w:rsid w:val="6B04674B"/>
    <w:rsid w:val="6B170353"/>
    <w:rsid w:val="6D8128B3"/>
    <w:rsid w:val="6E746284"/>
    <w:rsid w:val="70711642"/>
    <w:rsid w:val="72A16523"/>
    <w:rsid w:val="72DE22FD"/>
    <w:rsid w:val="74C43E23"/>
    <w:rsid w:val="75EE5BAB"/>
    <w:rsid w:val="76FF9C0F"/>
    <w:rsid w:val="78212B0A"/>
    <w:rsid w:val="7BAC485E"/>
    <w:rsid w:val="7EA53A8B"/>
    <w:rsid w:val="7F4061FB"/>
    <w:rsid w:val="7F4F8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Text"/>
    <w:basedOn w:val="1"/>
    <w:qFormat/>
    <w:uiPriority w:val="0"/>
    <w:pPr>
      <w:spacing w:before="181"/>
      <w:ind w:left="760"/>
      <w:textAlignment w:val="baseline"/>
    </w:pPr>
    <w:rPr>
      <w:rFonts w:ascii="仿宋_GB2312" w:hAnsi="仿宋_GB2312" w:eastAsia="仿宋_GB2312"/>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202</Words>
  <Characters>225</Characters>
  <Lines>0</Lines>
  <Paragraphs>0</Paragraphs>
  <TotalTime>23</TotalTime>
  <ScaleCrop>false</ScaleCrop>
  <LinksUpToDate>false</LinksUpToDate>
  <CharactersWithSpaces>258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2021-11-11T19:57:00Z</dcterms:created>
  <dc:creator>左小姐.</dc:creator>
  <cp:lastModifiedBy>THTF</cp:lastModifiedBy>
  <cp:lastPrinted>2023-07-26T19:14:00Z</cp:lastPrinted>
  <dcterms:modified xsi:type="dcterms:W3CDTF">2026-06-23T10:47:56Z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0A571EBB361AD2A3D1381F6795ED815D</vt:lpwstr>
  </property>
</Properties>
</file>