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60" w:lineRule="exact"/>
        <w:jc w:val="center"/>
        <w:textAlignment w:val="baseline"/>
        <w:rPr>
          <w:rFonts w:hint="eastAsia" w:ascii="方正小标宋简体" w:hAnsi="方正小标宋简体" w:eastAsia="方正小标宋简体" w:cs="方正小标宋简体"/>
          <w:b w:val="0"/>
          <w:bCs w:val="0"/>
          <w:color w:val="auto"/>
          <w:sz w:val="44"/>
          <w:szCs w:val="44"/>
          <w:highlight w:val="none"/>
          <w:lang w:eastAsia="zh-CN"/>
        </w:rPr>
      </w:pPr>
      <w:bookmarkStart w:id="0" w:name="_GoBack"/>
      <w:bookmarkEnd w:id="0"/>
      <w:r>
        <w:rPr>
          <w:rFonts w:hint="eastAsia" w:ascii="方正小标宋简体" w:hAnsi="方正小标宋简体" w:eastAsia="方正小标宋简体" w:cs="方正小标宋简体"/>
          <w:b w:val="0"/>
          <w:bCs w:val="0"/>
          <w:color w:val="auto"/>
          <w:sz w:val="44"/>
          <w:szCs w:val="44"/>
          <w:highlight w:val="none"/>
          <w:lang w:val="en-US" w:eastAsia="zh-CN"/>
        </w:rPr>
        <w:t>伊金霍洛旗餐饮</w:t>
      </w:r>
      <w:r>
        <w:rPr>
          <w:rFonts w:hint="eastAsia" w:ascii="方正小标宋_GBK" w:hAnsi="方正小标宋_GBK" w:eastAsia="方正小标宋_GBK" w:cs="方正小标宋_GBK"/>
          <w:b w:val="0"/>
          <w:bCs w:val="0"/>
          <w:color w:val="auto"/>
          <w:sz w:val="44"/>
          <w:szCs w:val="44"/>
          <w:highlight w:val="none"/>
          <w:lang w:val="en-US" w:eastAsia="zh-CN"/>
        </w:rPr>
        <w:t>促消费活动</w:t>
      </w:r>
      <w:r>
        <w:rPr>
          <w:rFonts w:hint="eastAsia" w:ascii="方正小标宋_GBK" w:hAnsi="方正小标宋_GBK" w:eastAsia="方正小标宋_GBK" w:cs="方正小标宋_GBK"/>
          <w:b w:val="0"/>
          <w:bCs w:val="0"/>
          <w:color w:val="auto"/>
          <w:sz w:val="44"/>
          <w:szCs w:val="44"/>
          <w:highlight w:val="none"/>
          <w:lang w:eastAsia="zh-CN"/>
        </w:rPr>
        <w:t>实施方案</w:t>
      </w:r>
    </w:p>
    <w:p>
      <w:pPr>
        <w:pStyle w:val="9"/>
        <w:keepNext w:val="0"/>
        <w:keepLines w:val="0"/>
        <w:pageBreakBefore w:val="0"/>
        <w:kinsoku/>
        <w:wordWrap/>
        <w:overflowPunct/>
        <w:topLinePunct w:val="0"/>
        <w:autoSpaceDE/>
        <w:autoSpaceDN/>
        <w:bidi w:val="0"/>
        <w:adjustRightInd/>
        <w:snapToGrid/>
        <w:spacing w:after="0" w:line="560" w:lineRule="exact"/>
        <w:ind w:left="0" w:leftChars="0" w:firstLine="0" w:firstLineChars="0"/>
        <w:textAlignment w:val="auto"/>
        <w:rPr>
          <w:rFonts w:hint="eastAsia" w:ascii="方正小标宋简体" w:hAnsi="方正小标宋简体" w:eastAsia="方正小标宋简体" w:cs="方正小标宋简体"/>
          <w:color w:val="auto"/>
          <w:sz w:val="44"/>
          <w:szCs w:val="44"/>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28" w:firstLineChars="200"/>
        <w:textAlignment w:val="auto"/>
        <w:rPr>
          <w:rFonts w:hint="default" w:ascii="Times New Roman" w:hAnsi="Times New Roman" w:eastAsia="黑体" w:cs="Times New Roman"/>
          <w:b w:val="0"/>
          <w:bCs w:val="0"/>
          <w:color w:val="auto"/>
          <w:kern w:val="2"/>
          <w:sz w:val="32"/>
          <w:szCs w:val="32"/>
          <w:highlight w:val="none"/>
          <w:lang w:val="en-US" w:eastAsia="zh-CN" w:bidi="ar-SA"/>
        </w:rPr>
      </w:pPr>
      <w:r>
        <w:rPr>
          <w:rFonts w:hint="default" w:ascii="Times New Roman" w:hAnsi="Times New Roman" w:eastAsia="黑体" w:cs="Times New Roman"/>
          <w:b w:val="0"/>
          <w:bCs w:val="0"/>
          <w:color w:val="auto"/>
          <w:kern w:val="2"/>
          <w:sz w:val="32"/>
          <w:szCs w:val="32"/>
          <w:highlight w:val="none"/>
          <w:lang w:val="en-US" w:eastAsia="zh-CN" w:bidi="ar-SA"/>
        </w:rPr>
        <w:t>一、活动目的</w:t>
      </w:r>
    </w:p>
    <w:p>
      <w:pPr>
        <w:keepNext w:val="0"/>
        <w:keepLines w:val="0"/>
        <w:pageBreakBefore w:val="0"/>
        <w:widowControl/>
        <w:kinsoku w:val="0"/>
        <w:wordWrap/>
        <w:overflowPunct/>
        <w:topLinePunct w:val="0"/>
        <w:autoSpaceDE w:val="0"/>
        <w:autoSpaceDN w:val="0"/>
        <w:bidi w:val="0"/>
        <w:adjustRightInd w:val="0"/>
        <w:snapToGrid w:val="0"/>
        <w:spacing w:line="660" w:lineRule="exact"/>
        <w:ind w:firstLine="628" w:firstLineChars="200"/>
        <w:jc w:val="left"/>
        <w:textAlignment w:val="baseline"/>
        <w:rPr>
          <w:rFonts w:hint="default" w:ascii="仿宋_GB2312" w:hAnsi="仿宋_GB2312" w:eastAsia="仿宋_GB2312" w:cs="仿宋_GB2312"/>
          <w:b w:val="0"/>
          <w:bCs w:val="0"/>
          <w:color w:val="auto"/>
          <w:kern w:val="2"/>
          <w:sz w:val="32"/>
          <w:szCs w:val="32"/>
          <w:lang w:val="en-US" w:eastAsia="zh-CN"/>
        </w:rPr>
      </w:pPr>
      <w:r>
        <w:rPr>
          <w:rFonts w:hint="default" w:ascii="仿宋_GB2312" w:hAnsi="仿宋_GB2312" w:eastAsia="仿宋_GB2312" w:cs="仿宋_GB2312"/>
          <w:b w:val="0"/>
          <w:bCs w:val="0"/>
          <w:color w:val="auto"/>
          <w:kern w:val="2"/>
          <w:sz w:val="32"/>
          <w:szCs w:val="32"/>
          <w:lang w:val="en-US" w:eastAsia="zh-CN"/>
        </w:rPr>
        <w:t>为全面贯彻党的二十大和二十届二中、三中全会精神，认真落实中央经济工作会议关于</w:t>
      </w:r>
      <w:r>
        <w:rPr>
          <w:rFonts w:hint="eastAsia" w:ascii="仿宋_GB2312" w:hAnsi="仿宋_GB2312" w:eastAsia="仿宋_GB2312" w:cs="仿宋_GB2312"/>
          <w:b w:val="0"/>
          <w:bCs w:val="0"/>
          <w:color w:val="auto"/>
          <w:kern w:val="2"/>
          <w:sz w:val="32"/>
          <w:szCs w:val="32"/>
          <w:lang w:val="en-US" w:eastAsia="zh-CN"/>
        </w:rPr>
        <w:t>“</w:t>
      </w:r>
      <w:r>
        <w:rPr>
          <w:rFonts w:hint="default" w:ascii="仿宋_GB2312" w:hAnsi="仿宋_GB2312" w:eastAsia="仿宋_GB2312" w:cs="仿宋_GB2312"/>
          <w:b w:val="0"/>
          <w:bCs w:val="0"/>
          <w:color w:val="auto"/>
          <w:kern w:val="2"/>
          <w:sz w:val="32"/>
          <w:szCs w:val="32"/>
          <w:lang w:val="en-US" w:eastAsia="zh-CN"/>
        </w:rPr>
        <w:t>大力提振消费、提高投资效益，全方位扩大国内需求</w:t>
      </w:r>
      <w:r>
        <w:rPr>
          <w:rFonts w:hint="eastAsia" w:ascii="仿宋_GB2312" w:hAnsi="仿宋_GB2312" w:eastAsia="仿宋_GB2312" w:cs="仿宋_GB2312"/>
          <w:b w:val="0"/>
          <w:bCs w:val="0"/>
          <w:color w:val="auto"/>
          <w:kern w:val="2"/>
          <w:sz w:val="32"/>
          <w:szCs w:val="32"/>
          <w:lang w:val="en-US" w:eastAsia="zh-CN"/>
        </w:rPr>
        <w:t>”</w:t>
      </w:r>
      <w:r>
        <w:rPr>
          <w:rFonts w:hint="default" w:ascii="仿宋_GB2312" w:hAnsi="仿宋_GB2312" w:eastAsia="仿宋_GB2312" w:cs="仿宋_GB2312"/>
          <w:b w:val="0"/>
          <w:bCs w:val="0"/>
          <w:color w:val="auto"/>
          <w:kern w:val="2"/>
          <w:sz w:val="32"/>
          <w:szCs w:val="32"/>
          <w:lang w:val="en-US" w:eastAsia="zh-CN"/>
        </w:rPr>
        <w:t>要求，</w:t>
      </w:r>
      <w:r>
        <w:rPr>
          <w:rFonts w:hint="eastAsia" w:ascii="仿宋_GB2312" w:hAnsi="仿宋_GB2312" w:eastAsia="仿宋_GB2312" w:cs="仿宋_GB2312"/>
          <w:b w:val="0"/>
          <w:bCs w:val="0"/>
          <w:color w:val="auto"/>
          <w:kern w:val="2"/>
          <w:sz w:val="32"/>
          <w:szCs w:val="32"/>
          <w:lang w:val="en-US" w:eastAsia="zh-CN"/>
        </w:rPr>
        <w:t>进一步释放消费潜力，全面提升我旗社会消费品零售水平，</w:t>
      </w:r>
      <w:r>
        <w:rPr>
          <w:rFonts w:hint="default" w:ascii="仿宋_GB2312" w:hAnsi="仿宋_GB2312" w:eastAsia="仿宋_GB2312" w:cs="仿宋_GB2312"/>
          <w:b w:val="0"/>
          <w:bCs w:val="0"/>
          <w:color w:val="auto"/>
          <w:kern w:val="2"/>
          <w:sz w:val="32"/>
          <w:szCs w:val="32"/>
          <w:lang w:val="en-US" w:eastAsia="zh-CN"/>
        </w:rPr>
        <w:t>结合我</w:t>
      </w:r>
      <w:r>
        <w:rPr>
          <w:rFonts w:hint="eastAsia" w:ascii="仿宋_GB2312" w:hAnsi="仿宋_GB2312" w:eastAsia="仿宋_GB2312" w:cs="仿宋_GB2312"/>
          <w:b w:val="0"/>
          <w:bCs w:val="0"/>
          <w:color w:val="auto"/>
          <w:kern w:val="2"/>
          <w:sz w:val="32"/>
          <w:szCs w:val="32"/>
          <w:lang w:val="en-US" w:eastAsia="zh-CN"/>
        </w:rPr>
        <w:t>旗</w:t>
      </w:r>
      <w:r>
        <w:rPr>
          <w:rFonts w:hint="default" w:ascii="仿宋_GB2312" w:hAnsi="仿宋_GB2312" w:eastAsia="仿宋_GB2312" w:cs="仿宋_GB2312"/>
          <w:b w:val="0"/>
          <w:bCs w:val="0"/>
          <w:color w:val="auto"/>
          <w:kern w:val="2"/>
          <w:sz w:val="32"/>
          <w:szCs w:val="32"/>
          <w:lang w:val="en-US" w:eastAsia="zh-CN"/>
        </w:rPr>
        <w:t>实际，</w:t>
      </w:r>
      <w:r>
        <w:rPr>
          <w:rFonts w:hint="eastAsia" w:ascii="仿宋_GB2312" w:hAnsi="仿宋_GB2312" w:eastAsia="仿宋_GB2312" w:cs="仿宋_GB2312"/>
          <w:b w:val="0"/>
          <w:bCs w:val="0"/>
          <w:color w:val="auto"/>
          <w:kern w:val="2"/>
          <w:sz w:val="32"/>
          <w:szCs w:val="32"/>
          <w:lang w:val="en-US" w:eastAsia="zh-CN"/>
        </w:rPr>
        <w:t>特制定伊金霍洛旗餐饮促消费活动实施方案。</w:t>
      </w:r>
    </w:p>
    <w:p>
      <w:pPr>
        <w:keepNext w:val="0"/>
        <w:keepLines w:val="0"/>
        <w:widowControl/>
        <w:suppressLineNumbers w:val="0"/>
        <w:ind w:firstLine="628" w:firstLineChars="200"/>
        <w:jc w:val="left"/>
        <w:rPr>
          <w:rFonts w:hint="default" w:ascii="Times New Roman" w:hAnsi="Times New Roman" w:eastAsia="黑体" w:cs="Times New Roman"/>
          <w:b w:val="0"/>
          <w:bCs w:val="0"/>
          <w:color w:val="auto"/>
          <w:kern w:val="2"/>
          <w:sz w:val="32"/>
          <w:szCs w:val="32"/>
          <w:highlight w:val="none"/>
          <w:lang w:val="en-US" w:eastAsia="zh-CN" w:bidi="ar-SA"/>
        </w:rPr>
      </w:pPr>
      <w:r>
        <w:rPr>
          <w:rFonts w:hint="default" w:ascii="Times New Roman" w:hAnsi="Times New Roman" w:eastAsia="黑体" w:cs="Times New Roman"/>
          <w:b w:val="0"/>
          <w:bCs w:val="0"/>
          <w:color w:val="auto"/>
          <w:kern w:val="2"/>
          <w:sz w:val="32"/>
          <w:szCs w:val="32"/>
          <w:highlight w:val="none"/>
          <w:lang w:val="en-US" w:eastAsia="zh-CN" w:bidi="ar-SA"/>
        </w:rPr>
        <w:t>二、活动时间</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28" w:firstLineChars="200"/>
        <w:textAlignment w:val="auto"/>
        <w:rPr>
          <w:rFonts w:hint="eastAsia" w:ascii="仿宋_GB2312" w:hAnsi="仿宋_GB2312" w:eastAsia="仿宋_GB2312" w:cs="仿宋_GB2312"/>
          <w:b w:val="0"/>
          <w:bCs w:val="0"/>
          <w:color w:val="auto"/>
          <w:kern w:val="2"/>
          <w:sz w:val="32"/>
          <w:szCs w:val="32"/>
          <w:lang w:val="en-US" w:eastAsia="zh-CN"/>
        </w:rPr>
      </w:pPr>
      <w:r>
        <w:rPr>
          <w:rFonts w:hint="eastAsia" w:ascii="仿宋_GB2312" w:hAnsi="仿宋_GB2312" w:eastAsia="仿宋_GB2312" w:cs="仿宋_GB2312"/>
          <w:b w:val="0"/>
          <w:bCs w:val="0"/>
          <w:color w:val="auto"/>
          <w:kern w:val="2"/>
          <w:sz w:val="32"/>
          <w:szCs w:val="32"/>
          <w:lang w:val="en-US" w:eastAsia="zh-CN"/>
        </w:rPr>
        <w:t>2025年7月初至</w:t>
      </w:r>
      <w:r>
        <w:rPr>
          <w:rFonts w:hint="default" w:ascii="仿宋_GB2312" w:hAnsi="仿宋_GB2312" w:eastAsia="仿宋_GB2312" w:cs="仿宋_GB2312"/>
          <w:b w:val="0"/>
          <w:bCs w:val="0"/>
          <w:color w:val="auto"/>
          <w:kern w:val="2"/>
          <w:sz w:val="32"/>
          <w:szCs w:val="32"/>
          <w:lang w:val="en" w:eastAsia="zh-CN"/>
        </w:rPr>
        <w:t>8</w:t>
      </w:r>
      <w:r>
        <w:rPr>
          <w:rFonts w:hint="eastAsia" w:ascii="仿宋_GB2312" w:hAnsi="仿宋_GB2312" w:eastAsia="仿宋_GB2312" w:cs="仿宋_GB2312"/>
          <w:b w:val="0"/>
          <w:bCs w:val="0"/>
          <w:color w:val="auto"/>
          <w:kern w:val="2"/>
          <w:sz w:val="32"/>
          <w:szCs w:val="32"/>
          <w:lang w:val="en-US" w:eastAsia="zh-CN"/>
        </w:rPr>
        <w:t>月31日。消费补贴实行活动时间控制及补贴总金额控制，按照活动时间截止或补贴资金补贴完毕满足一项补贴结束。</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28" w:firstLineChars="200"/>
        <w:textAlignment w:val="auto"/>
        <w:rPr>
          <w:rFonts w:hint="default" w:ascii="Times New Roman" w:hAnsi="Times New Roman" w:eastAsia="黑体" w:cs="Times New Roman"/>
          <w:b w:val="0"/>
          <w:bCs w:val="0"/>
          <w:color w:val="auto"/>
          <w:kern w:val="2"/>
          <w:sz w:val="32"/>
          <w:szCs w:val="32"/>
          <w:highlight w:val="none"/>
          <w:lang w:val="en-US" w:eastAsia="zh-CN" w:bidi="ar-SA"/>
        </w:rPr>
      </w:pPr>
      <w:r>
        <w:rPr>
          <w:rFonts w:hint="default" w:ascii="Times New Roman" w:hAnsi="Times New Roman" w:eastAsia="黑体" w:cs="Times New Roman"/>
          <w:b w:val="0"/>
          <w:bCs w:val="0"/>
          <w:color w:val="auto"/>
          <w:kern w:val="2"/>
          <w:sz w:val="32"/>
          <w:szCs w:val="32"/>
          <w:highlight w:val="none"/>
          <w:lang w:val="en-US" w:eastAsia="zh-CN" w:bidi="ar-SA"/>
        </w:rPr>
        <w:t>三、</w:t>
      </w:r>
      <w:r>
        <w:rPr>
          <w:rFonts w:hint="eastAsia" w:ascii="Times New Roman" w:hAnsi="Times New Roman" w:eastAsia="黑体" w:cs="Times New Roman"/>
          <w:b w:val="0"/>
          <w:bCs w:val="0"/>
          <w:color w:val="auto"/>
          <w:kern w:val="2"/>
          <w:sz w:val="32"/>
          <w:szCs w:val="32"/>
          <w:highlight w:val="none"/>
          <w:lang w:val="en-US" w:eastAsia="zh-CN" w:bidi="ar-SA"/>
        </w:rPr>
        <w:t>资金安排</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28" w:firstLineChars="200"/>
        <w:textAlignment w:val="auto"/>
        <w:rPr>
          <w:rFonts w:hint="eastAsia" w:ascii="仿宋_GB2312" w:hAnsi="仿宋_GB2312" w:eastAsia="仿宋_GB2312" w:cs="仿宋_GB2312"/>
          <w:b w:val="0"/>
          <w:bCs w:val="0"/>
          <w:color w:val="auto"/>
          <w:kern w:val="2"/>
          <w:sz w:val="32"/>
          <w:szCs w:val="32"/>
          <w:lang w:val="en-US" w:eastAsia="zh-CN"/>
        </w:rPr>
      </w:pPr>
      <w:r>
        <w:rPr>
          <w:rFonts w:hint="eastAsia" w:ascii="仿宋_GB2312" w:hAnsi="仿宋_GB2312" w:eastAsia="仿宋_GB2312" w:cs="仿宋_GB2312"/>
          <w:b w:val="0"/>
          <w:bCs w:val="0"/>
          <w:color w:val="auto"/>
          <w:kern w:val="2"/>
          <w:sz w:val="32"/>
          <w:szCs w:val="32"/>
          <w:lang w:val="en-US" w:eastAsia="zh-CN"/>
        </w:rPr>
        <w:t>本次活动由旗人民政府安排资金</w:t>
      </w:r>
      <w:r>
        <w:rPr>
          <w:rFonts w:hint="default" w:ascii="仿宋_GB2312" w:hAnsi="仿宋_GB2312" w:eastAsia="仿宋_GB2312" w:cs="仿宋_GB2312"/>
          <w:b w:val="0"/>
          <w:bCs w:val="0"/>
          <w:color w:val="auto"/>
          <w:kern w:val="2"/>
          <w:sz w:val="32"/>
          <w:szCs w:val="32"/>
          <w:lang w:val="en" w:eastAsia="zh-CN"/>
        </w:rPr>
        <w:t>350</w:t>
      </w:r>
      <w:r>
        <w:rPr>
          <w:rFonts w:hint="eastAsia" w:ascii="仿宋_GB2312" w:hAnsi="仿宋_GB2312" w:eastAsia="仿宋_GB2312" w:cs="仿宋_GB2312"/>
          <w:b w:val="0"/>
          <w:bCs w:val="0"/>
          <w:color w:val="auto"/>
          <w:kern w:val="2"/>
          <w:sz w:val="32"/>
          <w:szCs w:val="32"/>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8" w:firstLineChars="200"/>
        <w:jc w:val="both"/>
        <w:textAlignment w:val="auto"/>
        <w:rPr>
          <w:rFonts w:hint="eastAsia" w:ascii="方正黑体_GBK" w:hAnsi="方正黑体_GBK" w:eastAsia="方正黑体_GBK" w:cs="方正黑体_GBK"/>
          <w:b w:val="0"/>
          <w:bCs w:val="0"/>
          <w:snapToGrid/>
          <w:color w:val="auto"/>
          <w:kern w:val="2"/>
          <w:sz w:val="32"/>
          <w:szCs w:val="32"/>
          <w:highlight w:val="none"/>
          <w:lang w:val="en-US" w:eastAsia="zh-CN"/>
        </w:rPr>
      </w:pPr>
      <w:r>
        <w:rPr>
          <w:rFonts w:hint="eastAsia" w:ascii="方正黑体_GBK" w:hAnsi="方正黑体_GBK" w:eastAsia="方正黑体_GBK" w:cs="方正黑体_GBK"/>
          <w:b w:val="0"/>
          <w:bCs w:val="0"/>
          <w:snapToGrid/>
          <w:color w:val="auto"/>
          <w:kern w:val="2"/>
          <w:sz w:val="32"/>
          <w:szCs w:val="32"/>
          <w:highlight w:val="none"/>
          <w:lang w:val="en-US" w:eastAsia="zh-CN"/>
        </w:rPr>
        <w:t>四、参与商家</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28" w:firstLineChars="200"/>
        <w:textAlignment w:val="auto"/>
        <w:rPr>
          <w:rFonts w:hint="eastAsia" w:ascii="Times New Roman" w:hAnsi="Times New Roman" w:eastAsia="仿宋_GB2312" w:cs="Times New Roman"/>
          <w:b w:val="0"/>
          <w:bCs w:val="0"/>
          <w:snapToGrid/>
          <w:color w:val="FF0000"/>
          <w:kern w:val="2"/>
          <w:sz w:val="32"/>
          <w:szCs w:val="32"/>
          <w:highlight w:val="none"/>
          <w:lang w:val="en-US" w:eastAsia="zh-CN"/>
        </w:rPr>
      </w:pPr>
      <w:r>
        <w:rPr>
          <w:rFonts w:hint="eastAsia" w:ascii="仿宋_GB2312" w:hAnsi="仿宋_GB2312" w:eastAsia="仿宋_GB2312" w:cs="仿宋_GB2312"/>
          <w:b w:val="0"/>
          <w:bCs w:val="0"/>
          <w:kern w:val="2"/>
          <w:sz w:val="32"/>
          <w:szCs w:val="32"/>
          <w:lang w:val="en-US" w:eastAsia="zh-CN"/>
        </w:rPr>
        <w:t>在伊金霍洛旗内注册登记自愿报名参加活动</w:t>
      </w:r>
      <w:r>
        <w:rPr>
          <w:rFonts w:hint="eastAsia" w:ascii="仿宋_GB2312" w:hAnsi="仿宋_GB2312" w:eastAsia="仿宋_GB2312" w:cs="仿宋_GB2312"/>
          <w:b w:val="0"/>
          <w:bCs w:val="0"/>
          <w:color w:val="auto"/>
          <w:kern w:val="2"/>
          <w:sz w:val="32"/>
          <w:szCs w:val="32"/>
          <w:lang w:val="en-US" w:eastAsia="zh-CN"/>
        </w:rPr>
        <w:t>的餐饮商</w:t>
      </w:r>
      <w:r>
        <w:rPr>
          <w:rFonts w:hint="eastAsia" w:ascii="Times New Roman" w:hAnsi="Times New Roman" w:eastAsia="仿宋_GB2312" w:cs="Times New Roman"/>
          <w:b w:val="0"/>
          <w:bCs w:val="0"/>
          <w:snapToGrid/>
          <w:color w:val="auto"/>
          <w:kern w:val="2"/>
          <w:sz w:val="32"/>
          <w:szCs w:val="32"/>
          <w:highlight w:val="none"/>
          <w:lang w:val="en-US" w:eastAsia="zh-CN"/>
        </w:rPr>
        <w:t xml:space="preserve">家。 </w:t>
      </w:r>
      <w:r>
        <w:rPr>
          <w:rFonts w:hint="eastAsia" w:ascii="Times New Roman" w:hAnsi="Times New Roman" w:eastAsia="仿宋_GB2312" w:cs="Times New Roman"/>
          <w:b w:val="0"/>
          <w:bCs w:val="0"/>
          <w:snapToGrid/>
          <w:color w:val="FF0000"/>
          <w:kern w:val="2"/>
          <w:sz w:val="32"/>
          <w:szCs w:val="32"/>
          <w:highlight w:val="none"/>
          <w:lang w:val="en-US" w:eastAsia="zh-CN"/>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黑体" w:cs="Times New Roman"/>
          <w:b w:val="0"/>
          <w:bCs w:val="0"/>
          <w:color w:val="auto"/>
          <w:kern w:val="2"/>
          <w:sz w:val="32"/>
          <w:szCs w:val="32"/>
          <w:highlight w:val="none"/>
          <w:lang w:val="en-US" w:eastAsia="zh-CN" w:bidi="ar-SA"/>
        </w:rPr>
      </w:pPr>
      <w:r>
        <w:rPr>
          <w:rFonts w:hint="eastAsia" w:ascii="Times New Roman" w:hAnsi="Times New Roman" w:eastAsia="黑体" w:cs="Times New Roman"/>
          <w:b w:val="0"/>
          <w:bCs w:val="0"/>
          <w:color w:val="auto"/>
          <w:kern w:val="2"/>
          <w:sz w:val="32"/>
          <w:szCs w:val="32"/>
          <w:highlight w:val="none"/>
          <w:lang w:val="en-US" w:eastAsia="zh-CN" w:bidi="ar-SA"/>
        </w:rPr>
        <w:t>五</w:t>
      </w:r>
      <w:r>
        <w:rPr>
          <w:rFonts w:hint="default" w:ascii="Times New Roman" w:hAnsi="Times New Roman" w:eastAsia="黑体" w:cs="Times New Roman"/>
          <w:b w:val="0"/>
          <w:bCs w:val="0"/>
          <w:color w:val="auto"/>
          <w:kern w:val="2"/>
          <w:sz w:val="32"/>
          <w:szCs w:val="32"/>
          <w:highlight w:val="none"/>
          <w:lang w:val="en-US" w:eastAsia="zh-CN" w:bidi="ar-SA"/>
        </w:rPr>
        <w:t>、发放方式及活动规则</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b w:val="0"/>
          <w:bCs w:val="0"/>
          <w:kern w:val="2"/>
          <w:sz w:val="32"/>
          <w:szCs w:val="32"/>
          <w:lang w:val="en-US" w:eastAsia="zh-CN"/>
        </w:rPr>
      </w:pPr>
      <w:r>
        <w:rPr>
          <w:rFonts w:hint="default" w:ascii="仿宋_GB2312" w:hAnsi="仿宋_GB2312" w:eastAsia="仿宋_GB2312" w:cs="仿宋_GB2312"/>
          <w:b w:val="0"/>
          <w:bCs w:val="0"/>
          <w:kern w:val="2"/>
          <w:sz w:val="32"/>
          <w:szCs w:val="32"/>
          <w:lang w:val="en-US" w:eastAsia="zh-CN"/>
        </w:rPr>
        <w:t>（一）发放方式。</w:t>
      </w:r>
      <w:r>
        <w:rPr>
          <w:rFonts w:hint="eastAsia" w:ascii="仿宋_GB2312" w:hAnsi="仿宋_GB2312" w:eastAsia="仿宋_GB2312" w:cs="仿宋_GB2312"/>
          <w:b w:val="0"/>
          <w:bCs w:val="0"/>
          <w:kern w:val="2"/>
          <w:sz w:val="32"/>
          <w:szCs w:val="32"/>
          <w:lang w:val="en-US" w:eastAsia="zh-CN"/>
        </w:rPr>
        <w:t>由第三方服务机构以电子消费券的形式同步发放。</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黑体" w:cs="Times New Roman"/>
          <w:b w:val="0"/>
          <w:bCs w:val="0"/>
          <w:color w:val="auto"/>
          <w:kern w:val="2"/>
          <w:sz w:val="32"/>
          <w:szCs w:val="32"/>
          <w:highlight w:val="none"/>
          <w:lang w:val="en-US" w:eastAsia="zh-CN" w:bidi="ar-SA"/>
        </w:rPr>
      </w:pPr>
      <w:r>
        <w:rPr>
          <w:rFonts w:hint="default" w:ascii="仿宋_GB2312" w:hAnsi="仿宋_GB2312" w:eastAsia="仿宋_GB2312" w:cs="仿宋_GB2312"/>
          <w:b w:val="0"/>
          <w:bCs w:val="0"/>
          <w:kern w:val="2"/>
          <w:sz w:val="32"/>
          <w:szCs w:val="32"/>
          <w:lang w:val="en-US" w:eastAsia="zh-CN"/>
        </w:rPr>
        <w:t>（二）活动规则。</w:t>
      </w:r>
      <w:r>
        <w:rPr>
          <w:rFonts w:hint="eastAsia" w:ascii="仿宋_GB2312" w:hAnsi="仿宋_GB2312" w:eastAsia="仿宋_GB2312" w:cs="仿宋_GB2312"/>
          <w:b w:val="0"/>
          <w:bCs w:val="0"/>
          <w:color w:val="auto"/>
          <w:kern w:val="2"/>
          <w:sz w:val="32"/>
          <w:szCs w:val="32"/>
          <w:lang w:val="en-US" w:eastAsia="zh-CN"/>
        </w:rPr>
        <w:t>用户从第三方服务机构云游鄂尔多斯平台领取消费券，</w:t>
      </w:r>
      <w:r>
        <w:rPr>
          <w:rFonts w:hint="default" w:ascii="仿宋_GB2312" w:hAnsi="仿宋_GB2312" w:eastAsia="仿宋_GB2312" w:cs="仿宋_GB2312"/>
          <w:b w:val="0"/>
          <w:bCs w:val="0"/>
          <w:color w:val="auto"/>
          <w:kern w:val="2"/>
          <w:sz w:val="32"/>
          <w:szCs w:val="32"/>
          <w:lang w:val="en-US" w:eastAsia="zh-CN"/>
        </w:rPr>
        <w:t>消费券有</w:t>
      </w:r>
      <w:r>
        <w:rPr>
          <w:rFonts w:hint="default" w:ascii="仿宋_GB2312" w:hAnsi="仿宋_GB2312" w:eastAsia="仿宋_GB2312" w:cs="仿宋_GB2312"/>
          <w:b w:val="0"/>
          <w:bCs w:val="0"/>
          <w:kern w:val="2"/>
          <w:sz w:val="32"/>
          <w:szCs w:val="32"/>
          <w:lang w:val="en-US" w:eastAsia="zh-CN"/>
        </w:rPr>
        <w:t>效期为</w:t>
      </w:r>
      <w:r>
        <w:rPr>
          <w:rFonts w:hint="eastAsia" w:ascii="仿宋_GB2312" w:hAnsi="仿宋_GB2312" w:eastAsia="仿宋_GB2312" w:cs="仿宋_GB2312"/>
          <w:b w:val="0"/>
          <w:bCs w:val="0"/>
          <w:kern w:val="2"/>
          <w:sz w:val="32"/>
          <w:szCs w:val="32"/>
          <w:lang w:val="en-US" w:eastAsia="zh-CN"/>
        </w:rPr>
        <w:t>当日24时</w:t>
      </w:r>
      <w:r>
        <w:rPr>
          <w:rFonts w:hint="default" w:ascii="仿宋_GB2312" w:hAnsi="仿宋_GB2312" w:eastAsia="仿宋_GB2312" w:cs="仿宋_GB2312"/>
          <w:b w:val="0"/>
          <w:bCs w:val="0"/>
          <w:kern w:val="2"/>
          <w:sz w:val="32"/>
          <w:szCs w:val="32"/>
          <w:lang w:val="en-US" w:eastAsia="zh-CN"/>
        </w:rPr>
        <w:t>。用户有效期内如未使用</w:t>
      </w:r>
      <w:r>
        <w:rPr>
          <w:rFonts w:hint="eastAsia" w:ascii="仿宋_GB2312" w:hAnsi="仿宋_GB2312" w:eastAsia="仿宋_GB2312" w:cs="仿宋_GB2312"/>
          <w:b w:val="0"/>
          <w:bCs w:val="0"/>
          <w:kern w:val="2"/>
          <w:sz w:val="32"/>
          <w:szCs w:val="32"/>
          <w:lang w:val="en-US" w:eastAsia="zh-CN"/>
        </w:rPr>
        <w:t>，</w:t>
      </w:r>
      <w:r>
        <w:rPr>
          <w:rFonts w:hint="default" w:ascii="仿宋_GB2312" w:hAnsi="仿宋_GB2312" w:eastAsia="仿宋_GB2312" w:cs="仿宋_GB2312"/>
          <w:b w:val="0"/>
          <w:bCs w:val="0"/>
          <w:kern w:val="2"/>
          <w:sz w:val="32"/>
          <w:szCs w:val="32"/>
          <w:lang w:val="en-US" w:eastAsia="zh-CN"/>
        </w:rPr>
        <w:t>消费券将退回重新发放</w:t>
      </w:r>
      <w:r>
        <w:rPr>
          <w:rFonts w:hint="eastAsia" w:ascii="仿宋_GB2312" w:hAnsi="仿宋_GB2312" w:eastAsia="仿宋_GB2312" w:cs="仿宋_GB2312"/>
          <w:b w:val="0"/>
          <w:bCs w:val="0"/>
          <w:kern w:val="2"/>
          <w:sz w:val="32"/>
          <w:szCs w:val="32"/>
          <w:lang w:val="en-US" w:eastAsia="zh-CN"/>
        </w:rPr>
        <w:t>。</w:t>
      </w:r>
    </w:p>
    <w:p>
      <w:pPr>
        <w:keepNext w:val="0"/>
        <w:keepLines w:val="0"/>
        <w:pageBreakBefore w:val="0"/>
        <w:numPr>
          <w:ilvl w:val="0"/>
          <w:numId w:val="0"/>
        </w:numPr>
        <w:wordWrap/>
        <w:overflowPunct/>
        <w:topLinePunct w:val="0"/>
        <w:bidi w:val="0"/>
        <w:spacing w:line="540" w:lineRule="exact"/>
        <w:ind w:firstLine="628" w:firstLineChars="200"/>
        <w:rPr>
          <w:rFonts w:hint="default" w:ascii="Times New Roman" w:hAnsi="Times New Roman" w:eastAsia="黑体" w:cs="Times New Roman"/>
          <w:b w:val="0"/>
          <w:bCs w:val="0"/>
          <w:color w:val="auto"/>
          <w:kern w:val="2"/>
          <w:sz w:val="32"/>
          <w:szCs w:val="32"/>
          <w:highlight w:val="none"/>
          <w:lang w:val="en-US" w:eastAsia="zh-CN" w:bidi="ar-SA"/>
        </w:rPr>
      </w:pPr>
      <w:r>
        <w:rPr>
          <w:rFonts w:hint="eastAsia" w:ascii="Times New Roman" w:hAnsi="Times New Roman" w:eastAsia="黑体" w:cs="Times New Roman"/>
          <w:b w:val="0"/>
          <w:bCs w:val="0"/>
          <w:color w:val="auto"/>
          <w:kern w:val="2"/>
          <w:sz w:val="32"/>
          <w:szCs w:val="32"/>
          <w:highlight w:val="none"/>
          <w:lang w:val="en-US" w:eastAsia="zh-CN" w:bidi="ar-SA"/>
        </w:rPr>
        <w:t>六、消费券金额及设置</w:t>
      </w:r>
    </w:p>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628" w:firstLineChars="200"/>
        <w:textAlignment w:val="auto"/>
        <w:rPr>
          <w:rFonts w:hint="default" w:ascii="Times New Roman" w:hAnsi="Times New Roman" w:eastAsia="黑体" w:cs="Times New Roman"/>
          <w:b w:val="0"/>
          <w:bCs w:val="0"/>
          <w:color w:val="auto"/>
          <w:kern w:val="2"/>
          <w:sz w:val="32"/>
          <w:szCs w:val="32"/>
          <w:highlight w:val="none"/>
          <w:lang w:val="en-US" w:eastAsia="zh-CN" w:bidi="ar-SA"/>
        </w:rPr>
      </w:pPr>
    </w:p>
    <w:tbl>
      <w:tblPr>
        <w:tblStyle w:val="11"/>
        <w:tblpPr w:leftFromText="180" w:rightFromText="180" w:vertAnchor="text" w:horzAnchor="page" w:tblpX="2231" w:tblpY="144"/>
        <w:tblOverlap w:val="never"/>
        <w:tblW w:w="7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107"/>
        <w:gridCol w:w="1040"/>
        <w:gridCol w:w="1019"/>
        <w:gridCol w:w="1904"/>
        <w:gridCol w:w="1196"/>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21"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sz w:val="21"/>
                <w:szCs w:val="21"/>
                <w:vertAlign w:val="baseline"/>
                <w:lang w:eastAsia="zh-CN"/>
              </w:rPr>
            </w:pPr>
            <w:r>
              <w:rPr>
                <w:rFonts w:hint="eastAsia" w:ascii="黑体" w:hAnsi="黑体" w:eastAsia="黑体" w:cs="黑体"/>
                <w:color w:val="000000"/>
                <w:sz w:val="21"/>
                <w:szCs w:val="21"/>
                <w:vertAlign w:val="baseline"/>
                <w:lang w:eastAsia="zh-CN"/>
              </w:rPr>
              <w:t>优惠券分类</w:t>
            </w:r>
          </w:p>
        </w:tc>
        <w:tc>
          <w:tcPr>
            <w:tcW w:w="1107"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黑体" w:hAnsi="黑体" w:eastAsia="黑体" w:cs="黑体"/>
                <w:color w:val="auto"/>
                <w:sz w:val="21"/>
                <w:szCs w:val="21"/>
                <w:vertAlign w:val="baseline"/>
                <w:lang w:eastAsia="zh-CN"/>
              </w:rPr>
            </w:pPr>
            <w:r>
              <w:rPr>
                <w:rFonts w:hint="eastAsia" w:ascii="黑体" w:hAnsi="黑体" w:eastAsia="黑体" w:cs="黑体"/>
                <w:color w:val="auto"/>
                <w:sz w:val="21"/>
                <w:szCs w:val="21"/>
                <w:vertAlign w:val="baseline"/>
                <w:lang w:eastAsia="zh-CN"/>
              </w:rPr>
              <w:t>消费券合计（万元）</w:t>
            </w:r>
          </w:p>
        </w:tc>
        <w:tc>
          <w:tcPr>
            <w:tcW w:w="1040"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黑体" w:hAnsi="黑体" w:eastAsia="黑体" w:cs="黑体"/>
                <w:color w:val="auto"/>
                <w:sz w:val="21"/>
                <w:szCs w:val="21"/>
                <w:vertAlign w:val="baseline"/>
                <w:lang w:eastAsia="zh-CN"/>
              </w:rPr>
            </w:pPr>
            <w:r>
              <w:rPr>
                <w:rFonts w:hint="eastAsia" w:ascii="黑体" w:hAnsi="黑体" w:eastAsia="黑体" w:cs="黑体"/>
                <w:color w:val="auto"/>
                <w:sz w:val="21"/>
                <w:szCs w:val="21"/>
                <w:vertAlign w:val="baseline"/>
                <w:lang w:eastAsia="zh-CN"/>
              </w:rPr>
              <w:t>安排金额</w:t>
            </w:r>
            <w:r>
              <w:rPr>
                <w:rFonts w:hint="eastAsia" w:ascii="黑体" w:hAnsi="黑体" w:eastAsia="黑体" w:cs="黑体"/>
                <w:color w:val="auto"/>
                <w:sz w:val="21"/>
                <w:szCs w:val="21"/>
                <w:vertAlign w:val="baseline"/>
                <w:lang w:eastAsia="zh-CN"/>
              </w:rPr>
              <w:br w:type="textWrapping"/>
            </w:r>
            <w:r>
              <w:rPr>
                <w:rFonts w:hint="eastAsia" w:ascii="黑体" w:hAnsi="黑体" w:eastAsia="黑体" w:cs="黑体"/>
                <w:color w:val="auto"/>
                <w:sz w:val="21"/>
                <w:szCs w:val="21"/>
                <w:vertAlign w:val="baseline"/>
                <w:lang w:eastAsia="zh-CN"/>
              </w:rPr>
              <w:t>（万元）</w:t>
            </w:r>
          </w:p>
        </w:tc>
        <w:tc>
          <w:tcPr>
            <w:tcW w:w="1019"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黑体" w:hAnsi="黑体" w:eastAsia="黑体" w:cs="黑体"/>
                <w:color w:val="auto"/>
                <w:sz w:val="21"/>
                <w:szCs w:val="21"/>
                <w:vertAlign w:val="baseline"/>
                <w:lang w:eastAsia="zh-CN"/>
              </w:rPr>
            </w:pPr>
            <w:r>
              <w:rPr>
                <w:rFonts w:hint="eastAsia" w:ascii="黑体" w:hAnsi="黑体" w:eastAsia="黑体" w:cs="黑体"/>
                <w:color w:val="auto"/>
                <w:sz w:val="21"/>
                <w:szCs w:val="21"/>
                <w:vertAlign w:val="baseline"/>
                <w:lang w:eastAsia="zh-CN"/>
              </w:rPr>
              <w:t>消费券</w:t>
            </w:r>
          </w:p>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黑体" w:hAnsi="黑体" w:eastAsia="黑体" w:cs="黑体"/>
                <w:color w:val="auto"/>
                <w:sz w:val="21"/>
                <w:szCs w:val="21"/>
                <w:vertAlign w:val="baseline"/>
                <w:lang w:eastAsia="zh-CN"/>
              </w:rPr>
            </w:pPr>
            <w:r>
              <w:rPr>
                <w:rFonts w:hint="eastAsia" w:ascii="黑体" w:hAnsi="黑体" w:eastAsia="黑体" w:cs="黑体"/>
                <w:color w:val="auto"/>
                <w:sz w:val="21"/>
                <w:szCs w:val="21"/>
                <w:vertAlign w:val="baseline"/>
                <w:lang w:eastAsia="zh-CN"/>
              </w:rPr>
              <w:t>面额（元）</w:t>
            </w:r>
          </w:p>
        </w:tc>
        <w:tc>
          <w:tcPr>
            <w:tcW w:w="1904"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黑体" w:hAnsi="黑体" w:eastAsia="黑体" w:cs="黑体"/>
                <w:color w:val="auto"/>
                <w:sz w:val="21"/>
                <w:szCs w:val="21"/>
                <w:vertAlign w:val="baseline"/>
                <w:lang w:eastAsia="zh-CN"/>
              </w:rPr>
            </w:pPr>
            <w:r>
              <w:rPr>
                <w:rFonts w:hint="eastAsia" w:ascii="黑体" w:hAnsi="黑体" w:eastAsia="黑体" w:cs="黑体"/>
                <w:color w:val="auto"/>
                <w:sz w:val="21"/>
                <w:szCs w:val="21"/>
                <w:vertAlign w:val="baseline"/>
                <w:lang w:eastAsia="zh-CN"/>
              </w:rPr>
              <w:t>使用要求</w:t>
            </w:r>
          </w:p>
        </w:tc>
        <w:tc>
          <w:tcPr>
            <w:tcW w:w="1196"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黑体" w:hAnsi="黑体" w:eastAsia="黑体" w:cs="黑体"/>
                <w:color w:val="auto"/>
                <w:sz w:val="21"/>
                <w:szCs w:val="21"/>
                <w:vertAlign w:val="baseline"/>
                <w:lang w:eastAsia="zh-CN"/>
              </w:rPr>
            </w:pPr>
            <w:r>
              <w:rPr>
                <w:rFonts w:hint="eastAsia" w:ascii="黑体" w:hAnsi="黑体" w:eastAsia="黑体" w:cs="黑体"/>
                <w:color w:val="auto"/>
                <w:sz w:val="21"/>
                <w:szCs w:val="21"/>
                <w:vertAlign w:val="baseline"/>
                <w:lang w:eastAsia="zh-CN"/>
              </w:rPr>
              <w:t>补贴</w:t>
            </w:r>
          </w:p>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黑体" w:hAnsi="黑体" w:eastAsia="黑体" w:cs="黑体"/>
                <w:color w:val="auto"/>
                <w:sz w:val="21"/>
                <w:szCs w:val="21"/>
                <w:vertAlign w:val="baseline"/>
                <w:lang w:eastAsia="zh-CN"/>
              </w:rPr>
            </w:pPr>
            <w:r>
              <w:rPr>
                <w:rFonts w:hint="eastAsia" w:ascii="黑体" w:hAnsi="黑体" w:eastAsia="黑体" w:cs="黑体"/>
                <w:color w:val="auto"/>
                <w:sz w:val="21"/>
                <w:szCs w:val="21"/>
                <w:vertAlign w:val="baseline"/>
                <w:lang w:eastAsia="zh-CN"/>
              </w:rPr>
              <w:t>消费比</w:t>
            </w:r>
          </w:p>
        </w:tc>
        <w:tc>
          <w:tcPr>
            <w:tcW w:w="871"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黑体" w:hAnsi="黑体" w:eastAsia="黑体" w:cs="黑体"/>
                <w:color w:val="auto"/>
                <w:sz w:val="21"/>
                <w:szCs w:val="21"/>
                <w:vertAlign w:val="baseline"/>
                <w:lang w:eastAsia="zh-CN"/>
              </w:rPr>
            </w:pPr>
            <w:r>
              <w:rPr>
                <w:rFonts w:hint="eastAsia" w:ascii="黑体" w:hAnsi="黑体" w:eastAsia="黑体" w:cs="黑体"/>
                <w:color w:val="auto"/>
                <w:sz w:val="21"/>
                <w:szCs w:val="21"/>
                <w:vertAlign w:val="baseline"/>
                <w:lang w:eastAsia="zh-CN"/>
              </w:rPr>
              <w:t>消费券数量（张）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Merge w:val="restart"/>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sz w:val="21"/>
                <w:szCs w:val="21"/>
                <w:vertAlign w:val="baseline"/>
                <w:lang w:eastAsia="zh-CN"/>
              </w:rPr>
            </w:pPr>
            <w:r>
              <w:rPr>
                <w:rFonts w:hint="eastAsia" w:ascii="仿宋_GB2312" w:hAnsi="仿宋_GB2312" w:eastAsia="仿宋_GB2312" w:cs="仿宋_GB2312"/>
                <w:color w:val="000000"/>
                <w:sz w:val="21"/>
                <w:szCs w:val="21"/>
                <w:vertAlign w:val="baseline"/>
                <w:lang w:eastAsia="zh-CN"/>
              </w:rPr>
              <w:t>餐</w:t>
            </w:r>
          </w:p>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sz w:val="21"/>
                <w:szCs w:val="21"/>
                <w:vertAlign w:val="baseline"/>
                <w:lang w:eastAsia="zh-CN"/>
              </w:rPr>
            </w:pPr>
            <w:r>
              <w:rPr>
                <w:rFonts w:hint="eastAsia" w:ascii="仿宋_GB2312" w:hAnsi="仿宋_GB2312" w:eastAsia="仿宋_GB2312" w:cs="仿宋_GB2312"/>
                <w:color w:val="000000"/>
                <w:sz w:val="21"/>
                <w:szCs w:val="21"/>
                <w:vertAlign w:val="baseline"/>
                <w:lang w:eastAsia="zh-CN"/>
              </w:rPr>
              <w:t>饮</w:t>
            </w:r>
          </w:p>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sz w:val="21"/>
                <w:szCs w:val="21"/>
                <w:vertAlign w:val="baseline"/>
                <w:lang w:eastAsia="zh-CN"/>
              </w:rPr>
            </w:pPr>
            <w:r>
              <w:rPr>
                <w:rFonts w:hint="eastAsia" w:ascii="仿宋_GB2312" w:hAnsi="仿宋_GB2312" w:eastAsia="仿宋_GB2312" w:cs="仿宋_GB2312"/>
                <w:color w:val="000000"/>
                <w:sz w:val="21"/>
                <w:szCs w:val="21"/>
                <w:vertAlign w:val="baseline"/>
                <w:lang w:eastAsia="zh-CN"/>
              </w:rPr>
              <w:t>类</w:t>
            </w:r>
          </w:p>
        </w:tc>
        <w:tc>
          <w:tcPr>
            <w:tcW w:w="1107" w:type="dxa"/>
            <w:vMerge w:val="restart"/>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204" w:firstLineChars="100"/>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300</w:t>
            </w:r>
          </w:p>
        </w:tc>
        <w:tc>
          <w:tcPr>
            <w:tcW w:w="1040"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60</w:t>
            </w:r>
          </w:p>
        </w:tc>
        <w:tc>
          <w:tcPr>
            <w:tcW w:w="1019"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10</w:t>
            </w:r>
          </w:p>
        </w:tc>
        <w:tc>
          <w:tcPr>
            <w:tcW w:w="1904"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消费满50可用</w:t>
            </w:r>
          </w:p>
        </w:tc>
        <w:tc>
          <w:tcPr>
            <w:tcW w:w="1196"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1:5</w:t>
            </w:r>
          </w:p>
        </w:tc>
        <w:tc>
          <w:tcPr>
            <w:tcW w:w="871"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Merge w:val="continue"/>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sz w:val="21"/>
                <w:szCs w:val="21"/>
                <w:vertAlign w:val="baseline"/>
                <w:lang w:eastAsia="zh-CN"/>
              </w:rPr>
            </w:pPr>
          </w:p>
        </w:tc>
        <w:tc>
          <w:tcPr>
            <w:tcW w:w="1107" w:type="dxa"/>
            <w:vMerge w:val="continue"/>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204" w:firstLineChars="100"/>
              <w:jc w:val="center"/>
              <w:textAlignment w:val="auto"/>
              <w:rPr>
                <w:rFonts w:hint="eastAsia" w:ascii="仿宋_GB2312" w:hAnsi="仿宋_GB2312" w:eastAsia="仿宋_GB2312" w:cs="仿宋_GB2312"/>
                <w:color w:val="auto"/>
                <w:sz w:val="21"/>
                <w:szCs w:val="21"/>
                <w:vertAlign w:val="baseline"/>
                <w:lang w:val="en-US" w:eastAsia="zh-CN"/>
              </w:rPr>
            </w:pPr>
          </w:p>
        </w:tc>
        <w:tc>
          <w:tcPr>
            <w:tcW w:w="1040"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60</w:t>
            </w:r>
          </w:p>
        </w:tc>
        <w:tc>
          <w:tcPr>
            <w:tcW w:w="1019"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20</w:t>
            </w:r>
          </w:p>
        </w:tc>
        <w:tc>
          <w:tcPr>
            <w:tcW w:w="1904"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消费满100可用</w:t>
            </w:r>
          </w:p>
        </w:tc>
        <w:tc>
          <w:tcPr>
            <w:tcW w:w="1196"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1:5</w:t>
            </w:r>
          </w:p>
        </w:tc>
        <w:tc>
          <w:tcPr>
            <w:tcW w:w="871"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Merge w:val="continue"/>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sz w:val="21"/>
                <w:szCs w:val="21"/>
                <w:vertAlign w:val="baseline"/>
                <w:lang w:eastAsia="zh-CN"/>
              </w:rPr>
            </w:pPr>
          </w:p>
        </w:tc>
        <w:tc>
          <w:tcPr>
            <w:tcW w:w="1107" w:type="dxa"/>
            <w:vMerge w:val="continue"/>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204" w:firstLineChars="100"/>
              <w:jc w:val="center"/>
              <w:textAlignment w:val="auto"/>
              <w:rPr>
                <w:rFonts w:hint="eastAsia" w:ascii="仿宋_GB2312" w:hAnsi="仿宋_GB2312" w:eastAsia="仿宋_GB2312" w:cs="仿宋_GB2312"/>
                <w:color w:val="auto"/>
                <w:sz w:val="21"/>
                <w:szCs w:val="21"/>
                <w:vertAlign w:val="baseline"/>
                <w:lang w:val="en-US" w:eastAsia="zh-CN"/>
              </w:rPr>
            </w:pPr>
          </w:p>
        </w:tc>
        <w:tc>
          <w:tcPr>
            <w:tcW w:w="1040"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60</w:t>
            </w:r>
          </w:p>
        </w:tc>
        <w:tc>
          <w:tcPr>
            <w:tcW w:w="1019"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40</w:t>
            </w:r>
          </w:p>
        </w:tc>
        <w:tc>
          <w:tcPr>
            <w:tcW w:w="1904"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消费满200可用</w:t>
            </w:r>
          </w:p>
        </w:tc>
        <w:tc>
          <w:tcPr>
            <w:tcW w:w="1196"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1:5</w:t>
            </w:r>
          </w:p>
        </w:tc>
        <w:tc>
          <w:tcPr>
            <w:tcW w:w="871"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Merge w:val="continue"/>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sz w:val="21"/>
                <w:szCs w:val="21"/>
                <w:vertAlign w:val="baseline"/>
                <w:lang w:eastAsia="zh-CN"/>
              </w:rPr>
            </w:pPr>
          </w:p>
        </w:tc>
        <w:tc>
          <w:tcPr>
            <w:tcW w:w="1107" w:type="dxa"/>
            <w:vMerge w:val="continue"/>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204" w:firstLineChars="100"/>
              <w:jc w:val="center"/>
              <w:textAlignment w:val="auto"/>
              <w:rPr>
                <w:rFonts w:hint="default" w:ascii="仿宋_GB2312" w:hAnsi="仿宋_GB2312" w:eastAsia="仿宋_GB2312" w:cs="仿宋_GB2312"/>
                <w:color w:val="auto"/>
                <w:sz w:val="21"/>
                <w:szCs w:val="21"/>
                <w:vertAlign w:val="baseline"/>
                <w:lang w:val="en-US" w:eastAsia="zh-CN"/>
              </w:rPr>
            </w:pPr>
          </w:p>
        </w:tc>
        <w:tc>
          <w:tcPr>
            <w:tcW w:w="1040"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60</w:t>
            </w:r>
          </w:p>
        </w:tc>
        <w:tc>
          <w:tcPr>
            <w:tcW w:w="1019"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100</w:t>
            </w:r>
          </w:p>
        </w:tc>
        <w:tc>
          <w:tcPr>
            <w:tcW w:w="1904"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消费满500可用</w:t>
            </w:r>
          </w:p>
        </w:tc>
        <w:tc>
          <w:tcPr>
            <w:tcW w:w="1196"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1:5</w:t>
            </w:r>
          </w:p>
        </w:tc>
        <w:tc>
          <w:tcPr>
            <w:tcW w:w="871"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Merge w:val="continue"/>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sz w:val="21"/>
                <w:szCs w:val="21"/>
                <w:vertAlign w:val="baseline"/>
                <w:lang w:eastAsia="zh-CN"/>
              </w:rPr>
            </w:pPr>
          </w:p>
        </w:tc>
        <w:tc>
          <w:tcPr>
            <w:tcW w:w="1107" w:type="dxa"/>
            <w:vMerge w:val="continue"/>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204" w:firstLineChars="100"/>
              <w:jc w:val="center"/>
              <w:textAlignment w:val="auto"/>
              <w:rPr>
                <w:rFonts w:hint="default" w:ascii="仿宋_GB2312" w:hAnsi="仿宋_GB2312" w:eastAsia="仿宋_GB2312" w:cs="仿宋_GB2312"/>
                <w:color w:val="auto"/>
                <w:sz w:val="21"/>
                <w:szCs w:val="21"/>
                <w:vertAlign w:val="baseline"/>
                <w:lang w:val="en-US" w:eastAsia="zh-CN"/>
              </w:rPr>
            </w:pPr>
          </w:p>
        </w:tc>
        <w:tc>
          <w:tcPr>
            <w:tcW w:w="1040"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60</w:t>
            </w:r>
          </w:p>
        </w:tc>
        <w:tc>
          <w:tcPr>
            <w:tcW w:w="1019"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200</w:t>
            </w:r>
          </w:p>
        </w:tc>
        <w:tc>
          <w:tcPr>
            <w:tcW w:w="1904"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kern w:val="2"/>
                <w:sz w:val="21"/>
                <w:szCs w:val="21"/>
                <w:shd w:val="clear" w:color="auto" w:fill="FFFFFF"/>
                <w:lang w:val="en-US" w:eastAsia="zh-CN" w:bidi="ar-SA"/>
              </w:rPr>
              <w:t>消费满1000可用</w:t>
            </w:r>
          </w:p>
        </w:tc>
        <w:tc>
          <w:tcPr>
            <w:tcW w:w="1196"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kern w:val="2"/>
                <w:sz w:val="21"/>
                <w:szCs w:val="21"/>
                <w:shd w:val="clear" w:color="auto" w:fill="FFFFFF"/>
                <w:lang w:val="en-US" w:eastAsia="zh-CN" w:bidi="ar-SA"/>
              </w:rPr>
              <w:t>1:5</w:t>
            </w:r>
          </w:p>
        </w:tc>
        <w:tc>
          <w:tcPr>
            <w:tcW w:w="871" w:type="dxa"/>
            <w:noWrap w:val="0"/>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sz w:val="21"/>
                <w:szCs w:val="21"/>
                <w:vertAlign w:val="baseline"/>
                <w:lang w:eastAsia="zh-CN"/>
              </w:rPr>
            </w:pPr>
            <w:r>
              <w:rPr>
                <w:rFonts w:hint="eastAsia" w:ascii="仿宋_GB2312" w:hAnsi="仿宋_GB2312" w:eastAsia="仿宋_GB2312" w:cs="仿宋_GB2312"/>
                <w:color w:val="000000"/>
                <w:sz w:val="21"/>
                <w:szCs w:val="21"/>
                <w:vertAlign w:val="baseline"/>
                <w:lang w:eastAsia="zh-CN"/>
              </w:rPr>
              <w:t>合计</w:t>
            </w:r>
          </w:p>
        </w:tc>
        <w:tc>
          <w:tcPr>
            <w:tcW w:w="2147" w:type="dxa"/>
            <w:gridSpan w:val="2"/>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300</w:t>
            </w:r>
          </w:p>
        </w:tc>
        <w:tc>
          <w:tcPr>
            <w:tcW w:w="4119" w:type="dxa"/>
            <w:gridSpan w:val="3"/>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合计</w:t>
            </w:r>
          </w:p>
        </w:tc>
        <w:tc>
          <w:tcPr>
            <w:tcW w:w="871" w:type="dxa"/>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11400</w:t>
            </w:r>
          </w:p>
        </w:tc>
      </w:tr>
    </w:tbl>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628" w:firstLineChars="200"/>
        <w:textAlignment w:val="auto"/>
        <w:rPr>
          <w:rFonts w:hint="default" w:ascii="Times New Roman" w:hAnsi="Times New Roman" w:eastAsia="黑体" w:cs="Times New Roman"/>
          <w:b w:val="0"/>
          <w:bCs w:val="0"/>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snapToGrid/>
        <w:spacing w:line="520" w:lineRule="exact"/>
        <w:ind w:firstLine="588" w:firstLineChars="200"/>
        <w:textAlignment w:val="auto"/>
        <w:rPr>
          <w:rFonts w:hint="eastAsia" w:ascii="CESI楷体-GB2312" w:hAnsi="CESI楷体-GB2312" w:eastAsia="CESI楷体-GB2312" w:cs="CESI楷体-GB2312"/>
          <w:b/>
          <w:bCs/>
          <w:color w:val="auto"/>
          <w:sz w:val="30"/>
          <w:szCs w:val="30"/>
          <w:highlight w:val="none"/>
          <w:lang w:val="en-US" w:eastAsia="zh-CN"/>
        </w:rPr>
      </w:pPr>
      <w:r>
        <w:rPr>
          <w:rFonts w:hint="eastAsia" w:ascii="CESI楷体-GB2312" w:hAnsi="CESI楷体-GB2312" w:eastAsia="CESI楷体-GB2312" w:cs="CESI楷体-GB2312"/>
          <w:b/>
          <w:bCs/>
          <w:color w:val="auto"/>
          <w:sz w:val="30"/>
          <w:szCs w:val="30"/>
          <w:highlight w:val="none"/>
          <w:lang w:val="en-US" w:eastAsia="zh-CN"/>
        </w:rPr>
        <w:t>备</w:t>
      </w:r>
    </w:p>
    <w:p>
      <w:pPr>
        <w:keepNext w:val="0"/>
        <w:keepLines w:val="0"/>
        <w:pageBreakBefore w:val="0"/>
        <w:kinsoku/>
        <w:wordWrap/>
        <w:overflowPunct/>
        <w:topLinePunct w:val="0"/>
        <w:autoSpaceDE/>
        <w:autoSpaceDN/>
        <w:bidi w:val="0"/>
        <w:adjustRightInd/>
        <w:snapToGrid/>
        <w:spacing w:line="520" w:lineRule="exact"/>
        <w:ind w:firstLine="588" w:firstLineChars="200"/>
        <w:textAlignment w:val="auto"/>
        <w:rPr>
          <w:rFonts w:hint="eastAsia" w:ascii="CESI楷体-GB2312" w:hAnsi="CESI楷体-GB2312" w:eastAsia="CESI楷体-GB2312" w:cs="CESI楷体-GB2312"/>
          <w:b/>
          <w:bCs/>
          <w:color w:val="auto"/>
          <w:sz w:val="30"/>
          <w:szCs w:val="30"/>
          <w:highlight w:val="none"/>
          <w:lang w:val="en-US" w:eastAsia="zh-CN"/>
        </w:rPr>
      </w:pPr>
    </w:p>
    <w:p>
      <w:pPr>
        <w:keepNext w:val="0"/>
        <w:keepLines w:val="0"/>
        <w:pageBreakBefore w:val="0"/>
        <w:kinsoku/>
        <w:wordWrap/>
        <w:overflowPunct/>
        <w:topLinePunct w:val="0"/>
        <w:autoSpaceDE/>
        <w:autoSpaceDN/>
        <w:bidi w:val="0"/>
        <w:adjustRightInd/>
        <w:snapToGrid/>
        <w:spacing w:line="520" w:lineRule="exact"/>
        <w:ind w:firstLine="588" w:firstLineChars="200"/>
        <w:textAlignment w:val="auto"/>
        <w:rPr>
          <w:rFonts w:hint="eastAsia" w:ascii="CESI楷体-GB2312" w:hAnsi="CESI楷体-GB2312" w:eastAsia="CESI楷体-GB2312" w:cs="CESI楷体-GB2312"/>
          <w:b/>
          <w:bCs/>
          <w:color w:val="auto"/>
          <w:sz w:val="30"/>
          <w:szCs w:val="30"/>
          <w:highlight w:val="none"/>
          <w:lang w:val="en-US" w:eastAsia="zh-CN"/>
        </w:rPr>
      </w:pPr>
    </w:p>
    <w:p>
      <w:pPr>
        <w:keepNext w:val="0"/>
        <w:keepLines w:val="0"/>
        <w:pageBreakBefore w:val="0"/>
        <w:kinsoku/>
        <w:wordWrap/>
        <w:overflowPunct/>
        <w:topLinePunct w:val="0"/>
        <w:autoSpaceDE/>
        <w:autoSpaceDN/>
        <w:bidi w:val="0"/>
        <w:adjustRightInd/>
        <w:snapToGrid/>
        <w:spacing w:line="520" w:lineRule="exact"/>
        <w:ind w:firstLine="588" w:firstLineChars="200"/>
        <w:textAlignment w:val="auto"/>
        <w:rPr>
          <w:rFonts w:hint="eastAsia" w:ascii="CESI楷体-GB2312" w:hAnsi="CESI楷体-GB2312" w:eastAsia="CESI楷体-GB2312" w:cs="CESI楷体-GB2312"/>
          <w:b/>
          <w:bCs/>
          <w:color w:val="auto"/>
          <w:sz w:val="30"/>
          <w:szCs w:val="30"/>
          <w:highlight w:val="none"/>
          <w:lang w:val="en-US" w:eastAsia="zh-CN"/>
        </w:rPr>
      </w:pPr>
    </w:p>
    <w:p>
      <w:pPr>
        <w:keepNext w:val="0"/>
        <w:keepLines w:val="0"/>
        <w:pageBreakBefore w:val="0"/>
        <w:kinsoku/>
        <w:wordWrap/>
        <w:overflowPunct/>
        <w:topLinePunct w:val="0"/>
        <w:autoSpaceDE/>
        <w:autoSpaceDN/>
        <w:bidi w:val="0"/>
        <w:adjustRightInd/>
        <w:snapToGrid/>
        <w:spacing w:line="520" w:lineRule="exact"/>
        <w:ind w:firstLine="588" w:firstLineChars="200"/>
        <w:textAlignment w:val="auto"/>
        <w:rPr>
          <w:rFonts w:hint="eastAsia" w:ascii="CESI楷体-GB2312" w:hAnsi="CESI楷体-GB2312" w:eastAsia="CESI楷体-GB2312" w:cs="CESI楷体-GB2312"/>
          <w:b/>
          <w:bCs/>
          <w:color w:val="auto"/>
          <w:sz w:val="30"/>
          <w:szCs w:val="30"/>
          <w:highlight w:val="none"/>
          <w:lang w:val="en-US" w:eastAsia="zh-CN"/>
        </w:rPr>
      </w:pPr>
    </w:p>
    <w:p>
      <w:pPr>
        <w:keepNext w:val="0"/>
        <w:keepLines w:val="0"/>
        <w:pageBreakBefore w:val="0"/>
        <w:kinsoku/>
        <w:wordWrap/>
        <w:overflowPunct/>
        <w:topLinePunct w:val="0"/>
        <w:autoSpaceDE/>
        <w:autoSpaceDN/>
        <w:bidi w:val="0"/>
        <w:adjustRightInd/>
        <w:snapToGrid/>
        <w:spacing w:line="520" w:lineRule="exact"/>
        <w:ind w:firstLine="588" w:firstLineChars="200"/>
        <w:textAlignment w:val="auto"/>
        <w:rPr>
          <w:rFonts w:hint="eastAsia" w:ascii="CESI楷体-GB2312" w:hAnsi="CESI楷体-GB2312" w:eastAsia="CESI楷体-GB2312" w:cs="CESI楷体-GB2312"/>
          <w:b/>
          <w:bCs/>
          <w:color w:val="auto"/>
          <w:sz w:val="30"/>
          <w:szCs w:val="30"/>
          <w:highlight w:val="none"/>
          <w:lang w:val="en-US" w:eastAsia="zh-CN"/>
        </w:rPr>
      </w:pPr>
    </w:p>
    <w:p>
      <w:pPr>
        <w:keepNext w:val="0"/>
        <w:keepLines w:val="0"/>
        <w:pageBreakBefore w:val="0"/>
        <w:kinsoku/>
        <w:wordWrap/>
        <w:overflowPunct/>
        <w:topLinePunct w:val="0"/>
        <w:autoSpaceDE/>
        <w:autoSpaceDN/>
        <w:bidi w:val="0"/>
        <w:adjustRightInd/>
        <w:snapToGrid/>
        <w:spacing w:line="520" w:lineRule="exact"/>
        <w:ind w:firstLine="588" w:firstLineChars="200"/>
        <w:textAlignment w:val="auto"/>
        <w:rPr>
          <w:rFonts w:hint="eastAsia" w:ascii="CESI楷体-GB2312" w:hAnsi="CESI楷体-GB2312" w:eastAsia="CESI楷体-GB2312" w:cs="CESI楷体-GB2312"/>
          <w:b/>
          <w:bCs/>
          <w:color w:val="auto"/>
          <w:sz w:val="30"/>
          <w:szCs w:val="30"/>
          <w:highlight w:val="none"/>
          <w:lang w:val="en-US" w:eastAsia="zh-CN"/>
        </w:rPr>
      </w:pPr>
    </w:p>
    <w:p>
      <w:pPr>
        <w:keepNext w:val="0"/>
        <w:keepLines w:val="0"/>
        <w:pageBreakBefore w:val="0"/>
        <w:kinsoku/>
        <w:wordWrap/>
        <w:overflowPunct/>
        <w:topLinePunct w:val="0"/>
        <w:autoSpaceDE/>
        <w:autoSpaceDN/>
        <w:bidi w:val="0"/>
        <w:adjustRightInd/>
        <w:snapToGrid/>
        <w:spacing w:line="520" w:lineRule="exact"/>
        <w:ind w:firstLine="588" w:firstLineChars="200"/>
        <w:textAlignment w:val="auto"/>
        <w:rPr>
          <w:rFonts w:hint="eastAsia" w:ascii="CESI楷体-GB2312" w:hAnsi="CESI楷体-GB2312" w:eastAsia="CESI楷体-GB2312" w:cs="CESI楷体-GB2312"/>
          <w:b/>
          <w:bCs/>
          <w:color w:val="auto"/>
          <w:sz w:val="30"/>
          <w:szCs w:val="30"/>
          <w:highlight w:val="none"/>
          <w:lang w:val="en-US" w:eastAsia="zh-CN"/>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CESI楷体-GB2312" w:hAnsi="CESI楷体-GB2312" w:eastAsia="CESI楷体-GB2312" w:cs="CESI楷体-GB2312"/>
          <w:b/>
          <w:bCs/>
          <w:color w:val="auto"/>
          <w:sz w:val="30"/>
          <w:szCs w:val="30"/>
          <w:highlight w:val="none"/>
          <w:lang w:val="en-US" w:eastAsia="zh-CN"/>
        </w:rPr>
      </w:pPr>
    </w:p>
    <w:p>
      <w:pPr>
        <w:keepNext w:val="0"/>
        <w:keepLines w:val="0"/>
        <w:pageBreakBefore w:val="0"/>
        <w:kinsoku/>
        <w:wordWrap/>
        <w:overflowPunct/>
        <w:topLinePunct w:val="0"/>
        <w:autoSpaceDE/>
        <w:autoSpaceDN/>
        <w:bidi w:val="0"/>
        <w:adjustRightInd/>
        <w:snapToGrid/>
        <w:spacing w:line="520" w:lineRule="exact"/>
        <w:ind w:left="289" w:leftChars="142" w:firstLine="294" w:firstLineChars="100"/>
        <w:textAlignment w:val="auto"/>
        <w:rPr>
          <w:rFonts w:hint="default" w:ascii="Times New Roman" w:hAnsi="Times New Roman" w:eastAsia="黑体" w:cs="Times New Roman"/>
          <w:b w:val="0"/>
          <w:bCs w:val="0"/>
          <w:color w:val="auto"/>
          <w:kern w:val="2"/>
          <w:sz w:val="30"/>
          <w:szCs w:val="30"/>
          <w:highlight w:val="none"/>
          <w:lang w:val="en-US" w:eastAsia="zh-CN" w:bidi="ar-SA"/>
        </w:rPr>
      </w:pPr>
      <w:r>
        <w:rPr>
          <w:rFonts w:hint="eastAsia" w:ascii="CESI楷体-GB2312" w:hAnsi="CESI楷体-GB2312" w:eastAsia="CESI楷体-GB2312" w:cs="CESI楷体-GB2312"/>
          <w:b/>
          <w:bCs/>
          <w:color w:val="auto"/>
          <w:sz w:val="30"/>
          <w:szCs w:val="30"/>
          <w:highlight w:val="none"/>
          <w:lang w:val="en-US" w:eastAsia="zh-CN"/>
        </w:rPr>
        <w:t>备注：</w:t>
      </w:r>
      <w:r>
        <w:rPr>
          <w:rFonts w:hint="eastAsia" w:ascii="CESI楷体-GB2312" w:hAnsi="CESI楷体-GB2312" w:eastAsia="CESI楷体-GB2312" w:cs="CESI楷体-GB2312"/>
          <w:b/>
          <w:bCs/>
          <w:color w:val="auto"/>
          <w:sz w:val="30"/>
          <w:szCs w:val="30"/>
          <w:highlight w:val="none"/>
          <w:lang w:eastAsia="zh-CN"/>
        </w:rPr>
        <w:t>具体</w:t>
      </w:r>
      <w:r>
        <w:rPr>
          <w:rFonts w:hint="eastAsia" w:ascii="CESI楷体-GB2312" w:hAnsi="CESI楷体-GB2312" w:eastAsia="CESI楷体-GB2312" w:cs="CESI楷体-GB2312"/>
          <w:b/>
          <w:bCs/>
          <w:color w:val="auto"/>
          <w:sz w:val="30"/>
          <w:szCs w:val="30"/>
          <w:highlight w:val="none"/>
          <w:lang w:val="en-US" w:eastAsia="zh-CN"/>
        </w:rPr>
        <w:t>补贴资金、消费券发放金额、消费券数量、发放时间、发放方式、消费券使用规则根据实际投放情况实时进行调整。</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28" w:firstLineChars="200"/>
        <w:textAlignment w:val="auto"/>
        <w:rPr>
          <w:rFonts w:hint="default" w:ascii="Times New Roman" w:hAnsi="Times New Roman" w:eastAsia="黑体" w:cs="Times New Roman"/>
          <w:b w:val="0"/>
          <w:bCs w:val="0"/>
          <w:color w:val="auto"/>
          <w:kern w:val="2"/>
          <w:sz w:val="32"/>
          <w:szCs w:val="32"/>
          <w:highlight w:val="none"/>
          <w:lang w:val="en-US" w:eastAsia="zh-CN" w:bidi="ar-SA"/>
        </w:rPr>
      </w:pPr>
      <w:r>
        <w:rPr>
          <w:rFonts w:hint="eastAsia" w:ascii="Times New Roman" w:hAnsi="Times New Roman" w:eastAsia="黑体" w:cs="Times New Roman"/>
          <w:b w:val="0"/>
          <w:bCs w:val="0"/>
          <w:color w:val="auto"/>
          <w:kern w:val="2"/>
          <w:sz w:val="32"/>
          <w:szCs w:val="32"/>
          <w:highlight w:val="none"/>
          <w:lang w:val="en-US" w:eastAsia="zh-CN" w:bidi="ar-SA"/>
        </w:rPr>
        <w:t>七</w:t>
      </w:r>
      <w:r>
        <w:rPr>
          <w:rFonts w:hint="default" w:ascii="Times New Roman" w:hAnsi="Times New Roman" w:eastAsia="黑体" w:cs="Times New Roman"/>
          <w:b w:val="0"/>
          <w:bCs w:val="0"/>
          <w:color w:val="auto"/>
          <w:kern w:val="2"/>
          <w:sz w:val="32"/>
          <w:szCs w:val="32"/>
          <w:highlight w:val="none"/>
          <w:lang w:val="en-US" w:eastAsia="zh-CN" w:bidi="ar-SA"/>
        </w:rPr>
        <w:t>、实施细则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(一)由伊金霍洛旗工业信息化和投资促进局实施开展</w:t>
      </w:r>
      <w:r>
        <w:rPr>
          <w:rFonts w:hint="eastAsia" w:ascii="仿宋_GB2312" w:hAnsi="仿宋_GB2312" w:eastAsia="仿宋_GB2312" w:cs="仿宋_GB2312"/>
          <w:b w:val="0"/>
          <w:bCs w:val="0"/>
          <w:color w:val="auto"/>
          <w:kern w:val="2"/>
          <w:sz w:val="32"/>
          <w:szCs w:val="32"/>
          <w:lang w:val="en-US" w:eastAsia="zh-CN"/>
        </w:rPr>
        <w:t>伊金霍洛旗餐饮促消费活动</w:t>
      </w:r>
      <w:r>
        <w:rPr>
          <w:rFonts w:hint="eastAsia" w:ascii="仿宋_GB2312" w:hAnsi="仿宋_GB2312" w:eastAsia="仿宋_GB2312" w:cs="仿宋_GB2312"/>
          <w:b w:val="0"/>
          <w:bCs w:val="0"/>
          <w:color w:val="auto"/>
          <w:kern w:val="2"/>
          <w:sz w:val="32"/>
          <w:szCs w:val="32"/>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(二)由伊金霍洛旗工业信息化和投资促进局验证第三方服务机构发券能力，确保消费券如期顺利发放。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(三)由伊金霍洛旗工业信息化和投资促进局与第三方服务机构签署合作协议。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rPr>
      </w:pPr>
      <w:r>
        <w:rPr>
          <w:rFonts w:hint="eastAsia" w:ascii="仿宋_GB2312" w:hAnsi="仿宋_GB2312" w:eastAsia="仿宋_GB2312" w:cs="仿宋_GB2312"/>
          <w:b w:val="0"/>
          <w:bCs w:val="0"/>
          <w:snapToGrid/>
          <w:color w:val="auto"/>
          <w:kern w:val="2"/>
          <w:sz w:val="32"/>
          <w:szCs w:val="32"/>
          <w:highlight w:val="none"/>
          <w:lang w:val="en-US" w:eastAsia="zh-CN"/>
        </w:rPr>
        <w:t>(四)由第三方服务机构召集相关商家参与消费补贴活动，引导商家做好消费补贴活动宣传推广及消费券使用工作。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28" w:firstLineChars="200"/>
        <w:textAlignment w:val="auto"/>
        <w:rPr>
          <w:rFonts w:hint="eastAsia" w:ascii="Times New Roman" w:hAnsi="Times New Roman" w:eastAsia="黑体" w:cs="Times New Roman"/>
          <w:b w:val="0"/>
          <w:bCs w:val="0"/>
          <w:color w:val="auto"/>
          <w:kern w:val="2"/>
          <w:sz w:val="32"/>
          <w:szCs w:val="32"/>
          <w:highlight w:val="none"/>
          <w:lang w:val="en-US" w:eastAsia="zh-CN" w:bidi="ar-SA"/>
        </w:rPr>
      </w:pPr>
      <w:r>
        <w:rPr>
          <w:rFonts w:hint="eastAsia" w:ascii="Times New Roman" w:hAnsi="Times New Roman" w:eastAsia="黑体" w:cs="Times New Roman"/>
          <w:b w:val="0"/>
          <w:bCs w:val="0"/>
          <w:color w:val="auto"/>
          <w:kern w:val="2"/>
          <w:sz w:val="32"/>
          <w:szCs w:val="32"/>
          <w:highlight w:val="none"/>
          <w:lang w:val="en-US" w:eastAsia="zh-CN" w:bidi="ar-SA"/>
        </w:rPr>
        <w:t>八、部门职责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一</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旗工业信息化</w:t>
      </w:r>
      <w:r>
        <w:rPr>
          <w:rFonts w:hint="eastAsia" w:ascii="仿宋_GB2312" w:hAnsi="仿宋_GB2312" w:eastAsia="仿宋_GB2312" w:cs="仿宋_GB2312"/>
          <w:b w:val="0"/>
          <w:bCs w:val="0"/>
          <w:color w:val="auto"/>
          <w:kern w:val="2"/>
          <w:sz w:val="32"/>
          <w:szCs w:val="32"/>
          <w:lang w:val="en-US" w:eastAsia="zh-CN" w:bidi="ar-SA"/>
        </w:rPr>
        <w:t>和投资促进</w:t>
      </w:r>
      <w:r>
        <w:rPr>
          <w:rFonts w:hint="default" w:ascii="仿宋_GB2312" w:hAnsi="仿宋_GB2312" w:eastAsia="仿宋_GB2312" w:cs="仿宋_GB2312"/>
          <w:b w:val="0"/>
          <w:bCs w:val="0"/>
          <w:color w:val="auto"/>
          <w:kern w:val="2"/>
          <w:sz w:val="32"/>
          <w:szCs w:val="32"/>
          <w:lang w:val="en-US" w:eastAsia="zh-CN" w:bidi="ar-SA"/>
        </w:rPr>
        <w:t>局：负责制定活动具体实施细则，组织开展活动并兑付消费补贴。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二</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旗财政局：负责保证活动补贴资金及时到位，并负责消费补贴资金使用监管工作。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三</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旗统计局：负责消费活动数据监控，评估活动成果。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四</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旗审计局：负责活动全过程审计监督，做好补贴资金审计工作。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五</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旗市场监督管理局：负责活动市场公平性审查，负责监督参与企业产品质量、价格，杜绝恶意抬高价格等行为。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（六）</w:t>
      </w:r>
      <w:r>
        <w:rPr>
          <w:rFonts w:hint="default" w:ascii="仿宋_GB2312" w:hAnsi="仿宋_GB2312" w:eastAsia="仿宋_GB2312" w:cs="仿宋_GB2312"/>
          <w:b w:val="0"/>
          <w:bCs w:val="0"/>
          <w:color w:val="auto"/>
          <w:kern w:val="2"/>
          <w:sz w:val="32"/>
          <w:szCs w:val="32"/>
          <w:lang w:val="en-US" w:eastAsia="zh-CN" w:bidi="ar-SA"/>
        </w:rPr>
        <w:t>旗融媒体中心：负责做好活动宣传报道工作。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jc w:val="both"/>
        <w:textAlignment w:val="auto"/>
        <w:rPr>
          <w:rFonts w:hint="eastAsia" w:ascii="Times New Roman" w:hAnsi="Times New Roman" w:eastAsia="黑体" w:cs="Times New Roman"/>
          <w:b w:val="0"/>
          <w:bCs w:val="0"/>
          <w:color w:val="auto"/>
          <w:kern w:val="2"/>
          <w:sz w:val="32"/>
          <w:szCs w:val="32"/>
          <w:highlight w:val="none"/>
          <w:lang w:val="en-US" w:eastAsia="zh-CN" w:bidi="ar-SA"/>
        </w:rPr>
      </w:pPr>
      <w:r>
        <w:rPr>
          <w:rFonts w:hint="eastAsia" w:ascii="Times New Roman" w:hAnsi="Times New Roman" w:eastAsia="黑体" w:cs="Times New Roman"/>
          <w:b w:val="0"/>
          <w:bCs w:val="0"/>
          <w:color w:val="auto"/>
          <w:kern w:val="2"/>
          <w:sz w:val="32"/>
          <w:szCs w:val="32"/>
          <w:highlight w:val="none"/>
          <w:lang w:val="en-US" w:eastAsia="zh-CN" w:bidi="ar-SA"/>
        </w:rPr>
        <w:t>九、参与企业（商户）基本要求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jc w:val="both"/>
        <w:textAlignment w:val="auto"/>
        <w:rPr>
          <w:rFonts w:hint="eastAsia" w:ascii="Times New Roman" w:hAnsi="Times New Roman" w:eastAsia="仿宋_GB2312" w:cs="Times New Roman"/>
          <w:b w:val="0"/>
          <w:bCs w:val="0"/>
          <w:snapToGrid/>
          <w:color w:val="auto"/>
          <w:kern w:val="2"/>
          <w:sz w:val="32"/>
          <w:szCs w:val="32"/>
          <w:highlight w:val="none"/>
          <w:lang w:val="en-US" w:eastAsia="zh-CN"/>
        </w:rPr>
      </w:pPr>
      <w:r>
        <w:rPr>
          <w:rFonts w:hint="eastAsia" w:ascii="Times New Roman" w:hAnsi="Times New Roman" w:eastAsia="仿宋_GB2312" w:cs="Times New Roman"/>
          <w:b w:val="0"/>
          <w:bCs w:val="0"/>
          <w:snapToGrid/>
          <w:color w:val="auto"/>
          <w:kern w:val="2"/>
          <w:sz w:val="32"/>
          <w:szCs w:val="32"/>
          <w:highlight w:val="none"/>
          <w:lang w:val="en-US" w:eastAsia="zh-CN"/>
        </w:rPr>
        <w:t>（一）消费券仅限于在申报参与活动的企业及个体工商户实体店面使用。在各商家优惠活动基础上使用，适用范围内的商家不得见机涨价、拒收，严禁非消费直兑现金、倒买倒卖等行为，消费券仅用于当餐消费，不可办理预付卡，如有上述情况，采取收回消费券并向商家追偿已使用的消费券金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jc w:val="both"/>
        <w:textAlignment w:val="auto"/>
        <w:rPr>
          <w:rFonts w:hint="eastAsia" w:ascii="Times New Roman" w:hAnsi="Times New Roman" w:eastAsia="仿宋_GB2312" w:cs="Times New Roman"/>
          <w:b w:val="0"/>
          <w:bCs w:val="0"/>
          <w:snapToGrid/>
          <w:color w:val="auto"/>
          <w:kern w:val="2"/>
          <w:sz w:val="32"/>
          <w:szCs w:val="32"/>
          <w:highlight w:val="none"/>
          <w:lang w:val="en-US" w:eastAsia="zh-CN"/>
        </w:rPr>
      </w:pPr>
      <w:r>
        <w:rPr>
          <w:rFonts w:hint="eastAsia" w:ascii="Times New Roman" w:hAnsi="Times New Roman" w:eastAsia="仿宋_GB2312" w:cs="Times New Roman"/>
          <w:b w:val="0"/>
          <w:bCs w:val="0"/>
          <w:snapToGrid/>
          <w:color w:val="auto"/>
          <w:kern w:val="2"/>
          <w:sz w:val="32"/>
          <w:szCs w:val="32"/>
          <w:highlight w:val="none"/>
          <w:lang w:val="en-US" w:eastAsia="zh-CN"/>
        </w:rPr>
        <w:t>（二）凡参与活动的商家需签订承诺书，对销售商品的质量和价格进行公开承诺。在消费活动期间必须保持同期商品价格幅度和质量水平，并严格按照规定明码标价，明确产品及服务依法享受国家三包政策。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jc w:val="both"/>
        <w:textAlignment w:val="auto"/>
        <w:rPr>
          <w:rFonts w:hint="eastAsia" w:ascii="Times New Roman" w:hAnsi="Times New Roman" w:eastAsia="仿宋_GB2312" w:cs="Times New Roman"/>
          <w:b w:val="0"/>
          <w:bCs w:val="0"/>
          <w:snapToGrid/>
          <w:color w:val="auto"/>
          <w:kern w:val="2"/>
          <w:sz w:val="32"/>
          <w:szCs w:val="32"/>
          <w:highlight w:val="none"/>
          <w:lang w:val="en-US" w:eastAsia="zh-CN"/>
        </w:rPr>
      </w:pPr>
      <w:r>
        <w:rPr>
          <w:rFonts w:hint="eastAsia" w:ascii="Times New Roman" w:hAnsi="Times New Roman" w:eastAsia="仿宋_GB2312" w:cs="Times New Roman"/>
          <w:b w:val="0"/>
          <w:bCs w:val="0"/>
          <w:snapToGrid/>
          <w:color w:val="auto"/>
          <w:kern w:val="2"/>
          <w:sz w:val="32"/>
          <w:szCs w:val="32"/>
          <w:highlight w:val="none"/>
          <w:lang w:val="en-US" w:eastAsia="zh-CN"/>
        </w:rPr>
        <w:t>（三）参与活动的商家，积极配合有关部门，加强促销活动安全管理，完善安全预案，落实企业安全主体责任，保障食品流通安全，确保消防安全、疏散通道等设施完备通畅，落实安全防护措施，有效防范促销场所发生踩踏、火灾等安全事故，确保促销活动安全有序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bidi="ar-SA"/>
        </w:rPr>
      </w:pPr>
      <w:r>
        <w:rPr>
          <w:rFonts w:hint="eastAsia" w:ascii="仿宋_GB2312" w:hAnsi="仿宋_GB2312" w:eastAsia="仿宋_GB2312" w:cs="仿宋_GB2312"/>
          <w:b w:val="0"/>
          <w:bCs w:val="0"/>
          <w:snapToGrid/>
          <w:color w:val="auto"/>
          <w:kern w:val="2"/>
          <w:sz w:val="32"/>
          <w:szCs w:val="32"/>
          <w:highlight w:val="none"/>
          <w:lang w:val="en-US" w:eastAsia="zh-CN" w:bidi="ar-SA"/>
        </w:rPr>
        <w:t>（四）主办方及承办方有权通过后台技术手段监测营销活动实施，如发现存在作弊舞弊、利用不正当手段（包括但不限于刷单、套现、提供虚假证件或发票、虚假交易等）骗取套取补贴资金等违法违规行为，追究相关人员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jc w:val="both"/>
        <w:textAlignment w:val="auto"/>
        <w:rPr>
          <w:rFonts w:hint="eastAsia" w:ascii="Times New Roman" w:hAnsi="Times New Roman" w:eastAsia="仿宋_GB2312" w:cs="Times New Roman"/>
          <w:b w:val="0"/>
          <w:bCs w:val="0"/>
          <w:snapToGrid/>
          <w:color w:val="auto"/>
          <w:kern w:val="2"/>
          <w:sz w:val="32"/>
          <w:szCs w:val="32"/>
          <w:highlight w:val="none"/>
          <w:lang w:val="en-US" w:eastAsia="zh-CN"/>
        </w:rPr>
      </w:pPr>
      <w:r>
        <w:rPr>
          <w:rFonts w:hint="eastAsia" w:ascii="Times New Roman" w:hAnsi="Times New Roman" w:eastAsia="仿宋_GB2312" w:cs="Times New Roman"/>
          <w:b w:val="0"/>
          <w:bCs w:val="0"/>
          <w:snapToGrid/>
          <w:color w:val="auto"/>
          <w:kern w:val="2"/>
          <w:sz w:val="32"/>
          <w:szCs w:val="32"/>
          <w:highlight w:val="none"/>
          <w:lang w:val="en-US" w:eastAsia="zh-CN"/>
        </w:rPr>
        <w:t>（五）报名参与的商家需在伊金霍洛旗内注册登记，有实体店面，需向消费者开具电子消费小票及销售统一发票，交易全流程台账资料完整，具有防范骗补、套补等行为的能力。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jc w:val="both"/>
        <w:textAlignment w:val="auto"/>
        <w:rPr>
          <w:rFonts w:hint="eastAsia" w:ascii="Times New Roman" w:hAnsi="Times New Roman" w:eastAsia="仿宋_GB2312" w:cs="Times New Roman"/>
          <w:b w:val="0"/>
          <w:bCs w:val="0"/>
          <w:snapToGrid/>
          <w:color w:val="auto"/>
          <w:kern w:val="2"/>
          <w:sz w:val="32"/>
          <w:szCs w:val="32"/>
          <w:highlight w:val="none"/>
          <w:lang w:val="en-US" w:eastAsia="zh-CN"/>
        </w:rPr>
      </w:pPr>
    </w:p>
    <w:sectPr>
      <w:footerReference r:id="rId3" w:type="default"/>
      <w:pgSz w:w="11906" w:h="16838"/>
      <w:pgMar w:top="1984" w:right="1474" w:bottom="1644" w:left="1474" w:header="851" w:footer="992" w:gutter="0"/>
      <w:pgNumType w:fmt="numberInDash"/>
      <w:cols w:space="0" w:num="1"/>
      <w:rtlGutter w:val="0"/>
      <w:docGrid w:type="linesAndChars" w:linePitch="574"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rebuchet M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02"/>
  <w:drawingGridVerticalSpacing w:val="287"/>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D501F"/>
    <w:rsid w:val="0F29D289"/>
    <w:rsid w:val="0FEF9F81"/>
    <w:rsid w:val="17FBD5E2"/>
    <w:rsid w:val="17FF11FB"/>
    <w:rsid w:val="1B7FF692"/>
    <w:rsid w:val="1FEFD678"/>
    <w:rsid w:val="1FEFDE21"/>
    <w:rsid w:val="1FF36988"/>
    <w:rsid w:val="255F8A16"/>
    <w:rsid w:val="25BF144E"/>
    <w:rsid w:val="25FEF280"/>
    <w:rsid w:val="2AEE0559"/>
    <w:rsid w:val="2BF7F32E"/>
    <w:rsid w:val="2BFD1E50"/>
    <w:rsid w:val="2DC8C67D"/>
    <w:rsid w:val="2EEFC4C9"/>
    <w:rsid w:val="2FEFE1A1"/>
    <w:rsid w:val="2FFE3BDB"/>
    <w:rsid w:val="31FC411E"/>
    <w:rsid w:val="32BAB39B"/>
    <w:rsid w:val="3777AFD3"/>
    <w:rsid w:val="378FF91D"/>
    <w:rsid w:val="37CFD761"/>
    <w:rsid w:val="37DD0446"/>
    <w:rsid w:val="37EFA026"/>
    <w:rsid w:val="37FD9EBC"/>
    <w:rsid w:val="3BDFF3F6"/>
    <w:rsid w:val="3BE6FECF"/>
    <w:rsid w:val="3DFFE778"/>
    <w:rsid w:val="3EBE24E6"/>
    <w:rsid w:val="3EBE353E"/>
    <w:rsid w:val="3EF61C98"/>
    <w:rsid w:val="3EF8435D"/>
    <w:rsid w:val="3FBF88C3"/>
    <w:rsid w:val="3FBFAA93"/>
    <w:rsid w:val="3FFC8CEE"/>
    <w:rsid w:val="3FFDBA2E"/>
    <w:rsid w:val="3FFEE96C"/>
    <w:rsid w:val="3FFF71D0"/>
    <w:rsid w:val="47D7C8A6"/>
    <w:rsid w:val="47F7FB56"/>
    <w:rsid w:val="4DFFC889"/>
    <w:rsid w:val="4F6F8F8F"/>
    <w:rsid w:val="4F7FE122"/>
    <w:rsid w:val="4F8FF0E5"/>
    <w:rsid w:val="4FBDC3AA"/>
    <w:rsid w:val="4FF3D86B"/>
    <w:rsid w:val="51FB6395"/>
    <w:rsid w:val="5737591E"/>
    <w:rsid w:val="577D2133"/>
    <w:rsid w:val="57F3A1E3"/>
    <w:rsid w:val="5B672D48"/>
    <w:rsid w:val="5BF634FF"/>
    <w:rsid w:val="5D3B3618"/>
    <w:rsid w:val="5DFF981B"/>
    <w:rsid w:val="5E7C71FB"/>
    <w:rsid w:val="5EB6CA11"/>
    <w:rsid w:val="5F367F33"/>
    <w:rsid w:val="5F673934"/>
    <w:rsid w:val="5F77E9D7"/>
    <w:rsid w:val="5FD6E8F0"/>
    <w:rsid w:val="5FFECFE8"/>
    <w:rsid w:val="62F9629C"/>
    <w:rsid w:val="65DF11AB"/>
    <w:rsid w:val="663D2640"/>
    <w:rsid w:val="667E45EA"/>
    <w:rsid w:val="66AA5AEC"/>
    <w:rsid w:val="677FCB59"/>
    <w:rsid w:val="679D8729"/>
    <w:rsid w:val="67FBF53C"/>
    <w:rsid w:val="67FF7594"/>
    <w:rsid w:val="69FF93D3"/>
    <w:rsid w:val="6BDD23A7"/>
    <w:rsid w:val="6BF75676"/>
    <w:rsid w:val="6EFBB650"/>
    <w:rsid w:val="6F6E9E6D"/>
    <w:rsid w:val="6FDA05CE"/>
    <w:rsid w:val="6FF9E225"/>
    <w:rsid w:val="6FFF513E"/>
    <w:rsid w:val="6FFF70F2"/>
    <w:rsid w:val="6FFFA664"/>
    <w:rsid w:val="70A529D5"/>
    <w:rsid w:val="71574D54"/>
    <w:rsid w:val="725FBED6"/>
    <w:rsid w:val="7377B534"/>
    <w:rsid w:val="73F78A65"/>
    <w:rsid w:val="73F98815"/>
    <w:rsid w:val="74FD8EE8"/>
    <w:rsid w:val="767F4488"/>
    <w:rsid w:val="76EBC9B8"/>
    <w:rsid w:val="76FAEC87"/>
    <w:rsid w:val="7713D9DC"/>
    <w:rsid w:val="775CB7A0"/>
    <w:rsid w:val="77EB2535"/>
    <w:rsid w:val="77FEC165"/>
    <w:rsid w:val="77FF7907"/>
    <w:rsid w:val="79CF48B3"/>
    <w:rsid w:val="79E7B4E2"/>
    <w:rsid w:val="79FFEF99"/>
    <w:rsid w:val="7A5F86C4"/>
    <w:rsid w:val="7A6FC0FE"/>
    <w:rsid w:val="7BBE8E4A"/>
    <w:rsid w:val="7BD98504"/>
    <w:rsid w:val="7BDFEE0D"/>
    <w:rsid w:val="7BFD4A3E"/>
    <w:rsid w:val="7BFEA14E"/>
    <w:rsid w:val="7BFF51A4"/>
    <w:rsid w:val="7BFFFD70"/>
    <w:rsid w:val="7C7DB7AC"/>
    <w:rsid w:val="7CBA4ACF"/>
    <w:rsid w:val="7CBF4B17"/>
    <w:rsid w:val="7CEEB0D1"/>
    <w:rsid w:val="7D76C297"/>
    <w:rsid w:val="7D7997C7"/>
    <w:rsid w:val="7D7F9307"/>
    <w:rsid w:val="7D8F9E32"/>
    <w:rsid w:val="7D9F03A7"/>
    <w:rsid w:val="7DB1B186"/>
    <w:rsid w:val="7DE7257E"/>
    <w:rsid w:val="7E3FF4E4"/>
    <w:rsid w:val="7E8F7DEC"/>
    <w:rsid w:val="7EDB84A0"/>
    <w:rsid w:val="7EDED3D8"/>
    <w:rsid w:val="7F3F0F7A"/>
    <w:rsid w:val="7F5F9CA9"/>
    <w:rsid w:val="7F7B485B"/>
    <w:rsid w:val="7F7FE5AF"/>
    <w:rsid w:val="7F879034"/>
    <w:rsid w:val="7F93E90B"/>
    <w:rsid w:val="7FD9866A"/>
    <w:rsid w:val="7FDE0EA8"/>
    <w:rsid w:val="7FE9ED7B"/>
    <w:rsid w:val="7FEB981A"/>
    <w:rsid w:val="7FEDF73E"/>
    <w:rsid w:val="7FEEF5FA"/>
    <w:rsid w:val="7FEF2C2B"/>
    <w:rsid w:val="7FF7192C"/>
    <w:rsid w:val="7FF776B2"/>
    <w:rsid w:val="7FF99575"/>
    <w:rsid w:val="7FF9A410"/>
    <w:rsid w:val="7FFAE2EC"/>
    <w:rsid w:val="7FFB99C9"/>
    <w:rsid w:val="7FFDA178"/>
    <w:rsid w:val="7FFF08D5"/>
    <w:rsid w:val="7FFFCAB7"/>
    <w:rsid w:val="87EBF171"/>
    <w:rsid w:val="8BF7D908"/>
    <w:rsid w:val="97FE26BA"/>
    <w:rsid w:val="983FE28C"/>
    <w:rsid w:val="9B7A8362"/>
    <w:rsid w:val="9BDD8321"/>
    <w:rsid w:val="9BFBF23F"/>
    <w:rsid w:val="9BFFBBB8"/>
    <w:rsid w:val="9DE73DBD"/>
    <w:rsid w:val="9DF7CE28"/>
    <w:rsid w:val="9EDF3447"/>
    <w:rsid w:val="A67F25A9"/>
    <w:rsid w:val="A7FFA6D8"/>
    <w:rsid w:val="A9FD11DB"/>
    <w:rsid w:val="ABD35F3E"/>
    <w:rsid w:val="ABFF3913"/>
    <w:rsid w:val="ADFD2FDA"/>
    <w:rsid w:val="AF5F11B9"/>
    <w:rsid w:val="B4D68530"/>
    <w:rsid w:val="B6D76395"/>
    <w:rsid w:val="B77D13AA"/>
    <w:rsid w:val="B7EF35D2"/>
    <w:rsid w:val="BAF78659"/>
    <w:rsid w:val="BBFF0285"/>
    <w:rsid w:val="BDFF6FA2"/>
    <w:rsid w:val="BE0F7CE9"/>
    <w:rsid w:val="BEF5E467"/>
    <w:rsid w:val="BF9AC0E1"/>
    <w:rsid w:val="BF9FD293"/>
    <w:rsid w:val="BFCD931E"/>
    <w:rsid w:val="BFDA9984"/>
    <w:rsid w:val="BFE5D35F"/>
    <w:rsid w:val="BFE76580"/>
    <w:rsid w:val="BFF330CD"/>
    <w:rsid w:val="BFF6B2F8"/>
    <w:rsid w:val="BFFE9D57"/>
    <w:rsid w:val="C79F845E"/>
    <w:rsid w:val="CEF0EC07"/>
    <w:rsid w:val="CFBB8669"/>
    <w:rsid w:val="CFBFB1FB"/>
    <w:rsid w:val="CFCFF783"/>
    <w:rsid w:val="CFFFABF5"/>
    <w:rsid w:val="D6BE8557"/>
    <w:rsid w:val="D6FE6C93"/>
    <w:rsid w:val="D7E35576"/>
    <w:rsid w:val="D7EFF034"/>
    <w:rsid w:val="D7F53A42"/>
    <w:rsid w:val="D9B94F72"/>
    <w:rsid w:val="DAFB9695"/>
    <w:rsid w:val="DBBF7EC5"/>
    <w:rsid w:val="DBEF16C7"/>
    <w:rsid w:val="DBFD58D0"/>
    <w:rsid w:val="DC3EBBF6"/>
    <w:rsid w:val="DDA94E31"/>
    <w:rsid w:val="DECD9D7D"/>
    <w:rsid w:val="DEF70A6B"/>
    <w:rsid w:val="DFDE5487"/>
    <w:rsid w:val="DFEF2F3D"/>
    <w:rsid w:val="DFF689BA"/>
    <w:rsid w:val="DFFF3455"/>
    <w:rsid w:val="E5FF5AAE"/>
    <w:rsid w:val="E76FA14F"/>
    <w:rsid w:val="E7A74AF9"/>
    <w:rsid w:val="E7E705DC"/>
    <w:rsid w:val="E7F75AFD"/>
    <w:rsid w:val="E87F4113"/>
    <w:rsid w:val="E8F6AF72"/>
    <w:rsid w:val="E9DF6740"/>
    <w:rsid w:val="EAF67E96"/>
    <w:rsid w:val="EB776A2B"/>
    <w:rsid w:val="EB77E83E"/>
    <w:rsid w:val="ED313D07"/>
    <w:rsid w:val="EEBC8D42"/>
    <w:rsid w:val="EF9EB33A"/>
    <w:rsid w:val="EFCBCB8D"/>
    <w:rsid w:val="EFDF26F1"/>
    <w:rsid w:val="EFDF90E9"/>
    <w:rsid w:val="EFFBC9C2"/>
    <w:rsid w:val="F1D701FD"/>
    <w:rsid w:val="F1FF12B3"/>
    <w:rsid w:val="F23F9D2D"/>
    <w:rsid w:val="F34BD763"/>
    <w:rsid w:val="F3FF05C9"/>
    <w:rsid w:val="F4FF8277"/>
    <w:rsid w:val="F555F45E"/>
    <w:rsid w:val="F57298F0"/>
    <w:rsid w:val="F5BED135"/>
    <w:rsid w:val="F5BEDC74"/>
    <w:rsid w:val="F5FD14EC"/>
    <w:rsid w:val="F6AF24C7"/>
    <w:rsid w:val="F6DD91CF"/>
    <w:rsid w:val="F6F91DA8"/>
    <w:rsid w:val="F776B204"/>
    <w:rsid w:val="F7FB5B61"/>
    <w:rsid w:val="F7FD0097"/>
    <w:rsid w:val="F8E703B0"/>
    <w:rsid w:val="F8F8D88E"/>
    <w:rsid w:val="F8FAD6AC"/>
    <w:rsid w:val="F8FFE31E"/>
    <w:rsid w:val="F9B7E441"/>
    <w:rsid w:val="F9E423BF"/>
    <w:rsid w:val="FAC74D05"/>
    <w:rsid w:val="FAF604D1"/>
    <w:rsid w:val="FAFFB7B8"/>
    <w:rsid w:val="FBAFB505"/>
    <w:rsid w:val="FBF57AFE"/>
    <w:rsid w:val="FBF7BB5E"/>
    <w:rsid w:val="FBFFCF4E"/>
    <w:rsid w:val="FC3733EE"/>
    <w:rsid w:val="FCF7E2C2"/>
    <w:rsid w:val="FCF7E9AB"/>
    <w:rsid w:val="FDEF5B60"/>
    <w:rsid w:val="FDFFE2D9"/>
    <w:rsid w:val="FEAFB9C5"/>
    <w:rsid w:val="FECDDAD8"/>
    <w:rsid w:val="FEE7B481"/>
    <w:rsid w:val="FEF58D6E"/>
    <w:rsid w:val="FEF79499"/>
    <w:rsid w:val="FEFA2380"/>
    <w:rsid w:val="FF4B761E"/>
    <w:rsid w:val="FF5BCB68"/>
    <w:rsid w:val="FF5FF122"/>
    <w:rsid w:val="FF8E8756"/>
    <w:rsid w:val="FF9FFC34"/>
    <w:rsid w:val="FFB39335"/>
    <w:rsid w:val="FFC916C2"/>
    <w:rsid w:val="FFDEB507"/>
    <w:rsid w:val="FFDFC58F"/>
    <w:rsid w:val="FFF97D1E"/>
    <w:rsid w:val="FFFA29DC"/>
    <w:rsid w:val="FFFBE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4">
    <w:name w:val="heading 1"/>
    <w:basedOn w:val="1"/>
    <w:next w:val="1"/>
    <w:qFormat/>
    <w:uiPriority w:val="0"/>
    <w:pPr>
      <w:keepNext/>
      <w:keepLines/>
      <w:spacing w:before="340" w:beforeAutospacing="0" w:after="330" w:afterAutospacing="0" w:line="576" w:lineRule="auto"/>
      <w:outlineLvl w:val="0"/>
    </w:pPr>
    <w:rPr>
      <w:b/>
      <w:kern w:val="44"/>
      <w:sz w:val="44"/>
    </w:rPr>
  </w:style>
  <w:style w:type="character" w:default="1" w:styleId="12">
    <w:name w:val="Default Paragraph Font"/>
    <w:qFormat/>
    <w:uiPriority w:val="0"/>
  </w:style>
  <w:style w:type="table" w:default="1" w:styleId="10">
    <w:name w:val="Normal Table"/>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 w:val="21"/>
      <w:szCs w:val="2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Indent"/>
    <w:basedOn w:val="1"/>
    <w:qFormat/>
    <w:uiPriority w:val="0"/>
    <w:pPr>
      <w:spacing w:after="120" w:afterAutospacing="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2"/>
    <w:basedOn w:val="1"/>
    <w:qFormat/>
    <w:uiPriority w:val="0"/>
    <w:pPr>
      <w:spacing w:after="120" w:line="480" w:lineRule="auto"/>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9">
    <w:name w:val="Body Text First Indent 2"/>
    <w:basedOn w:val="5"/>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Calibri" w:hAnsi="Calibri" w:eastAsia="宋体" w:cs="Times New Roman"/>
      <w:kern w:val="2"/>
      <w:sz w:val="21"/>
      <w:szCs w:val="24"/>
      <w:lang w:val="en-US" w:eastAsia="zh-CN"/>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普通(网站)1"/>
    <w:basedOn w:val="1"/>
    <w:qFormat/>
    <w:uiPriority w:val="0"/>
    <w:pPr>
      <w:widowControl w:val="0"/>
      <w:kinsoku/>
      <w:autoSpaceDE/>
      <w:autoSpaceDN/>
      <w:adjustRightInd/>
      <w:snapToGrid/>
      <w:textAlignment w:val="auto"/>
    </w:pPr>
    <w:rPr>
      <w:rFonts w:ascii="Times New Roman" w:hAnsi="Times New Roman" w:eastAsia="宋体" w:cs="Times New Roman"/>
      <w:snapToGrid/>
      <w:color w:val="auto"/>
      <w:sz w:val="24"/>
      <w:szCs w:val="24"/>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1484</Words>
  <Characters>1554</Characters>
  <Paragraphs>106</Paragraphs>
  <TotalTime>3</TotalTime>
  <ScaleCrop>false</ScaleCrop>
  <LinksUpToDate>false</LinksUpToDate>
  <CharactersWithSpaces>1556</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2023-09-20T15:14:00Z</dcterms:created>
  <dc:creator>丿依赖你的守护</dc:creator>
  <cp:lastModifiedBy>asd</cp:lastModifiedBy>
  <cp:lastPrinted>2025-06-25T17:10:00Z</cp:lastPrinted>
  <dcterms:modified xsi:type="dcterms:W3CDTF">2025-06-25T09:31:56Z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702E7671252A451EA7776D6EE013861B_13</vt:lpwstr>
  </property>
  <property fmtid="{D5CDD505-2E9C-101B-9397-08002B2CF9AE}" pid="4" name="KSOTemplateDocerSaveRecord">
    <vt:lpwstr>eyJoZGlkIjoiMDg3ZDEwMWJkN2U2MjliZDY4NjAxZTJmNzVjNDY2YWIiLCJ1c2VySWQiOiIzMDM5MDcwNjMifQ==</vt:lpwstr>
  </property>
</Properties>
</file>