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6" w:line="219" w:lineRule="auto"/>
        <w:jc w:val="center"/>
        <w:rPr>
          <w:rFonts w:ascii="宋体" w:hAnsi="宋体" w:eastAsia="宋体" w:cs="宋体"/>
          <w:sz w:val="45"/>
          <w:szCs w:val="45"/>
        </w:rPr>
      </w:pPr>
      <w:r>
        <w:rPr>
          <w:rFonts w:hint="eastAsia" w:ascii="宋体" w:hAnsi="宋体" w:eastAsia="宋体" w:cs="宋体"/>
          <w:b/>
          <w:bCs/>
          <w:spacing w:val="-14"/>
          <w:sz w:val="45"/>
          <w:szCs w:val="45"/>
          <w:lang w:val="en-US" w:eastAsia="zh-CN"/>
        </w:rPr>
        <w:t>伊金霍洛旗</w:t>
      </w:r>
      <w:r>
        <w:rPr>
          <w:rFonts w:ascii="宋体" w:hAnsi="宋体" w:eastAsia="宋体" w:cs="宋体"/>
          <w:b/>
          <w:bCs/>
          <w:spacing w:val="-14"/>
          <w:sz w:val="45"/>
          <w:szCs w:val="45"/>
        </w:rPr>
        <w:t>电子技术监控设备公示表</w:t>
      </w:r>
    </w:p>
    <w:p>
      <w:pPr>
        <w:pStyle w:val="2"/>
        <w:spacing w:line="258" w:lineRule="auto"/>
      </w:pPr>
    </w:p>
    <w:tbl>
      <w:tblPr>
        <w:tblStyle w:val="5"/>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66"/>
        <w:gridCol w:w="1511"/>
        <w:gridCol w:w="1062"/>
        <w:gridCol w:w="5827"/>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Pr>
          <w:p>
            <w:pPr>
              <w:spacing w:before="85" w:line="226" w:lineRule="auto"/>
              <w:ind w:left="627"/>
              <w:rPr>
                <w:rFonts w:ascii="宋体" w:hAnsi="宋体" w:eastAsia="宋体" w:cs="宋体"/>
                <w:b/>
                <w:bCs/>
                <w:spacing w:val="-2"/>
                <w:sz w:val="28"/>
                <w:szCs w:val="28"/>
                <w:vertAlign w:val="baseline"/>
              </w:rPr>
            </w:pPr>
            <w:r>
              <w:rPr>
                <w:rFonts w:ascii="宋体" w:hAnsi="宋体" w:eastAsia="宋体" w:cs="宋体"/>
                <w:spacing w:val="2"/>
                <w:sz w:val="26"/>
                <w:szCs w:val="26"/>
              </w:rPr>
              <w:t xml:space="preserve">                             </w:t>
            </w:r>
            <w:r>
              <w:rPr>
                <w:rFonts w:ascii="宋体" w:hAnsi="宋体" w:eastAsia="宋体" w:cs="宋体"/>
                <w:spacing w:val="1"/>
                <w:sz w:val="26"/>
                <w:szCs w:val="26"/>
              </w:rPr>
              <w:t xml:space="preserve">          </w:t>
            </w:r>
            <w:bookmarkStart w:id="0" w:name="_GoBack"/>
            <w:bookmarkEnd w:id="0"/>
            <w:r>
              <w:rPr>
                <w:rFonts w:ascii="宋体" w:hAnsi="宋体" w:eastAsia="宋体" w:cs="宋体"/>
                <w:b/>
                <w:bCs/>
                <w:spacing w:val="-2"/>
                <w:sz w:val="28"/>
                <w:szCs w:val="28"/>
              </w:rPr>
              <w:t>序号</w:t>
            </w:r>
          </w:p>
        </w:tc>
        <w:tc>
          <w:tcPr>
            <w:tcW w:w="1466" w:type="dxa"/>
          </w:tcPr>
          <w:p>
            <w:pPr>
              <w:widowControl w:val="0"/>
              <w:tabs>
                <w:tab w:val="left" w:pos="680"/>
              </w:tabs>
              <w:spacing w:before="71"/>
              <w:jc w:val="center"/>
              <w:rPr>
                <w:rFonts w:ascii="宋体" w:hAnsi="宋体" w:eastAsia="宋体" w:cs="宋体"/>
                <w:b/>
                <w:bCs/>
                <w:spacing w:val="-2"/>
                <w:sz w:val="28"/>
                <w:szCs w:val="28"/>
                <w:vertAlign w:val="baseline"/>
              </w:rPr>
            </w:pPr>
            <w:r>
              <w:rPr>
                <w:rFonts w:ascii="宋体" w:hAnsi="宋体" w:eastAsia="宋体" w:cs="宋体"/>
                <w:b/>
                <w:bCs/>
                <w:spacing w:val="-2"/>
                <w:sz w:val="28"/>
                <w:szCs w:val="28"/>
              </w:rPr>
              <w:t>设备编号</w:t>
            </w:r>
          </w:p>
        </w:tc>
        <w:tc>
          <w:tcPr>
            <w:tcW w:w="1511" w:type="dxa"/>
          </w:tcPr>
          <w:p>
            <w:pPr>
              <w:widowControl w:val="0"/>
              <w:tabs>
                <w:tab w:val="left" w:pos="680"/>
              </w:tabs>
              <w:spacing w:before="71"/>
              <w:jc w:val="center"/>
              <w:rPr>
                <w:rFonts w:ascii="宋体" w:hAnsi="宋体" w:eastAsia="宋体" w:cs="宋体"/>
                <w:b/>
                <w:bCs/>
                <w:spacing w:val="-2"/>
                <w:sz w:val="28"/>
                <w:szCs w:val="28"/>
                <w:vertAlign w:val="baseline"/>
              </w:rPr>
            </w:pPr>
            <w:r>
              <w:rPr>
                <w:rFonts w:ascii="宋体" w:hAnsi="宋体" w:eastAsia="宋体" w:cs="宋体"/>
                <w:b/>
                <w:bCs/>
                <w:spacing w:val="-2"/>
                <w:sz w:val="28"/>
                <w:szCs w:val="28"/>
              </w:rPr>
              <w:t>设置地点</w:t>
            </w:r>
          </w:p>
        </w:tc>
        <w:tc>
          <w:tcPr>
            <w:tcW w:w="1062" w:type="dxa"/>
          </w:tcPr>
          <w:p>
            <w:pPr>
              <w:widowControl w:val="0"/>
              <w:tabs>
                <w:tab w:val="left" w:pos="680"/>
              </w:tabs>
              <w:spacing w:before="71"/>
              <w:jc w:val="center"/>
              <w:rPr>
                <w:rFonts w:ascii="宋体" w:hAnsi="宋体" w:eastAsia="宋体" w:cs="宋体"/>
                <w:b/>
                <w:bCs/>
                <w:spacing w:val="-2"/>
                <w:sz w:val="28"/>
                <w:szCs w:val="28"/>
                <w:vertAlign w:val="baseline"/>
              </w:rPr>
            </w:pPr>
            <w:r>
              <w:rPr>
                <w:rFonts w:ascii="宋体" w:hAnsi="宋体" w:eastAsia="宋体" w:cs="宋体"/>
                <w:b/>
                <w:bCs/>
                <w:spacing w:val="-2"/>
                <w:sz w:val="28"/>
                <w:szCs w:val="28"/>
              </w:rPr>
              <w:t>设备启用日期</w:t>
            </w:r>
          </w:p>
        </w:tc>
        <w:tc>
          <w:tcPr>
            <w:tcW w:w="5827" w:type="dxa"/>
          </w:tcPr>
          <w:p>
            <w:pPr>
              <w:widowControl w:val="0"/>
              <w:tabs>
                <w:tab w:val="left" w:pos="680"/>
              </w:tabs>
              <w:spacing w:before="71"/>
              <w:jc w:val="center"/>
              <w:rPr>
                <w:rFonts w:ascii="宋体" w:hAnsi="宋体" w:eastAsia="宋体" w:cs="宋体"/>
                <w:b/>
                <w:bCs/>
                <w:spacing w:val="-2"/>
                <w:sz w:val="28"/>
                <w:szCs w:val="28"/>
                <w:vertAlign w:val="baseline"/>
              </w:rPr>
            </w:pPr>
            <w:r>
              <w:rPr>
                <w:rFonts w:ascii="宋体" w:hAnsi="宋体" w:eastAsia="宋体" w:cs="宋体"/>
                <w:b/>
                <w:bCs/>
                <w:spacing w:val="-2"/>
                <w:sz w:val="28"/>
                <w:szCs w:val="28"/>
              </w:rPr>
              <w:t>监控对象及行为</w:t>
            </w:r>
          </w:p>
        </w:tc>
        <w:tc>
          <w:tcPr>
            <w:tcW w:w="3646" w:type="dxa"/>
          </w:tcPr>
          <w:p>
            <w:pPr>
              <w:widowControl w:val="0"/>
              <w:tabs>
                <w:tab w:val="left" w:pos="680"/>
              </w:tabs>
              <w:spacing w:before="71"/>
              <w:jc w:val="center"/>
              <w:rPr>
                <w:rFonts w:ascii="宋体" w:hAnsi="宋体" w:eastAsia="宋体" w:cs="宋体"/>
                <w:sz w:val="28"/>
                <w:szCs w:val="28"/>
              </w:rPr>
            </w:pPr>
            <w:r>
              <w:rPr>
                <w:rFonts w:ascii="宋体" w:hAnsi="宋体" w:eastAsia="宋体" w:cs="宋体"/>
                <w:b/>
                <w:bCs/>
                <w:spacing w:val="-2"/>
                <w:sz w:val="28"/>
                <w:szCs w:val="28"/>
              </w:rPr>
              <w:t>法律依据</w:t>
            </w:r>
          </w:p>
          <w:p>
            <w:pPr>
              <w:widowControl w:val="0"/>
              <w:tabs>
                <w:tab w:val="left" w:pos="680"/>
              </w:tabs>
              <w:spacing w:before="71"/>
              <w:jc w:val="center"/>
              <w:rPr>
                <w:rFonts w:ascii="宋体" w:hAnsi="宋体" w:eastAsia="宋体" w:cs="宋体"/>
                <w:b/>
                <w:bCs/>
                <w:spacing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1</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rPr>
              <w:t>阿镇政府沙场1-1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1-2、1-3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掌岗图村七社白保锁附近</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掌岗图村七社盗采砂石料行为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2</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2-2、2-3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掌岗图村七社郝祥堆砂附近</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掌岗图村七社盗采砂石料行为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3</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3</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3-2、3-3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掌岗图村七社210国道桥下</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掌岗图村七社盗采河道砂石料行为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4</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4-2、4-3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柳沟村靶场西山坡上</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柳沟村六社盗采砂石料行为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5</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5</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5-2、5-3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柳沟村靶场北山坡上</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柳沟村六社盗采砂石料行为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6</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6</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6-2、6-3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掌岗图村七社苏军采砂点附近</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掌岗图村七社盗采砂石料行为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zh-CN" w:bidi="ar-SA"/>
              </w:rPr>
            </w:pPr>
            <w:r>
              <w:rPr>
                <w:rFonts w:hint="eastAsia" w:ascii="仿宋_GB2312" w:hAnsi="仿宋_GB2312" w:eastAsia="仿宋_GB2312" w:cs="仿宋_GB2312"/>
                <w:sz w:val="15"/>
                <w:szCs w:val="15"/>
                <w:lang w:val="en-US" w:eastAsia="zh-CN"/>
              </w:rPr>
              <w:t>7</w:t>
            </w:r>
          </w:p>
        </w:tc>
        <w:tc>
          <w:tcPr>
            <w:tcW w:w="146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阿镇政府沙场</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7-2、7-3</w:t>
            </w:r>
          </w:p>
        </w:tc>
        <w:tc>
          <w:tcPr>
            <w:tcW w:w="1511"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掌岗图村七社张永胜采砂厂附近</w:t>
            </w:r>
          </w:p>
        </w:tc>
        <w:tc>
          <w:tcPr>
            <w:tcW w:w="1062"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2023.8</w:t>
            </w:r>
          </w:p>
        </w:tc>
        <w:tc>
          <w:tcPr>
            <w:tcW w:w="5827"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lang w:val="en-US" w:eastAsia="zh-CN"/>
              </w:rPr>
              <w:t>掌岗图村七社盗采河道砂石料行为</w:t>
            </w:r>
          </w:p>
        </w:tc>
        <w:tc>
          <w:tcPr>
            <w:tcW w:w="3646" w:type="dxa"/>
            <w:vAlign w:val="center"/>
          </w:tcPr>
          <w:p>
            <w:pPr>
              <w:pStyle w:val="8"/>
              <w:widowControl w:val="0"/>
              <w:jc w:val="center"/>
              <w:rPr>
                <w:rFonts w:hint="eastAsia" w:ascii="仿宋_GB2312" w:hAnsi="仿宋_GB2312" w:eastAsia="仿宋_GB2312" w:cs="仿宋_GB2312"/>
                <w:snapToGrid w:val="0"/>
                <w:color w:val="000000"/>
                <w:kern w:val="0"/>
                <w:sz w:val="15"/>
                <w:szCs w:val="15"/>
                <w:lang w:val="en-US" w:eastAsia="en-US" w:bidi="ar-SA"/>
              </w:rPr>
            </w:pPr>
            <w:r>
              <w:rPr>
                <w:rFonts w:hint="eastAsia" w:ascii="仿宋_GB2312" w:hAnsi="仿宋_GB2312" w:eastAsia="仿宋_GB2312" w:cs="仿宋_GB2312"/>
                <w:sz w:val="15"/>
                <w:szCs w:val="15"/>
              </w:rPr>
              <w:t>《中华人民共和国土地管理法》第七十五条</w:t>
            </w:r>
            <w:r>
              <w:rPr>
                <w:rFonts w:hint="eastAsia" w:ascii="仿宋_GB2312" w:hAnsi="仿宋_GB2312" w:eastAsia="仿宋_GB2312" w:cs="仿宋_GB2312"/>
                <w:sz w:val="15"/>
                <w:szCs w:val="15"/>
                <w:lang w:eastAsia="zh-CN"/>
              </w:rPr>
              <w:t>、《基本农田保护条例》第三十三条、《中华人民共和国水土保持法》第四十八条、《中华人民共和国森林法》第七十四条第一款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150627000000020011</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伊旗苏布尔嘎镇旅游专线12公里200米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2024.7.13</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大型车辆，机动车违反禁令标志指示的，违法代码1116</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9</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150627000000020010</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伊旗苏布尔嘎镇旅游专线0公里100米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2024.7.13</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大型车辆，机动车违反禁令标志指示的，违法代码1116</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150627000000070025</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阿四线28KM+150M-44KM+900M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11</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150627000000070026</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阿四线44KM+900M-28KM+150M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12</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150627000000070030</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乌阿线23KM-40KM+360M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13</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150627000000070022</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乌阿线K20+500-k7+930</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14</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150627000000070020</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阿大线K41-K34+408</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2024.3.31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中重型货车70公里/小时，小车100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15</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150627000000070021</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乌阿线K7+930米-乌阿线K20+500米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16</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150627000000070004</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阿大线K34+408-阿大线K41</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2023.9.8</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中重型货车70公里/小时，小车100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17</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150627000000070033</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乌阿线62KM+410M-53KM+800M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18</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150627000000070031</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乌阿线40KM+360M-23KM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19</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150627000000070032</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乌阿线53KM+800M-62KM+410M</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2024.6.1</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所有车辆限速70公里/小时区间测速1127驾驶校车在高速公路、城市快速路以外的道路上行驶超过规定时速百分之十以上未达到百分之二十的、1128驾驶中型以上载客汽车在高速公路、城市快速路以外的道路上行驶超过规定时速百分之十以上未达到百分之二十的，1129驾驶危险物品运输车辆在高速公路、城市快速路以外的道路上行驶超过规定时速百分之十以上未达到百分之二十的，1130驾驶中型以上载货汽车在高速公路、城市快速路以外的道路上行驶超过规定时速百分之十以上未达到百分之二十的，1369驾驶校车、中型以上载客载货汽车、危险物品运输车辆以外的机动车在高速公路、城市快速路以外的道路上行驶超过规定时速百分之二十以上未达到百分之五十的，1632驾驶中型以上载客汽车在高速公路、城市快速路以外的道路上行驶超过规定时速百分之二十以上未达到百分之五十的，1633驾驶中型以上载货汽车在高速公路、城市快速路以外的道路上行驶超过规定时速百分之二十以上未达到百分之五十的，1634驾驶校车在高速公路、城市快速路以外的道路上行驶超过规定时速百分之二十以上未达到百分之五十的，1635驾驶危险物品运输车辆在高速公路、城市快速路以外的道路上行驶超过规定时速百分之二十以上未达到百分之五十的，1650驾驶校车、中型以上载客载货汽车、危险物品运输车辆以外的机动车在高速公路、城市快速路以外的道路上行驶超过规定时速百分之五十以上的，1913驾驶校车在高速公路、城市快速路以外的道路上行驶超过规定时速百分之五十以上的，1914驾驶中型以上载客汽车在高速公路、城市快速路以外的道路上行驶超过规定时速百分之五十以上的，1915驾驶危险物品运输车辆在高速公路、城市快速路以外的道路上行驶超过规定时速百分之五十以上的，1916驾驶中型以上载货汽车在高速公路、城市快速路以外的道路上行驶超过规定时速百分之五十以上的，6046驾驶机动车在限速低于60公里/小时的公路上超过规定车速50%以下的，6047驾驶中型以上载客汽车在高速公路、城市快速路以外的道路上超过规定时速未达到百分之十的，6048驾驶中型以上载货汽车在高速公路、城市快速路以外的道路上超过规定时速未达到百分之十的，6049驾驶危险物品运输车辆在高速公路、城市快速路以外的道路上超过规定时速未达到百分之十的，6092驾驶校车在高速公路、城市快速路以外的道路上超过规定时速未达到百分之十的，6093驾驶校车、中型以上载客载货汽车、危险物品运输车辆以外的机动车行驶超过规定时速百分之十以上未达到百分之二十的，6094驾驶校车、中型以上载客载货汽车、危险物品运输车辆以外的机动车行驶超过规定时速未达到百分之十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150627000000010029</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伊旗阿镇滨海东路与福泰街十字路口0米（东向西方向）</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21</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150627000000010016</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伊旗阿镇公园路与札萨克街叉口0米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22</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150627000000010026</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伊旗阿镇滨海东路与泰康东街十字路口0米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23</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150627000000010010</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伊旗阿镇达尔扈特路与柳沟河南街十字路口0米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24</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150627000000010115</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伊旗阿镇开元路与柳沟河北街十字路口0米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25</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150627000000010122</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伊旗阿镇朝阳路与望湖路十字路口0米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26</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150627000000010002</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伊旗阿镇公园路与柳沟河北十字路口0米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27</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150627000000010100</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伊旗阿镇世纪大道与滨海西路十字路口0米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28</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150627000000010058</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伊旗阿镇苏布尔嘎街与滨河大道丁字路口0米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29</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150627000000010056</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伊旗阿镇苏布尔嘎街与佛山东路十字路0米</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pStyle w:val="8"/>
              <w:widowControl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30</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150627000000010047</w:t>
            </w:r>
          </w:p>
        </w:tc>
        <w:tc>
          <w:tcPr>
            <w:tcW w:w="1511"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伊旗阿镇体育街与西山西路丁字路口</w:t>
            </w:r>
          </w:p>
        </w:tc>
        <w:tc>
          <w:tcPr>
            <w:tcW w:w="1062"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2019.6</w:t>
            </w:r>
          </w:p>
        </w:tc>
        <w:tc>
          <w:tcPr>
            <w:tcW w:w="5827"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i w:val="0"/>
                <w:iCs w:val="0"/>
                <w:snapToGrid w:val="0"/>
                <w:color w:val="000000"/>
                <w:kern w:val="0"/>
                <w:sz w:val="15"/>
                <w:szCs w:val="15"/>
                <w:u w:val="none"/>
                <w:lang w:val="en-US" w:eastAsia="zh-CN" w:bidi="ar"/>
              </w:rPr>
              <w:t>1625机动车不按交通信号灯通行的</w:t>
            </w:r>
          </w:p>
        </w:tc>
        <w:tc>
          <w:tcPr>
            <w:tcW w:w="3646" w:type="dxa"/>
            <w:vAlign w:val="center"/>
          </w:tcPr>
          <w:p>
            <w:pPr>
              <w:keepNext w:val="0"/>
              <w:keepLines w:val="0"/>
              <w:widowControl/>
              <w:suppressLineNumbers w:val="0"/>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i w:val="0"/>
                <w:iCs w:val="0"/>
                <w:snapToGrid w:val="0"/>
                <w:color w:val="000000"/>
                <w:kern w:val="0"/>
                <w:sz w:val="15"/>
                <w:szCs w:val="15"/>
                <w:u w:val="none"/>
                <w:lang w:val="en-US" w:eastAsia="zh-CN" w:bidi="ar"/>
              </w:rPr>
              <w:t>《道路交通安全法》(法律)第114条</w:t>
            </w: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37"/>
        <w:textAlignment w:val="baseline"/>
      </w:pPr>
      <w:r>
        <w:rPr>
          <w:rFonts w:ascii="宋体" w:hAnsi="宋体" w:eastAsia="宋体" w:cs="宋体"/>
          <w:spacing w:val="-18"/>
          <w:sz w:val="26"/>
          <w:szCs w:val="26"/>
        </w:rPr>
        <w:t>注：“法律依</w:t>
      </w:r>
      <w:r>
        <w:rPr>
          <w:rFonts w:ascii="宋体" w:hAnsi="宋体" w:eastAsia="宋体" w:cs="宋体"/>
          <w:spacing w:val="-17"/>
          <w:sz w:val="26"/>
          <w:szCs w:val="26"/>
        </w:rPr>
        <w:t>据”一栏填写设置电子技术监控设备的具体法律依据，并注明属于法律、行政法规、地方性法规、部门规章、地</w:t>
      </w:r>
      <w:r>
        <w:rPr>
          <w:rFonts w:ascii="宋体" w:hAnsi="宋体" w:eastAsia="宋体" w:cs="宋体"/>
          <w:spacing w:val="-11"/>
          <w:sz w:val="26"/>
          <w:szCs w:val="26"/>
        </w:rPr>
        <w:t>方</w:t>
      </w:r>
      <w:r>
        <w:rPr>
          <w:rFonts w:ascii="宋体" w:hAnsi="宋体" w:eastAsia="宋体" w:cs="宋体"/>
          <w:sz w:val="26"/>
          <w:szCs w:val="26"/>
        </w:rPr>
        <w:t xml:space="preserve"> </w:t>
      </w:r>
      <w:r>
        <w:rPr>
          <w:rFonts w:ascii="宋体" w:hAnsi="宋体" w:eastAsia="宋体" w:cs="宋体"/>
          <w:position w:val="19"/>
          <w:sz w:val="35"/>
          <w:szCs w:val="35"/>
        </w:rPr>
        <w:t xml:space="preserve">  </w:t>
      </w:r>
      <w:r>
        <w:rPr>
          <w:rFonts w:ascii="宋体" w:hAnsi="宋体" w:eastAsia="宋体" w:cs="宋体"/>
          <w:spacing w:val="-17"/>
          <w:sz w:val="26"/>
          <w:szCs w:val="26"/>
        </w:rPr>
        <w:t>政府规章或规范性文件。例如：“《道路交通安全法》(法律)第114条”。</w:t>
      </w:r>
    </w:p>
    <w:sectPr>
      <w:footerReference r:id="rId5" w:type="default"/>
      <w:pgSz w:w="16850" w:h="11870" w:orient="landscape"/>
      <w:pgMar w:top="567" w:right="1432" w:bottom="567" w:left="1410" w:header="0" w:footer="11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ZGI1NTM4NGQzNTVmNjY1ODkzZTMxYzNmOGMyNmIifQ=="/>
  </w:docVars>
  <w:rsids>
    <w:rsidRoot w:val="00000000"/>
    <w:rsid w:val="06E23EB5"/>
    <w:rsid w:val="217526B5"/>
    <w:rsid w:val="26A149EF"/>
    <w:rsid w:val="2CDC5E7D"/>
    <w:rsid w:val="3B12477A"/>
    <w:rsid w:val="41F051C6"/>
    <w:rsid w:val="5E5162D5"/>
    <w:rsid w:val="61254671"/>
    <w:rsid w:val="72274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2373</Words>
  <Characters>2611</Characters>
  <TotalTime>5</TotalTime>
  <ScaleCrop>false</ScaleCrop>
  <LinksUpToDate>false</LinksUpToDate>
  <CharactersWithSpaces>2728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2024-08-01T15:34:00Z</dcterms:created>
  <dc:creator>Kingsoft-PDF</dc:creator>
  <cp:lastModifiedBy>VVαηɡ♬βο</cp:lastModifiedBy>
  <cp:lastPrinted>2024-08-28T01:53:00Z</cp:lastPrinted>
  <dcterms:modified xsi:type="dcterms:W3CDTF">2024-08-28T07:06:42Z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2024-08-01T15:34:53Z</vt:filetime>
  </property>
  <property fmtid="{D5CDD505-2E9C-101B-9397-08002B2CF9AE}" pid="4" name="UsrData">
    <vt:lpwstr>66ab3a997a5e61001f8f44b9wl</vt:lpwstr>
  </property>
  <property fmtid="{D5CDD505-2E9C-101B-9397-08002B2CF9AE}" pid="5" name="KSOProductBuildVer">
    <vt:lpwstr>2052-12.1.0.16120</vt:lpwstr>
  </property>
  <property fmtid="{D5CDD505-2E9C-101B-9397-08002B2CF9AE}" pid="6" name="ICV">
    <vt:lpwstr>CED7086B0B904CD6B70B4897F5E4C138_13</vt:lpwstr>
  </property>
</Properties>
</file>