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sz w:val="52"/>
          <w:szCs w:val="52"/>
          <w:lang w:eastAsia="zh-CN"/>
        </w:rPr>
      </w:pPr>
      <w:r>
        <w:rPr>
          <w:rFonts w:hint="eastAsia" w:ascii="方正小标宋简体" w:hAnsi="方正小标宋简体" w:eastAsia="方正小标宋简体" w:cs="方正小标宋简体"/>
          <w:sz w:val="52"/>
          <w:szCs w:val="52"/>
          <w:lang w:val="en-US" w:eastAsia="zh-CN"/>
        </w:rPr>
        <w:t>伊金霍洛旗</w:t>
      </w:r>
      <w:r>
        <w:rPr>
          <w:rFonts w:hint="eastAsia" w:ascii="方正小标宋简体" w:hAnsi="方正小标宋简体" w:eastAsia="方正小标宋简体" w:cs="方正小标宋简体"/>
          <w:sz w:val="52"/>
          <w:szCs w:val="52"/>
          <w:lang w:eastAsia="zh-CN"/>
        </w:rPr>
        <w:t>北京师范大学鄂尔多斯第二附属学校</w:t>
      </w:r>
    </w:p>
    <w:p>
      <w:pPr>
        <w:spacing w:line="540" w:lineRule="exact"/>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w:t>
      </w:r>
      <w:r>
        <w:rPr>
          <w:rFonts w:hint="eastAsia" w:ascii="方正小标宋简体" w:hAnsi="方正小标宋简体" w:eastAsia="方正小标宋简体" w:cs="方正小标宋简体"/>
          <w:sz w:val="52"/>
          <w:szCs w:val="52"/>
          <w:lang w:val="en-US" w:eastAsia="zh-CN"/>
        </w:rPr>
        <w:t>1</w:t>
      </w:r>
      <w:r>
        <w:rPr>
          <w:rFonts w:hint="eastAsia" w:ascii="方正小标宋简体" w:hAnsi="方正小标宋简体" w:eastAsia="方正小标宋简体" w:cs="方正小标宋简体"/>
          <w:sz w:val="52"/>
          <w:szCs w:val="52"/>
        </w:rPr>
        <w:t>年度部门预算公开报告</w:t>
      </w: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方正小标宋简体" w:hAnsi="方正小标宋简体" w:eastAsia="方正小标宋简体" w:cs="方正小标宋简体"/>
          <w:sz w:val="40"/>
          <w:szCs w:val="40"/>
        </w:rPr>
      </w:pPr>
    </w:p>
    <w:p>
      <w:pPr>
        <w:spacing w:line="54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40"/>
          <w:szCs w:val="40"/>
        </w:rPr>
        <w:t>部门预算信息公开目录</w:t>
      </w:r>
      <w:r>
        <w:rPr>
          <w:rFonts w:hint="eastAsia" w:ascii="楷体_GB2312" w:hAnsi="楷体_GB2312" w:eastAsia="楷体_GB2312" w:cs="楷体_GB2312"/>
          <w:b/>
          <w:bCs/>
          <w:sz w:val="32"/>
          <w:szCs w:val="32"/>
        </w:rPr>
        <w:t xml:space="preserve"> </w:t>
      </w:r>
    </w:p>
    <w:p>
      <w:pPr>
        <w:spacing w:line="540" w:lineRule="exact"/>
        <w:rPr>
          <w:rFonts w:hint="eastAsia" w:ascii="楷体_GB2312" w:hAnsi="楷体_GB2312" w:eastAsia="楷体_GB2312" w:cs="楷体_GB2312"/>
          <w:b/>
          <w:bCs/>
          <w:sz w:val="32"/>
          <w:szCs w:val="32"/>
        </w:rPr>
      </w:pP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numPr>
          <w:ilvl w:val="0"/>
          <w:numId w:val="1"/>
        </w:num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numPr>
          <w:ilvl w:val="0"/>
          <w:numId w:val="1"/>
        </w:num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机构设置情况</w:t>
      </w:r>
    </w:p>
    <w:p>
      <w:pPr>
        <w:spacing w:line="540" w:lineRule="exac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年部门预算收支情况</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color w:val="000000"/>
          <w:sz w:val="32"/>
          <w:szCs w:val="32"/>
        </w:rPr>
        <w:t>一般公共预算财政拨款收支情况说明</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年“三公”经费财政预算安排情况</w:t>
      </w:r>
      <w:r>
        <w:rPr>
          <w:rFonts w:hint="eastAsia" w:ascii="楷体_GB2312" w:hAnsi="黑体" w:eastAsia="楷体_GB2312"/>
          <w:color w:val="000000"/>
          <w:sz w:val="32"/>
          <w:szCs w:val="32"/>
        </w:rPr>
        <w:t>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四、机关运行经费安排情况说明</w:t>
      </w:r>
    </w:p>
    <w:p>
      <w:pPr>
        <w:adjustRightInd w:val="0"/>
        <w:snapToGrid w:val="0"/>
        <w:spacing w:line="54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五、政府采购预算情况说明</w:t>
      </w:r>
    </w:p>
    <w:p>
      <w:p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黑体" w:eastAsia="楷体_GB2312"/>
          <w:color w:val="000000"/>
          <w:sz w:val="32"/>
          <w:szCs w:val="32"/>
        </w:rPr>
        <w:t>说明</w:t>
      </w:r>
    </w:p>
    <w:p>
      <w:pP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第三部分  其他公开事项</w:t>
      </w:r>
    </w:p>
    <w:p>
      <w:pPr>
        <w:spacing w:line="54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黑体" w:eastAsia="楷体_GB2312"/>
          <w:sz w:val="32"/>
          <w:szCs w:val="32"/>
        </w:rPr>
        <w:t>项目支出绩效目标情况说明</w:t>
      </w:r>
    </w:p>
    <w:p>
      <w:pPr>
        <w:spacing w:line="540" w:lineRule="exact"/>
        <w:ind w:firstLine="640"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sz w:val="32"/>
          <w:szCs w:val="32"/>
        </w:rPr>
        <w:t>二、国有资产占有使用情况</w:t>
      </w:r>
      <w:r>
        <w:rPr>
          <w:rFonts w:hint="eastAsia" w:ascii="楷体_GB2312" w:hAnsi="黑体" w:eastAsia="楷体_GB2312"/>
          <w:color w:val="000000"/>
          <w:sz w:val="32"/>
          <w:szCs w:val="32"/>
        </w:rPr>
        <w:t>说明</w:t>
      </w:r>
    </w:p>
    <w:p>
      <w:pPr>
        <w:spacing w:line="540" w:lineRule="exact"/>
        <w:rPr>
          <w:rFonts w:hint="eastAsia" w:ascii="楷体_GB2312" w:hAnsi="黑体" w:eastAsia="楷体_GB2312"/>
          <w:b/>
          <w:color w:val="000000"/>
          <w:sz w:val="32"/>
          <w:szCs w:val="32"/>
        </w:rPr>
      </w:pPr>
      <w:r>
        <w:rPr>
          <w:rFonts w:hint="eastAsia" w:ascii="楷体_GB2312" w:hAnsi="楷体_GB2312" w:eastAsia="楷体_GB2312" w:cs="楷体_GB2312"/>
          <w:b/>
          <w:bCs/>
          <w:sz w:val="32"/>
          <w:szCs w:val="32"/>
        </w:rPr>
        <w:t>第四部分  名词解释</w:t>
      </w: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w:t>
      </w:r>
      <w:r>
        <w:rPr>
          <w:rFonts w:hint="eastAsia" w:ascii="楷体_GB2312" w:hAnsi="黑体" w:eastAsia="楷体_GB2312"/>
          <w:b/>
          <w:color w:val="000000"/>
          <w:sz w:val="32"/>
          <w:szCs w:val="32"/>
          <w:lang w:val="en-US" w:eastAsia="zh-CN"/>
        </w:rPr>
        <w:t>1</w:t>
      </w:r>
      <w:r>
        <w:rPr>
          <w:rFonts w:hint="eastAsia" w:ascii="楷体_GB2312" w:hAnsi="黑体" w:eastAsia="楷体_GB2312"/>
          <w:b/>
          <w:color w:val="000000"/>
          <w:sz w:val="32"/>
          <w:szCs w:val="32"/>
        </w:rPr>
        <w:t>年部门预算公开表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一、202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财政拨款收支预算总表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二、202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年一般公共预算财政拨款支出预算表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三、202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年一般公共预算财政拨款基本支出预算表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四、部门收支预算总表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五、部门收入预算总表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六、部门支出预算总表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七、政府性基金预算财政拨款支出预算表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八、财政拨款“三公”经费支出预算表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九、202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年政府采购预算表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十、202</w:t>
      </w:r>
      <w:r>
        <w:rPr>
          <w:rFonts w:hint="eastAsia" w:ascii="楷体_GB2312" w:hAnsi="黑体" w:eastAsia="楷体_GB2312"/>
          <w:color w:val="000000"/>
          <w:sz w:val="32"/>
          <w:szCs w:val="32"/>
          <w:lang w:val="en-US" w:eastAsia="zh-CN"/>
        </w:rPr>
        <w:t>1</w:t>
      </w:r>
      <w:r>
        <w:rPr>
          <w:rFonts w:hint="eastAsia" w:ascii="楷体_GB2312" w:hAnsi="黑体" w:eastAsia="楷体_GB2312"/>
          <w:color w:val="000000"/>
          <w:sz w:val="32"/>
          <w:szCs w:val="32"/>
        </w:rPr>
        <w:t>年一般性支出经费预算表</w:t>
      </w:r>
    </w:p>
    <w:p>
      <w:pPr>
        <w:adjustRightInd w:val="0"/>
        <w:snapToGrid w:val="0"/>
        <w:spacing w:line="560" w:lineRule="exact"/>
        <w:ind w:firstLine="640" w:firstLineChars="200"/>
        <w:rPr>
          <w:rFonts w:hint="eastAsia" w:ascii="楷体_GB2312" w:hAnsi="黑体" w:eastAsia="楷体_GB2312"/>
          <w:color w:val="000000"/>
          <w:sz w:val="32"/>
          <w:szCs w:val="32"/>
        </w:rPr>
      </w:pPr>
      <w:r>
        <w:rPr>
          <w:rFonts w:hint="eastAsia" w:ascii="楷体_GB2312" w:hAnsi="黑体" w:eastAsia="楷体_GB2312"/>
          <w:color w:val="000000"/>
          <w:sz w:val="32"/>
          <w:szCs w:val="32"/>
        </w:rPr>
        <w:t>十一、项目支出绩效目标申报表</w:t>
      </w: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adjustRightInd w:val="0"/>
        <w:snapToGrid w:val="0"/>
        <w:spacing w:line="560" w:lineRule="exact"/>
        <w:ind w:firstLine="640" w:firstLineChars="200"/>
        <w:rPr>
          <w:rFonts w:hint="eastAsia" w:ascii="楷体_GB2312" w:hAnsi="黑体" w:eastAsia="楷体_GB2312"/>
          <w:color w:val="000000"/>
          <w:sz w:val="32"/>
          <w:szCs w:val="32"/>
        </w:rPr>
      </w:pPr>
    </w:p>
    <w:p>
      <w:pPr>
        <w:spacing w:line="560" w:lineRule="exact"/>
        <w:rPr>
          <w:rFonts w:hint="eastAsia" w:ascii="楷体_GB2312" w:hAnsi="楷体_GB2312" w:eastAsia="楷体_GB2312" w:cs="楷体_GB2312"/>
          <w:b/>
          <w:bCs/>
          <w:sz w:val="32"/>
          <w:szCs w:val="32"/>
        </w:rPr>
      </w:pPr>
    </w:p>
    <w:p>
      <w:pPr>
        <w:spacing w:line="560" w:lineRule="exact"/>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第一部分  本部门概况</w:t>
      </w:r>
    </w:p>
    <w:p>
      <w:pPr>
        <w:spacing w:line="560" w:lineRule="exact"/>
        <w:jc w:val="center"/>
        <w:rPr>
          <w:rFonts w:hint="eastAsia" w:ascii="楷体_GB2312" w:hAnsi="楷体_GB2312" w:eastAsia="楷体_GB2312" w:cs="楷体_GB2312"/>
          <w:b/>
          <w:bCs/>
          <w:sz w:val="32"/>
          <w:szCs w:val="32"/>
        </w:rPr>
      </w:pP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主要职能、职责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640" w:firstLineChars="200"/>
        <w:rPr>
          <w:rFonts w:hint="eastAsia" w:ascii="楷体" w:hAnsi="楷体" w:eastAsia="楷体" w:cs="楷体"/>
          <w:kern w:val="0"/>
          <w:sz w:val="32"/>
          <w:szCs w:val="32"/>
          <w:lang w:val="en-US" w:eastAsia="zh-CN" w:bidi="ar-SA"/>
        </w:rPr>
      </w:pPr>
      <w:r>
        <w:rPr>
          <w:rFonts w:hint="eastAsia" w:ascii="楷体" w:hAnsi="楷体" w:eastAsia="楷体" w:cs="楷体"/>
          <w:kern w:val="0"/>
          <w:sz w:val="32"/>
          <w:szCs w:val="32"/>
          <w:lang w:val="en-US" w:eastAsia="zh-CN" w:bidi="ar-SA"/>
        </w:rPr>
        <w:t>北京师范大学鄂尔多斯第二附属学校是由鄂尔多斯市人民政府与北京师范大学合作创办的公立学校，分为中学、小学2个校区，现已完成投资3.59亿元。</w:t>
      </w:r>
    </w:p>
    <w:p>
      <w:pPr>
        <w:spacing w:beforeLines="0" w:afterLines="0" w:line="580" w:lineRule="exact"/>
        <w:ind w:firstLine="600"/>
        <w:rPr>
          <w:rFonts w:hint="eastAsia" w:ascii="楷体_GB2312" w:hAnsi="楷体_GB2312" w:eastAsia="楷体_GB2312" w:cs="楷体_GB2312"/>
          <w:sz w:val="32"/>
          <w:szCs w:val="32"/>
        </w:rPr>
      </w:pPr>
      <w:r>
        <w:rPr>
          <w:rFonts w:hint="eastAsia" w:ascii="楷体" w:hAnsi="楷体" w:eastAsia="楷体" w:cs="楷体"/>
          <w:kern w:val="0"/>
          <w:sz w:val="32"/>
          <w:szCs w:val="32"/>
          <w:lang w:val="en-US" w:eastAsia="zh-CN" w:bidi="ar-SA"/>
        </w:rPr>
        <w:t>北京师范大学鄂尔多斯第二附属学校中小学现有学生1231人，教学班46。设有地理、历史、音乐、书法、美术、心理、微格七个专业教室及理化生三个实验室。另设有现代化体育馆、心理辅导室以及食堂、学生宿舍和教职工宿舍等，设施一流，设备先进。目前，已初步建成了一支学历层次高，专业水平高，业务素质硬，师德高尚，充满朝气、有理想、有责任感的教师队伍。未来，学校将进一步利用北师大基础教育合作平台优质资源，把学校办成科学与人文，现代与特色相统一的示范性学校。</w:t>
      </w:r>
    </w:p>
    <w:p>
      <w:pPr>
        <w:numPr>
          <w:ilvl w:val="0"/>
          <w:numId w:val="2"/>
        </w:num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机构设置情况</w:t>
      </w:r>
    </w:p>
    <w:p>
      <w:pPr>
        <w:snapToGrid w:val="0"/>
        <w:spacing w:line="560" w:lineRule="exact"/>
        <w:ind w:firstLine="640"/>
        <w:rPr>
          <w:rFonts w:hint="eastAsia" w:ascii="楷体" w:hAnsi="楷体" w:eastAsia="楷体" w:cs="楷体"/>
          <w:sz w:val="32"/>
          <w:szCs w:val="32"/>
          <w:highlight w:val="yellow"/>
          <w:lang w:eastAsia="zh-CN"/>
        </w:rPr>
      </w:pPr>
      <w:r>
        <w:rPr>
          <w:rFonts w:hint="eastAsia" w:ascii="楷体" w:hAnsi="楷体" w:eastAsia="楷体" w:cs="楷体"/>
          <w:sz w:val="32"/>
          <w:szCs w:val="32"/>
        </w:rPr>
        <w:t>从预算单位构成看，</w:t>
      </w:r>
      <w:r>
        <w:rPr>
          <w:rFonts w:hint="eastAsia" w:ascii="楷体" w:hAnsi="楷体" w:eastAsia="楷体" w:cs="楷体"/>
          <w:sz w:val="32"/>
          <w:szCs w:val="32"/>
          <w:lang w:eastAsia="zh-CN"/>
        </w:rPr>
        <w:t>我校属于伊金霍洛旗教育体育局二级单位。</w:t>
      </w:r>
    </w:p>
    <w:p>
      <w:pPr>
        <w:spacing w:line="560" w:lineRule="exact"/>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第二部分  202</w:t>
      </w:r>
      <w:r>
        <w:rPr>
          <w:rFonts w:hint="eastAsia" w:ascii="楷体_GB2312" w:hAnsi="楷体_GB2312" w:eastAsia="楷体_GB2312" w:cs="楷体_GB2312"/>
          <w:b/>
          <w:bCs/>
          <w:sz w:val="32"/>
          <w:szCs w:val="32"/>
          <w:lang w:val="en-US" w:eastAsia="zh-CN"/>
        </w:rPr>
        <w:t>1</w:t>
      </w:r>
      <w:r>
        <w:rPr>
          <w:rFonts w:hint="eastAsia" w:ascii="楷体_GB2312" w:hAnsi="楷体_GB2312" w:eastAsia="楷体_GB2312" w:cs="楷体_GB2312"/>
          <w:b/>
          <w:bCs/>
          <w:sz w:val="32"/>
          <w:szCs w:val="32"/>
        </w:rPr>
        <w:t>年部门预算收支情况</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一、部门预算收支总体情况说明2394.52</w:t>
      </w:r>
    </w:p>
    <w:p>
      <w:pPr>
        <w:adjustRightInd w:val="0"/>
        <w:snapToGrid w:val="0"/>
        <w:spacing w:line="560" w:lineRule="exact"/>
        <w:ind w:firstLine="640" w:firstLineChars="200"/>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收入预算2394.52 万元，比上年预算增加</w:t>
      </w:r>
      <w:r>
        <w:rPr>
          <w:rFonts w:hint="eastAsia" w:ascii="楷体_GB2312" w:hAnsi="楷体_GB2312" w:eastAsia="楷体_GB2312" w:cs="楷体_GB2312"/>
          <w:sz w:val="32"/>
          <w:szCs w:val="32"/>
          <w:lang w:val="en-US" w:eastAsia="zh-CN"/>
        </w:rPr>
        <w:t>1179.11</w:t>
      </w:r>
      <w:r>
        <w:rPr>
          <w:rFonts w:hint="eastAsia" w:ascii="楷体_GB2312" w:hAnsi="楷体_GB2312" w:eastAsia="楷体_GB2312" w:cs="楷体_GB2312"/>
          <w:sz w:val="32"/>
          <w:szCs w:val="32"/>
        </w:rPr>
        <w:t xml:space="preserve"> 万元，增长</w:t>
      </w:r>
      <w:r>
        <w:rPr>
          <w:rFonts w:hint="eastAsia" w:ascii="楷体_GB2312" w:hAnsi="楷体_GB2312" w:eastAsia="楷体_GB2312" w:cs="楷体_GB2312"/>
          <w:sz w:val="32"/>
          <w:szCs w:val="32"/>
          <w:lang w:val="en-US" w:eastAsia="zh-CN"/>
        </w:rPr>
        <w:t>49</w:t>
      </w:r>
      <w:r>
        <w:rPr>
          <w:rFonts w:hint="eastAsia" w:ascii="楷体_GB2312" w:hAnsi="楷体_GB2312" w:eastAsia="楷体_GB2312" w:cs="楷体_GB2312"/>
          <w:sz w:val="32"/>
          <w:szCs w:val="32"/>
        </w:rPr>
        <w:t xml:space="preserve"> %，增加主要是由于</w:t>
      </w:r>
      <w:r>
        <w:rPr>
          <w:rFonts w:hint="eastAsia" w:ascii="楷体_GB2312" w:hAnsi="楷体_GB2312" w:eastAsia="楷体_GB2312" w:cs="楷体_GB2312"/>
          <w:sz w:val="32"/>
          <w:szCs w:val="32"/>
          <w:lang w:eastAsia="zh-CN"/>
        </w:rPr>
        <w:t>学校校区分为</w:t>
      </w:r>
      <w:r>
        <w:rPr>
          <w:rFonts w:hint="eastAsia" w:ascii="楷体_GB2312" w:hAnsi="楷体_GB2312" w:eastAsia="楷体_GB2312" w:cs="楷体_GB2312"/>
          <w:sz w:val="32"/>
          <w:szCs w:val="32"/>
          <w:lang w:val="en-US" w:eastAsia="zh-CN"/>
        </w:rPr>
        <w:t>2个校区，需要公用经费增加。教师新聘用15人。人员经费增加。上年结余较多。</w:t>
      </w:r>
    </w:p>
    <w:p>
      <w:pPr>
        <w:adjustRightInd w:val="0"/>
        <w:snapToGrid w:val="0"/>
        <w:spacing w:line="560" w:lineRule="exact"/>
        <w:ind w:firstLine="640" w:firstLineChars="200"/>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rPr>
        <w:t>支出预算2394.52 万元，比上年预算增加</w:t>
      </w:r>
      <w:r>
        <w:rPr>
          <w:rFonts w:hint="eastAsia" w:ascii="楷体_GB2312" w:hAnsi="楷体_GB2312" w:eastAsia="楷体_GB2312" w:cs="楷体_GB2312"/>
          <w:sz w:val="32"/>
          <w:szCs w:val="32"/>
          <w:lang w:val="en-US" w:eastAsia="zh-CN"/>
        </w:rPr>
        <w:t>1179.11</w:t>
      </w:r>
      <w:r>
        <w:rPr>
          <w:rFonts w:hint="eastAsia" w:ascii="楷体_GB2312" w:hAnsi="楷体_GB2312" w:eastAsia="楷体_GB2312" w:cs="楷体_GB2312"/>
          <w:sz w:val="32"/>
          <w:szCs w:val="32"/>
        </w:rPr>
        <w:t xml:space="preserve">  万元，增长</w:t>
      </w:r>
      <w:r>
        <w:rPr>
          <w:rFonts w:hint="eastAsia" w:ascii="楷体_GB2312" w:hAnsi="楷体_GB2312" w:eastAsia="楷体_GB2312" w:cs="楷体_GB2312"/>
          <w:sz w:val="32"/>
          <w:szCs w:val="32"/>
          <w:lang w:val="en-US" w:eastAsia="zh-CN"/>
        </w:rPr>
        <w:t>49</w:t>
      </w:r>
      <w:r>
        <w:rPr>
          <w:rFonts w:hint="eastAsia" w:ascii="楷体_GB2312" w:hAnsi="楷体_GB2312" w:eastAsia="楷体_GB2312" w:cs="楷体_GB2312"/>
          <w:sz w:val="32"/>
          <w:szCs w:val="32"/>
        </w:rPr>
        <w:t>%，增加主要是由于</w:t>
      </w:r>
      <w:r>
        <w:rPr>
          <w:rFonts w:hint="eastAsia" w:ascii="楷体_GB2312" w:hAnsi="楷体_GB2312" w:eastAsia="楷体_GB2312" w:cs="楷体_GB2312"/>
          <w:sz w:val="32"/>
          <w:szCs w:val="32"/>
          <w:lang w:eastAsia="zh-CN"/>
        </w:rPr>
        <w:t>学校校区分为</w:t>
      </w:r>
      <w:r>
        <w:rPr>
          <w:rFonts w:hint="eastAsia" w:ascii="楷体_GB2312" w:hAnsi="楷体_GB2312" w:eastAsia="楷体_GB2312" w:cs="楷体_GB2312"/>
          <w:sz w:val="32"/>
          <w:szCs w:val="32"/>
          <w:lang w:val="en-US" w:eastAsia="zh-CN"/>
        </w:rPr>
        <w:t>2个校区，需要公用经费增加。教师新聘用15人。人员经费增加。上年结余较多。</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年部门预算收入情况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部门预算收入 2394.52 万元，其中：一般公共预算拨款收入 </w:t>
      </w:r>
      <w:r>
        <w:rPr>
          <w:rFonts w:hint="eastAsia" w:ascii="楷体_GB2312" w:hAnsi="楷体_GB2312" w:eastAsia="楷体_GB2312" w:cs="楷体_GB2312"/>
          <w:sz w:val="32"/>
          <w:szCs w:val="32"/>
          <w:lang w:val="en-US" w:eastAsia="zh-CN"/>
        </w:rPr>
        <w:t>1578.7</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66</w:t>
      </w:r>
      <w:r>
        <w:rPr>
          <w:rFonts w:hint="eastAsia" w:ascii="楷体_GB2312" w:hAnsi="楷体_GB2312" w:eastAsia="楷体_GB2312" w:cs="楷体_GB2312"/>
          <w:sz w:val="32"/>
          <w:szCs w:val="32"/>
        </w:rPr>
        <w:t xml:space="preserve"> %；政府性基金预算拨款收入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%；事业收入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%；事业单位经营收入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%；，其他收入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%；上年结转</w:t>
      </w:r>
      <w:r>
        <w:rPr>
          <w:rFonts w:hint="eastAsia" w:ascii="楷体_GB2312" w:hAnsi="楷体_GB2312" w:eastAsia="楷体_GB2312" w:cs="楷体_GB2312"/>
          <w:sz w:val="32"/>
          <w:szCs w:val="32"/>
          <w:lang w:val="en-US" w:eastAsia="zh-CN"/>
        </w:rPr>
        <w:t>816.82</w:t>
      </w:r>
      <w:r>
        <w:rPr>
          <w:rFonts w:hint="eastAsia" w:ascii="楷体_GB2312" w:hAnsi="楷体_GB2312" w:eastAsia="楷体_GB2312" w:cs="楷体_GB2312"/>
          <w:sz w:val="32"/>
          <w:szCs w:val="32"/>
        </w:rPr>
        <w:t xml:space="preserve"> 万元，占比</w:t>
      </w:r>
      <w:r>
        <w:rPr>
          <w:rFonts w:hint="eastAsia" w:ascii="楷体_GB2312" w:hAnsi="楷体_GB2312" w:eastAsia="楷体_GB2312" w:cs="楷体_GB2312"/>
          <w:sz w:val="32"/>
          <w:szCs w:val="32"/>
          <w:lang w:val="en-US" w:eastAsia="zh-CN"/>
        </w:rPr>
        <w:t>34</w:t>
      </w:r>
      <w:r>
        <w:rPr>
          <w:rFonts w:hint="eastAsia" w:ascii="楷体_GB2312" w:hAnsi="楷体_GB2312" w:eastAsia="楷体_GB2312" w:cs="楷体_GB2312"/>
          <w:sz w:val="32"/>
          <w:szCs w:val="32"/>
        </w:rPr>
        <w:t xml:space="preserve">  %，用事业基金弥补的收支差额</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年部门预算支出情况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部门预算支出 2394.52  万元，其中：基本支出  2394.52 万元，占比</w:t>
      </w:r>
      <w:r>
        <w:rPr>
          <w:rFonts w:hint="eastAsia" w:ascii="楷体_GB2312" w:hAnsi="楷体_GB2312" w:eastAsia="楷体_GB2312" w:cs="楷体_GB2312"/>
          <w:sz w:val="32"/>
          <w:szCs w:val="32"/>
          <w:lang w:val="en-US" w:eastAsia="zh-CN"/>
        </w:rPr>
        <w:t>100</w:t>
      </w:r>
      <w:r>
        <w:rPr>
          <w:rFonts w:hint="eastAsia" w:ascii="楷体_GB2312" w:hAnsi="楷体_GB2312" w:eastAsia="楷体_GB2312" w:cs="楷体_GB2312"/>
          <w:sz w:val="32"/>
          <w:szCs w:val="32"/>
        </w:rPr>
        <w:t xml:space="preserve"> %；项目支出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%；事业单位经营支出</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万元，占比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color w:val="000000"/>
          <w:sz w:val="32"/>
          <w:szCs w:val="32"/>
        </w:rPr>
        <w:t>二、一般公共预算财政拨款收支情况说明</w:t>
      </w:r>
    </w:p>
    <w:p>
      <w:pPr>
        <w:spacing w:line="560" w:lineRule="exact"/>
        <w:ind w:firstLine="640" w:firstLineChars="200"/>
        <w:rPr>
          <w:rFonts w:hint="eastAsia" w:ascii="楷体_GB2312" w:hAnsi="楷体_GB2312" w:eastAsia="楷体_GB2312" w:cs="楷体_GB2312"/>
          <w:sz w:val="36"/>
          <w:szCs w:val="36"/>
        </w:rPr>
      </w:pPr>
      <w:r>
        <w:rPr>
          <w:rFonts w:hint="eastAsia" w:ascii="楷体_GB2312" w:hAnsi="楷体_GB2312" w:eastAsia="楷体_GB2312" w:cs="楷体_GB2312"/>
          <w:sz w:val="32"/>
          <w:szCs w:val="32"/>
        </w:rPr>
        <w:t>（一）财政拨款规模情况</w:t>
      </w:r>
    </w:p>
    <w:p>
      <w:pPr>
        <w:spacing w:line="560" w:lineRule="exact"/>
        <w:ind w:firstLine="640" w:firstLineChars="200"/>
        <w:rPr>
          <w:rFonts w:hint="eastAsia" w:ascii="楷体_GB2312" w:hAnsi="楷体_GB2312" w:eastAsia="楷体_GB2312" w:cs="楷体_GB2312"/>
          <w:b/>
          <w:sz w:val="36"/>
          <w:szCs w:val="36"/>
        </w:rPr>
      </w:pPr>
      <w:r>
        <w:rPr>
          <w:rFonts w:hint="eastAsia" w:ascii="楷体_GB2312" w:hAnsi="楷体_GB2312" w:eastAsia="楷体_GB2312" w:cs="楷体_GB2312"/>
          <w:sz w:val="32"/>
          <w:szCs w:val="32"/>
        </w:rPr>
        <w:t xml:space="preserve">财政拨款收支预算  </w:t>
      </w:r>
      <w:r>
        <w:rPr>
          <w:rFonts w:hint="eastAsia" w:ascii="楷体_GB2312" w:hAnsi="楷体_GB2312" w:eastAsia="楷体_GB2312" w:cs="楷体_GB2312"/>
          <w:sz w:val="32"/>
          <w:szCs w:val="32"/>
          <w:lang w:val="en-US" w:eastAsia="zh-CN"/>
        </w:rPr>
        <w:t>2391.16</w:t>
      </w:r>
      <w:r>
        <w:rPr>
          <w:rFonts w:hint="eastAsia" w:ascii="楷体_GB2312" w:hAnsi="楷体_GB2312" w:eastAsia="楷体_GB2312" w:cs="楷体_GB2312"/>
          <w:sz w:val="32"/>
          <w:szCs w:val="32"/>
        </w:rPr>
        <w:t xml:space="preserve">   万元，包括：一般公共预算财政拨款  </w:t>
      </w:r>
      <w:r>
        <w:rPr>
          <w:rFonts w:hint="eastAsia" w:ascii="楷体_GB2312" w:hAnsi="楷体_GB2312" w:eastAsia="楷体_GB2312" w:cs="楷体_GB2312"/>
          <w:sz w:val="32"/>
          <w:szCs w:val="32"/>
          <w:lang w:val="en-US" w:eastAsia="zh-CN"/>
        </w:rPr>
        <w:t>1578.7</w:t>
      </w:r>
      <w:r>
        <w:rPr>
          <w:rFonts w:hint="eastAsia" w:ascii="楷体_GB2312" w:hAnsi="楷体_GB2312" w:eastAsia="楷体_GB2312" w:cs="楷体_GB2312"/>
          <w:sz w:val="32"/>
          <w:szCs w:val="32"/>
        </w:rPr>
        <w:t xml:space="preserve">    万元，政府性基金预算财政拨款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万元，上年结转  </w:t>
      </w:r>
      <w:r>
        <w:rPr>
          <w:rFonts w:hint="eastAsia" w:ascii="楷体_GB2312" w:hAnsi="楷体_GB2312" w:eastAsia="楷体_GB2312" w:cs="楷体_GB2312"/>
          <w:sz w:val="32"/>
          <w:szCs w:val="32"/>
          <w:lang w:val="en-US" w:eastAsia="zh-CN"/>
        </w:rPr>
        <w:t>812.46</w:t>
      </w:r>
      <w:r>
        <w:rPr>
          <w:rFonts w:hint="eastAsia" w:ascii="楷体_GB2312" w:hAnsi="楷体_GB2312" w:eastAsia="楷体_GB2312" w:cs="楷体_GB2312"/>
          <w:sz w:val="32"/>
          <w:szCs w:val="32"/>
        </w:rPr>
        <w:t xml:space="preserve">  万元。</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（二）一般公共预算财政拨款具体使用安排情况</w:t>
      </w:r>
    </w:p>
    <w:p>
      <w:pPr>
        <w:adjustRightInd w:val="0"/>
        <w:snapToGrid w:val="0"/>
        <w:spacing w:line="560"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bCs/>
          <w:sz w:val="32"/>
          <w:szCs w:val="32"/>
        </w:rPr>
        <w:t>1.</w:t>
      </w:r>
      <w:r>
        <w:rPr>
          <w:rFonts w:hint="eastAsia" w:ascii="楷体_GB2312" w:hAnsi="楷体_GB2312" w:eastAsia="楷体_GB2312" w:cs="楷体_GB2312"/>
          <w:b/>
          <w:sz w:val="32"/>
          <w:szCs w:val="32"/>
        </w:rPr>
        <w:t>一般公共服务类</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sz w:val="32"/>
          <w:szCs w:val="32"/>
          <w:lang w:val="en-US" w:eastAsia="zh-CN"/>
        </w:rPr>
        <w:t>304.75</w:t>
      </w:r>
      <w:r>
        <w:rPr>
          <w:rFonts w:hint="eastAsia" w:ascii="楷体_GB2312" w:hAnsi="楷体_GB2312" w:eastAsia="楷体_GB2312" w:cs="楷体_GB2312"/>
          <w:sz w:val="32"/>
          <w:szCs w:val="32"/>
        </w:rPr>
        <w:t xml:space="preserve">  万元，比上年预算数增加  </w:t>
      </w:r>
      <w:r>
        <w:rPr>
          <w:rFonts w:hint="eastAsia" w:ascii="楷体_GB2312" w:hAnsi="楷体_GB2312" w:eastAsia="楷体_GB2312" w:cs="楷体_GB2312"/>
          <w:sz w:val="32"/>
          <w:szCs w:val="32"/>
          <w:lang w:val="en-US" w:eastAsia="zh-CN"/>
        </w:rPr>
        <w:t>6.27</w:t>
      </w:r>
      <w:r>
        <w:rPr>
          <w:rFonts w:hint="eastAsia" w:ascii="楷体_GB2312" w:hAnsi="楷体_GB2312" w:eastAsia="楷体_GB2312" w:cs="楷体_GB2312"/>
          <w:sz w:val="32"/>
          <w:szCs w:val="32"/>
        </w:rPr>
        <w:t>万元。主要用于</w:t>
      </w:r>
      <w:r>
        <w:rPr>
          <w:rFonts w:hint="eastAsia" w:ascii="楷体_GB2312" w:hAnsi="楷体_GB2312" w:eastAsia="楷体_GB2312" w:cs="楷体_GB2312"/>
          <w:sz w:val="32"/>
          <w:szCs w:val="32"/>
          <w:lang w:eastAsia="zh-CN"/>
        </w:rPr>
        <w:t>公务费，工会经费及福利费</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2、</w:t>
      </w:r>
      <w:r>
        <w:rPr>
          <w:rFonts w:hint="eastAsia" w:ascii="楷体_GB2312" w:hAnsi="楷体_GB2312" w:eastAsia="楷体_GB2312" w:cs="楷体_GB2312"/>
          <w:b/>
          <w:sz w:val="32"/>
          <w:szCs w:val="32"/>
        </w:rPr>
        <w:t xml:space="preserve">社会保障和就业类 </w:t>
      </w:r>
      <w:r>
        <w:rPr>
          <w:rFonts w:hint="eastAsia" w:ascii="楷体_GB2312" w:hAnsi="楷体_GB2312" w:eastAsia="楷体_GB2312" w:cs="楷体_GB2312"/>
          <w:b/>
          <w:sz w:val="32"/>
          <w:szCs w:val="32"/>
          <w:lang w:val="en-US" w:eastAsia="zh-CN"/>
        </w:rPr>
        <w:t>1273.94</w:t>
      </w:r>
      <w:r>
        <w:rPr>
          <w:rFonts w:hint="eastAsia" w:ascii="楷体_GB2312" w:hAnsi="楷体_GB2312" w:eastAsia="楷体_GB2312" w:cs="楷体_GB2312"/>
          <w:b/>
          <w:sz w:val="32"/>
          <w:szCs w:val="32"/>
        </w:rPr>
        <w:t xml:space="preserve"> </w:t>
      </w:r>
      <w:r>
        <w:rPr>
          <w:rFonts w:hint="eastAsia" w:ascii="楷体_GB2312" w:hAnsi="楷体_GB2312" w:eastAsia="楷体_GB2312" w:cs="楷体_GB2312"/>
          <w:sz w:val="32"/>
          <w:szCs w:val="32"/>
        </w:rPr>
        <w:t>万元，比上年预算数增加</w:t>
      </w:r>
      <w:r>
        <w:rPr>
          <w:rFonts w:hint="eastAsia" w:ascii="楷体_GB2312" w:hAnsi="楷体_GB2312" w:eastAsia="楷体_GB2312" w:cs="楷体_GB2312"/>
          <w:b/>
          <w:sz w:val="32"/>
          <w:szCs w:val="32"/>
        </w:rPr>
        <w:t xml:space="preserve"> </w:t>
      </w:r>
      <w:r>
        <w:rPr>
          <w:rFonts w:hint="eastAsia" w:ascii="楷体_GB2312" w:hAnsi="楷体_GB2312" w:eastAsia="楷体_GB2312" w:cs="楷体_GB2312"/>
          <w:b/>
          <w:sz w:val="32"/>
          <w:szCs w:val="32"/>
          <w:lang w:val="en-US" w:eastAsia="zh-CN"/>
        </w:rPr>
        <w:t>357.01</w:t>
      </w:r>
      <w:r>
        <w:rPr>
          <w:rFonts w:hint="eastAsia" w:ascii="楷体_GB2312" w:hAnsi="楷体_GB2312" w:eastAsia="楷体_GB2312" w:cs="楷体_GB2312"/>
          <w:b/>
          <w:sz w:val="32"/>
          <w:szCs w:val="32"/>
        </w:rPr>
        <w:t xml:space="preserve"> </w:t>
      </w:r>
      <w:r>
        <w:rPr>
          <w:rFonts w:hint="eastAsia" w:ascii="楷体_GB2312" w:hAnsi="楷体_GB2312" w:eastAsia="楷体_GB2312" w:cs="楷体_GB2312"/>
          <w:sz w:val="32"/>
          <w:szCs w:val="32"/>
        </w:rPr>
        <w:t xml:space="preserve">  万元。主要用于 </w:t>
      </w:r>
      <w:r>
        <w:rPr>
          <w:rFonts w:hint="eastAsia" w:ascii="楷体_GB2312" w:hAnsi="楷体_GB2312" w:eastAsia="楷体_GB2312" w:cs="楷体_GB2312"/>
          <w:sz w:val="32"/>
          <w:szCs w:val="32"/>
          <w:lang w:eastAsia="zh-CN"/>
        </w:rPr>
        <w:t>在职人员工资及社保缴费，公积金缴费</w:t>
      </w:r>
      <w:r>
        <w:rPr>
          <w:rFonts w:hint="eastAsia" w:ascii="楷体_GB2312" w:hAnsi="楷体_GB2312" w:eastAsia="楷体_GB2312" w:cs="楷体_GB2312"/>
          <w:sz w:val="32"/>
          <w:szCs w:val="32"/>
        </w:rPr>
        <w:t xml:space="preserve">。     </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年“三公”经费财政预算安排情况</w:t>
      </w:r>
      <w:r>
        <w:rPr>
          <w:rFonts w:hint="eastAsia" w:ascii="楷体_GB2312" w:hAnsi="黑体" w:eastAsia="楷体_GB2312"/>
          <w:color w:val="000000"/>
          <w:sz w:val="32"/>
          <w:szCs w:val="32"/>
        </w:rPr>
        <w:t>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财政拨款“三公”经费支出预算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万元，比上年增加（减少）</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万元，增长（下降）</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%。其中：</w:t>
      </w:r>
    </w:p>
    <w:p>
      <w:pPr>
        <w:numPr>
          <w:ilvl w:val="0"/>
          <w:numId w:val="3"/>
        </w:numPr>
        <w:adjustRightInd w:val="0"/>
        <w:snapToGrid w:val="0"/>
        <w:spacing w:line="560" w:lineRule="exact"/>
        <w:ind w:left="200" w:leftChars="0" w:firstLine="640" w:firstLineChars="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因公出国（境）费用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万元，比上年预算数增加（减少）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万元，增长（下降）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numPr>
          <w:ilvl w:val="0"/>
          <w:numId w:val="0"/>
        </w:numPr>
        <w:adjustRightInd w:val="0"/>
        <w:snapToGrid w:val="0"/>
        <w:spacing w:line="560" w:lineRule="exact"/>
        <w:ind w:firstLine="640" w:firstLineChars="200"/>
        <w:rPr>
          <w:rFonts w:hint="eastAsia" w:ascii="楷体_GB2312" w:hAnsi="楷体_GB2312" w:eastAsia="楷体_GB2312" w:cs="楷体_GB2312"/>
          <w:sz w:val="32"/>
          <w:szCs w:val="32"/>
          <w:highlight w:val="yellow"/>
        </w:rPr>
      </w:pPr>
      <w:r>
        <w:rPr>
          <w:rFonts w:hint="eastAsia" w:ascii="楷体_GB2312" w:hAnsi="楷体_GB2312" w:eastAsia="楷体_GB2312" w:cs="楷体_GB2312"/>
          <w:sz w:val="32"/>
          <w:szCs w:val="32"/>
        </w:rPr>
        <w:t xml:space="preserve">2、公务接待费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万元，比上年预算数减少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万元，下降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adjustRightInd w:val="0"/>
        <w:snapToGrid w:val="0"/>
        <w:spacing w:line="560" w:lineRule="exact"/>
        <w:ind w:left="160" w:leftChars="76" w:firstLine="480" w:firstLineChars="15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3、公务用车购置及运行维护费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万元，比上年预算增加（减少）</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万元，增长（下降）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%。其中，公务用车购置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万元，比上年预算增加（减少）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万元，增长（下降）</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%；公务用车运行维护费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万元，比上年</w:t>
      </w:r>
      <w:r>
        <w:rPr>
          <w:rFonts w:hint="eastAsia" w:ascii="楷体_GB2312" w:hAnsi="楷体_GB2312" w:eastAsia="楷体_GB2312" w:cs="楷体_GB2312"/>
          <w:sz w:val="32"/>
          <w:szCs w:val="32"/>
          <w:highlight w:val="none"/>
        </w:rPr>
        <w:t xml:space="preserve">预算增加（减少）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万元，增长（下降）</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w:t>
      </w:r>
    </w:p>
    <w:p>
      <w:pPr>
        <w:adjustRightInd w:val="0"/>
        <w:snapToGrid w:val="0"/>
        <w:spacing w:line="560" w:lineRule="exact"/>
        <w:rPr>
          <w:rFonts w:hint="eastAsia" w:ascii="楷体_GB2312" w:hAnsi="黑体" w:eastAsia="楷体_GB2312"/>
          <w:color w:val="000000"/>
          <w:sz w:val="32"/>
          <w:szCs w:val="32"/>
        </w:rPr>
      </w:pPr>
      <w:r>
        <w:rPr>
          <w:rFonts w:hint="eastAsia" w:ascii="楷体_GB2312" w:hAnsi="黑体" w:eastAsia="楷体_GB2312"/>
          <w:color w:val="000000"/>
          <w:sz w:val="32"/>
          <w:szCs w:val="32"/>
        </w:rPr>
        <w:t xml:space="preserve">    四、机关运行经费安排情况说明</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default" w:ascii="楷体_GB2312" w:hAnsi="楷体_GB2312" w:eastAsia="楷体_GB2312" w:cs="楷体_GB2312"/>
          <w:color w:val="000000"/>
          <w:sz w:val="32"/>
          <w:szCs w:val="32"/>
          <w:lang w:val="en-US" w:eastAsia="zh-CN"/>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年，我单位机关运行</w:t>
      </w:r>
      <w:r>
        <w:rPr>
          <w:rFonts w:hint="eastAsia" w:ascii="楷体_GB2312" w:hAnsi="楷体_GB2312" w:eastAsia="楷体_GB2312" w:cs="楷体_GB2312"/>
          <w:color w:val="000000"/>
          <w:sz w:val="32"/>
          <w:szCs w:val="32"/>
        </w:rPr>
        <w:t>经费财政拨款</w:t>
      </w:r>
      <w:r>
        <w:rPr>
          <w:rFonts w:hint="eastAsia" w:ascii="楷体_GB2312" w:hAnsi="楷体_GB2312" w:eastAsia="楷体_GB2312" w:cs="楷体_GB2312"/>
          <w:sz w:val="32"/>
          <w:szCs w:val="32"/>
        </w:rPr>
        <w:t>预算</w:t>
      </w:r>
      <w:r>
        <w:rPr>
          <w:rFonts w:hint="eastAsia" w:ascii="楷体_GB2312" w:hAnsi="楷体_GB2312" w:eastAsia="楷体_GB2312" w:cs="楷体_GB2312"/>
          <w:sz w:val="32"/>
          <w:szCs w:val="32"/>
          <w:lang w:val="en-US" w:eastAsia="zh-CN"/>
        </w:rPr>
        <w:t>304.75</w:t>
      </w:r>
      <w:r>
        <w:rPr>
          <w:rFonts w:hint="eastAsia" w:ascii="楷体_GB2312" w:hAnsi="楷体_GB2312" w:eastAsia="楷体_GB2312" w:cs="楷体_GB2312"/>
          <w:color w:val="000000"/>
          <w:sz w:val="32"/>
          <w:szCs w:val="32"/>
        </w:rPr>
        <w:t xml:space="preserve">   万元，比上年</w:t>
      </w:r>
      <w:r>
        <w:rPr>
          <w:rFonts w:hint="eastAsia" w:ascii="楷体_GB2312" w:hAnsi="楷体_GB2312" w:eastAsia="楷体_GB2312" w:cs="楷体_GB2312"/>
          <w:sz w:val="32"/>
          <w:szCs w:val="32"/>
        </w:rPr>
        <w:t>增加</w:t>
      </w:r>
      <w:r>
        <w:rPr>
          <w:rFonts w:hint="eastAsia" w:ascii="楷体_GB2312" w:hAnsi="楷体_GB2312" w:eastAsia="楷体_GB2312" w:cs="楷体_GB2312"/>
          <w:sz w:val="32"/>
          <w:szCs w:val="32"/>
          <w:lang w:val="en-US" w:eastAsia="zh-CN"/>
        </w:rPr>
        <w:t>6.27</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color w:val="000000"/>
          <w:sz w:val="32"/>
          <w:szCs w:val="32"/>
        </w:rPr>
        <w:t>万元，</w:t>
      </w:r>
      <w:r>
        <w:rPr>
          <w:rFonts w:hint="eastAsia" w:ascii="楷体_GB2312" w:hAnsi="楷体_GB2312" w:eastAsia="楷体_GB2312" w:cs="楷体_GB2312"/>
          <w:sz w:val="32"/>
          <w:szCs w:val="32"/>
        </w:rPr>
        <w:t>增长</w:t>
      </w:r>
      <w:r>
        <w:rPr>
          <w:rFonts w:hint="eastAsia" w:ascii="楷体_GB2312" w:hAnsi="楷体_GB2312" w:eastAsia="楷体_GB2312" w:cs="楷体_GB2312"/>
          <w:sz w:val="32"/>
          <w:szCs w:val="32"/>
          <w:lang w:val="en-US" w:eastAsia="zh-CN"/>
        </w:rPr>
        <w:t>2</w:t>
      </w:r>
      <w:r>
        <w:rPr>
          <w:rFonts w:hint="eastAsia" w:ascii="楷体_GB2312" w:hAnsi="楷体_GB2312" w:eastAsia="楷体_GB2312" w:cs="楷体_GB2312"/>
          <w:sz w:val="32"/>
          <w:szCs w:val="32"/>
        </w:rPr>
        <w:t xml:space="preserve">  %</w:t>
      </w:r>
      <w:r>
        <w:rPr>
          <w:rFonts w:hint="eastAsia" w:ascii="楷体_GB2312" w:hAnsi="楷体_GB2312" w:eastAsia="楷体_GB2312" w:cs="楷体_GB2312"/>
          <w:color w:val="000000"/>
          <w:sz w:val="32"/>
          <w:szCs w:val="32"/>
        </w:rPr>
        <w:t xml:space="preserve">。主要包括以下支出：办公室费 </w:t>
      </w:r>
      <w:r>
        <w:rPr>
          <w:rFonts w:hint="eastAsia" w:ascii="楷体_GB2312" w:hAnsi="楷体_GB2312" w:eastAsia="楷体_GB2312" w:cs="楷体_GB2312"/>
          <w:color w:val="000000"/>
          <w:sz w:val="32"/>
          <w:szCs w:val="32"/>
          <w:lang w:val="en-US" w:eastAsia="zh-CN"/>
        </w:rPr>
        <w:t>20.74</w:t>
      </w:r>
      <w:r>
        <w:rPr>
          <w:rFonts w:hint="eastAsia" w:ascii="楷体_GB2312" w:hAnsi="楷体_GB2312" w:eastAsia="楷体_GB2312" w:cs="楷体_GB2312"/>
          <w:color w:val="000000"/>
          <w:sz w:val="32"/>
          <w:szCs w:val="32"/>
        </w:rPr>
        <w:t xml:space="preserve"> 万元、邮电费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万元、差旅费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万元、培训费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万元、工会经费</w:t>
      </w:r>
      <w:r>
        <w:rPr>
          <w:rFonts w:hint="eastAsia" w:ascii="楷体_GB2312" w:hAnsi="楷体_GB2312" w:eastAsia="楷体_GB2312" w:cs="楷体_GB2312"/>
          <w:color w:val="000000"/>
          <w:sz w:val="32"/>
          <w:szCs w:val="32"/>
          <w:lang w:val="en-US" w:eastAsia="zh-CN"/>
        </w:rPr>
        <w:t>19.08</w:t>
      </w:r>
      <w:r>
        <w:rPr>
          <w:rFonts w:hint="eastAsia" w:ascii="楷体_GB2312" w:hAnsi="楷体_GB2312" w:eastAsia="楷体_GB2312" w:cs="楷体_GB2312"/>
          <w:color w:val="000000"/>
          <w:sz w:val="32"/>
          <w:szCs w:val="32"/>
        </w:rPr>
        <w:t xml:space="preserve">万元、福利费 </w:t>
      </w:r>
      <w:r>
        <w:rPr>
          <w:rFonts w:hint="eastAsia" w:ascii="楷体_GB2312" w:hAnsi="楷体_GB2312" w:eastAsia="楷体_GB2312" w:cs="楷体_GB2312"/>
          <w:color w:val="000000"/>
          <w:sz w:val="32"/>
          <w:szCs w:val="32"/>
          <w:lang w:val="en-US" w:eastAsia="zh-CN"/>
        </w:rPr>
        <w:t>19.08</w:t>
      </w:r>
      <w:r>
        <w:rPr>
          <w:rFonts w:hint="eastAsia" w:ascii="楷体_GB2312" w:hAnsi="楷体_GB2312" w:eastAsia="楷体_GB2312" w:cs="楷体_GB2312"/>
          <w:color w:val="000000"/>
          <w:sz w:val="32"/>
          <w:szCs w:val="32"/>
        </w:rPr>
        <w:t xml:space="preserve"> 万元、福利费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万元、公务用车维护费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万元、其他交通费</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万元、其他 </w:t>
      </w:r>
      <w:r>
        <w:rPr>
          <w:rFonts w:hint="eastAsia" w:ascii="楷体_GB2312" w:hAnsi="楷体_GB2312" w:eastAsia="楷体_GB2312" w:cs="楷体_GB2312"/>
          <w:color w:val="000000"/>
          <w:sz w:val="32"/>
          <w:szCs w:val="32"/>
          <w:lang w:val="en-US" w:eastAsia="zh-CN"/>
        </w:rPr>
        <w:t>245.85</w:t>
      </w:r>
      <w:r>
        <w:rPr>
          <w:rFonts w:hint="eastAsia" w:ascii="楷体_GB2312" w:hAnsi="楷体_GB2312" w:eastAsia="楷体_GB2312" w:cs="楷体_GB2312"/>
          <w:color w:val="000000"/>
          <w:sz w:val="32"/>
          <w:szCs w:val="32"/>
        </w:rPr>
        <w:t xml:space="preserve"> 万元。增加</w:t>
      </w:r>
      <w:r>
        <w:rPr>
          <w:rFonts w:hint="eastAsia" w:ascii="楷体_GB2312" w:hAnsi="楷体_GB2312" w:eastAsia="楷体_GB2312" w:cs="楷体_GB2312"/>
          <w:sz w:val="32"/>
          <w:szCs w:val="32"/>
        </w:rPr>
        <w:t>主要原因是</w:t>
      </w:r>
      <w:r>
        <w:rPr>
          <w:rFonts w:hint="eastAsia" w:ascii="楷体_GB2312" w:hAnsi="楷体_GB2312" w:eastAsia="楷体_GB2312" w:cs="楷体_GB2312"/>
          <w:sz w:val="32"/>
          <w:szCs w:val="32"/>
          <w:lang w:eastAsia="zh-CN"/>
        </w:rPr>
        <w:t>我校增加新教师</w:t>
      </w:r>
      <w:r>
        <w:rPr>
          <w:rFonts w:hint="eastAsia" w:ascii="楷体_GB2312" w:hAnsi="楷体_GB2312" w:eastAsia="楷体_GB2312" w:cs="楷体_GB2312"/>
          <w:sz w:val="32"/>
          <w:szCs w:val="32"/>
          <w:lang w:val="en-US" w:eastAsia="zh-CN"/>
        </w:rPr>
        <w:t>15人，工会经费和福利费增加。</w:t>
      </w: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五、政府采购预算情况说明</w:t>
      </w:r>
    </w:p>
    <w:p>
      <w:pPr>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政府采购预算总额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万元，其中：政府采购货物预算   万元，政府采购工程预算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万元，政府采购服务预算 </w:t>
      </w:r>
      <w:r>
        <w:rPr>
          <w:rFonts w:hint="eastAsia" w:ascii="楷体_GB2312" w:hAnsi="楷体_GB2312" w:eastAsia="楷体_GB2312" w:cs="楷体_GB2312"/>
          <w:sz w:val="32"/>
          <w:szCs w:val="32"/>
          <w:lang w:val="en-US" w:eastAsia="zh-CN"/>
        </w:rPr>
        <w:t>0</w:t>
      </w:r>
      <w:r>
        <w:rPr>
          <w:rFonts w:hint="eastAsia" w:ascii="楷体_GB2312" w:hAnsi="楷体_GB2312" w:eastAsia="楷体_GB2312" w:cs="楷体_GB2312"/>
          <w:sz w:val="32"/>
          <w:szCs w:val="32"/>
        </w:rPr>
        <w:t xml:space="preserve">  万元。</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六、政府性基金预算财政拨款支出情况</w:t>
      </w:r>
      <w:r>
        <w:rPr>
          <w:rFonts w:hint="eastAsia" w:ascii="楷体_GB2312" w:hAnsi="楷体_GB2312" w:eastAsia="楷体_GB2312" w:cs="楷体_GB2312"/>
          <w:color w:val="000000"/>
          <w:sz w:val="32"/>
          <w:szCs w:val="32"/>
        </w:rPr>
        <w:t>说明</w:t>
      </w: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本部门（单位）202</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rPr>
        <w:t>年无政府性基金支出预算。</w:t>
      </w:r>
    </w:p>
    <w:p>
      <w:pPr>
        <w:spacing w:line="560" w:lineRule="exact"/>
        <w:ind w:firstLine="640" w:firstLineChars="200"/>
        <w:rPr>
          <w:rFonts w:hint="eastAsia" w:ascii="楷体_GB2312" w:hAnsi="黑体" w:eastAsia="楷体_GB2312"/>
          <w:b/>
          <w:color w:val="000000"/>
          <w:sz w:val="32"/>
          <w:szCs w:val="32"/>
        </w:rPr>
      </w:pPr>
      <w:r>
        <w:rPr>
          <w:rFonts w:hint="eastAsia" w:ascii="楷体_GB2312" w:hAnsi="楷体_GB2312" w:eastAsia="楷体_GB2312" w:cs="楷体_GB2312"/>
          <w:b w:val="0"/>
          <w:bCs w:val="0"/>
          <w:sz w:val="32"/>
          <w:szCs w:val="32"/>
          <w:highlight w:val="none"/>
          <w:lang w:eastAsia="zh-CN"/>
        </w:rPr>
        <w:t>我校</w:t>
      </w:r>
      <w:r>
        <w:rPr>
          <w:rFonts w:hint="eastAsia" w:ascii="楷体_GB2312" w:hAnsi="楷体_GB2312" w:eastAsia="楷体_GB2312" w:cs="楷体_GB2312"/>
          <w:b w:val="0"/>
          <w:bCs w:val="0"/>
          <w:sz w:val="32"/>
          <w:szCs w:val="32"/>
          <w:highlight w:val="none"/>
        </w:rPr>
        <w:t>202</w:t>
      </w:r>
      <w:r>
        <w:rPr>
          <w:rFonts w:hint="eastAsia" w:ascii="楷体_GB2312" w:hAnsi="楷体_GB2312" w:eastAsia="楷体_GB2312" w:cs="楷体_GB2312"/>
          <w:b w:val="0"/>
          <w:bCs w:val="0"/>
          <w:sz w:val="32"/>
          <w:szCs w:val="32"/>
          <w:highlight w:val="none"/>
          <w:lang w:val="en-US" w:eastAsia="zh-CN"/>
        </w:rPr>
        <w:t>1</w:t>
      </w:r>
      <w:r>
        <w:rPr>
          <w:rFonts w:hint="eastAsia" w:ascii="楷体_GB2312" w:hAnsi="楷体_GB2312" w:eastAsia="楷体_GB2312" w:cs="楷体_GB2312"/>
          <w:b w:val="0"/>
          <w:bCs w:val="0"/>
          <w:sz w:val="32"/>
          <w:szCs w:val="32"/>
          <w:highlight w:val="none"/>
        </w:rPr>
        <w:t>年无政府性基金支出预算。</w:t>
      </w:r>
      <w:bookmarkStart w:id="0" w:name="_GoBack"/>
      <w:bookmarkEnd w:id="0"/>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第三部分  其他公开事项说明</w:t>
      </w:r>
    </w:p>
    <w:p>
      <w:pPr>
        <w:adjustRightInd w:val="0"/>
        <w:snapToGrid w:val="0"/>
        <w:spacing w:line="560" w:lineRule="exact"/>
        <w:jc w:val="center"/>
        <w:rPr>
          <w:rFonts w:hint="eastAsia" w:ascii="楷体_GB2312" w:hAnsi="黑体" w:eastAsia="楷体_GB2312"/>
          <w:b/>
          <w:color w:val="000000"/>
          <w:sz w:val="32"/>
          <w:szCs w:val="32"/>
        </w:rPr>
      </w:pPr>
    </w:p>
    <w:p>
      <w:pPr>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一、</w:t>
      </w:r>
      <w:r>
        <w:rPr>
          <w:rFonts w:hint="eastAsia" w:ascii="楷体_GB2312" w:hAnsi="黑体" w:eastAsia="楷体_GB2312"/>
          <w:sz w:val="32"/>
          <w:szCs w:val="32"/>
        </w:rPr>
        <w:t>项目支出绩效目标情况说明</w:t>
      </w: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202</w:t>
      </w:r>
      <w:r>
        <w:rPr>
          <w:rFonts w:hint="eastAsia" w:ascii="楷体_GB2312" w:hAnsi="楷体_GB2312" w:eastAsia="楷体_GB2312" w:cs="楷体_GB2312"/>
          <w:color w:val="000000"/>
          <w:sz w:val="32"/>
          <w:szCs w:val="32"/>
          <w:lang w:val="en-US" w:eastAsia="zh-CN"/>
        </w:rPr>
        <w:t>1</w:t>
      </w:r>
      <w:r>
        <w:rPr>
          <w:rFonts w:hint="eastAsia" w:ascii="楷体_GB2312" w:hAnsi="楷体_GB2312" w:eastAsia="楷体_GB2312" w:cs="楷体_GB2312"/>
          <w:color w:val="000000"/>
          <w:sz w:val="32"/>
          <w:szCs w:val="32"/>
        </w:rPr>
        <w:t>年，填报绩效目标的预算项目</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个，公开绩效目标</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个，公开项目占全部预算项目的</w:t>
      </w:r>
      <w:r>
        <w:rPr>
          <w:rFonts w:hint="eastAsia" w:ascii="楷体_GB2312" w:hAnsi="楷体_GB2312" w:eastAsia="楷体_GB2312" w:cs="楷体_GB2312"/>
          <w:color w:val="000000"/>
          <w:sz w:val="32"/>
          <w:szCs w:val="32"/>
          <w:lang w:val="en-US" w:eastAsia="zh-CN"/>
        </w:rPr>
        <w:t>.</w:t>
      </w:r>
      <w:r>
        <w:rPr>
          <w:rFonts w:hint="eastAsia" w:ascii="楷体_GB2312" w:hAnsi="楷体_GB2312" w:eastAsia="楷体_GB2312" w:cs="楷体_GB2312"/>
          <w:color w:val="000000"/>
          <w:sz w:val="32"/>
          <w:szCs w:val="32"/>
        </w:rPr>
        <w:t>%。公开填报绩效目标的项目支出预算</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万元，占全部项目支出预算的</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w:t>
      </w:r>
    </w:p>
    <w:p>
      <w:pPr>
        <w:adjustRightInd w:val="0"/>
        <w:snapToGrid w:val="0"/>
        <w:spacing w:line="560" w:lineRule="exact"/>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 xml:space="preserve">    二、国有资产占有使用情况说明</w:t>
      </w:r>
    </w:p>
    <w:p>
      <w:pPr>
        <w:snapToGrid w:val="0"/>
        <w:spacing w:line="560" w:lineRule="exact"/>
        <w:ind w:firstLine="640" w:firstLineChars="200"/>
        <w:rPr>
          <w:rFonts w:hint="eastAsia" w:ascii="楷体_GB2312" w:hAnsi="楷体_GB2312" w:eastAsia="楷体_GB2312" w:cs="楷体_GB2312"/>
          <w:color w:val="000000"/>
          <w:sz w:val="32"/>
          <w:szCs w:val="32"/>
          <w:highlight w:val="yellow"/>
        </w:rPr>
      </w:pPr>
      <w:r>
        <w:rPr>
          <w:rFonts w:hint="eastAsia" w:ascii="楷体_GB2312" w:hAnsi="楷体_GB2312" w:eastAsia="楷体_GB2312" w:cs="楷体_GB2312"/>
          <w:color w:val="000000"/>
          <w:sz w:val="32"/>
          <w:szCs w:val="32"/>
        </w:rPr>
        <w:t>截至20</w:t>
      </w:r>
      <w:r>
        <w:rPr>
          <w:rFonts w:hint="eastAsia" w:ascii="楷体_GB2312" w:hAnsi="楷体_GB2312" w:eastAsia="楷体_GB2312" w:cs="楷体_GB2312"/>
          <w:color w:val="000000"/>
          <w:sz w:val="32"/>
          <w:szCs w:val="32"/>
          <w:lang w:val="en-US" w:eastAsia="zh-CN"/>
        </w:rPr>
        <w:t>20</w:t>
      </w:r>
      <w:r>
        <w:rPr>
          <w:rFonts w:hint="eastAsia" w:ascii="楷体_GB2312" w:hAnsi="楷体_GB2312" w:eastAsia="楷体_GB2312" w:cs="楷体_GB2312"/>
          <w:color w:val="000000"/>
          <w:sz w:val="32"/>
          <w:szCs w:val="32"/>
        </w:rPr>
        <w:t xml:space="preserve">年末，共有车辆 </w:t>
      </w:r>
      <w:r>
        <w:rPr>
          <w:rFonts w:hint="eastAsia" w:ascii="楷体_GB2312" w:hAnsi="楷体_GB2312" w:eastAsia="楷体_GB2312" w:cs="楷体_GB2312"/>
          <w:color w:val="000000"/>
          <w:sz w:val="32"/>
          <w:szCs w:val="32"/>
          <w:lang w:val="en-US" w:eastAsia="zh-CN"/>
        </w:rPr>
        <w:t>0</w:t>
      </w:r>
      <w:r>
        <w:rPr>
          <w:rFonts w:hint="eastAsia" w:ascii="楷体_GB2312" w:hAnsi="楷体_GB2312" w:eastAsia="楷体_GB2312" w:cs="楷体_GB2312"/>
          <w:color w:val="000000"/>
          <w:sz w:val="32"/>
          <w:szCs w:val="32"/>
        </w:rPr>
        <w:t xml:space="preserve">  辆</w:t>
      </w:r>
    </w:p>
    <w:p>
      <w:pPr>
        <w:spacing w:line="560" w:lineRule="exact"/>
        <w:jc w:val="center"/>
        <w:rPr>
          <w:rFonts w:hint="eastAsia" w:ascii="楷体_GB2312" w:hAnsi="黑体" w:eastAsia="楷体_GB2312"/>
          <w:b/>
          <w:color w:val="000000"/>
          <w:sz w:val="32"/>
          <w:szCs w:val="32"/>
        </w:rPr>
      </w:pPr>
    </w:p>
    <w:p>
      <w:pPr>
        <w:spacing w:line="560" w:lineRule="exact"/>
        <w:jc w:val="center"/>
        <w:rPr>
          <w:rFonts w:hint="eastAsia" w:ascii="楷体_GB2312" w:hAnsi="楷体_GB2312" w:eastAsia="楷体_GB2312" w:cs="楷体_GB2312"/>
          <w:b/>
          <w:sz w:val="32"/>
          <w:szCs w:val="32"/>
        </w:rPr>
      </w:pPr>
      <w:r>
        <w:rPr>
          <w:rFonts w:hint="eastAsia" w:ascii="楷体_GB2312" w:hAnsi="黑体" w:eastAsia="楷体_GB2312"/>
          <w:b/>
          <w:color w:val="000000"/>
          <w:sz w:val="32"/>
          <w:szCs w:val="32"/>
        </w:rPr>
        <w:t>第四</w:t>
      </w:r>
      <w:r>
        <w:rPr>
          <w:rFonts w:hint="eastAsia" w:ascii="楷体_GB2312" w:hAnsi="楷体_GB2312" w:eastAsia="楷体_GB2312" w:cs="楷体_GB2312"/>
          <w:b/>
          <w:color w:val="000000"/>
          <w:sz w:val="32"/>
          <w:szCs w:val="32"/>
        </w:rPr>
        <w:t xml:space="preserve">部分  </w:t>
      </w:r>
      <w:r>
        <w:rPr>
          <w:rFonts w:hint="eastAsia" w:ascii="楷体_GB2312" w:hAnsi="楷体_GB2312" w:eastAsia="楷体_GB2312" w:cs="楷体_GB2312"/>
          <w:b/>
          <w:sz w:val="32"/>
          <w:szCs w:val="32"/>
        </w:rPr>
        <w:t>名词解释</w:t>
      </w:r>
    </w:p>
    <w:p>
      <w:pPr>
        <w:spacing w:line="560" w:lineRule="exact"/>
        <w:jc w:val="center"/>
        <w:rPr>
          <w:rFonts w:hint="eastAsia" w:ascii="楷体_GB2312" w:hAnsi="楷体_GB2312" w:eastAsia="楷体_GB2312" w:cs="楷体_GB2312"/>
          <w:b/>
          <w:sz w:val="32"/>
          <w:szCs w:val="32"/>
        </w:rPr>
      </w:pP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sz w:val="32"/>
          <w:szCs w:val="32"/>
        </w:rPr>
        <w:t>1、</w:t>
      </w:r>
      <w:r>
        <w:rPr>
          <w:rFonts w:hint="eastAsia" w:ascii="楷体_GB2312" w:hAnsi="楷体_GB2312" w:eastAsia="楷体_GB2312" w:cs="楷体_GB2312"/>
          <w:color w:val="000000"/>
          <w:sz w:val="32"/>
          <w:szCs w:val="32"/>
        </w:rPr>
        <w:t>一般公共预算财政拨款收入：是指财政当年拨付的资金。</w:t>
      </w:r>
    </w:p>
    <w:p>
      <w:pPr>
        <w:snapToGrid w:val="0"/>
        <w:spacing w:line="560" w:lineRule="exact"/>
        <w:ind w:firstLine="640"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2、事业收入：是指事业单位开展专业业务活动及辅助活动所取得的收入。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3、事业单位经营收入：是指事业单位在专业业务活动及其辅助活动之外开展非独立核算经营活动取得的收入。</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4、其他收入 ：是指除上述“一般公共预算财政拨款收入”、“事业收入”、“事业单位经营收入”等以外的收入。主要是指按规定动用的售房收入、存款利息收入等。</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5、用事业基金弥补收支差额：是指事业单位在预计用当年的“一般公共预算财政拨款收入”、“财政拨款结转和结余资金”、“事业收入”、“事业单位经营收入”、“其他收入”不足以安排当年支出的情况下，使用以前年度积累的事业基金（事业单位当年收支相抵后按国家规定提取、用于弥补以后年度收支差额的基金）弥补本年收支缺口的资金。</w:t>
      </w:r>
    </w:p>
    <w:p>
      <w:pPr>
        <w:snapToGrid w:val="0"/>
        <w:spacing w:line="560" w:lineRule="exact"/>
        <w:ind w:firstLine="645"/>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6、上年结转：是指以前年度尚未完成、结转到本年仍按原规定用途继续使用的资金。</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7、基本支出：是指为保障机构正常运转，完成日常工作任务而发生的人员支出和共用支出。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8、项目支出：是指基本支出之外，为完成特定行政任务和事业发展目标所发生的支出。</w:t>
      </w:r>
    </w:p>
    <w:p>
      <w:pPr>
        <w:snapToGrid w:val="0"/>
        <w:spacing w:line="560" w:lineRule="exact"/>
        <w:ind w:firstLine="645"/>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9、“三公”经费：纳入财政预决算管理的“三公”经费，是指部门用财政拨款安排的因公出国（境）费、公务用车购置及运行费和公务接待费。</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10、机关运行经费：机关运行经费，是指各部门的公用经费，包括办公及印刷费、邮电费、差旅费、会议费、福利费、日常维修费、专业材料及一般设备购置费、办公用房水电费、办公用房取暖费、办公用房物业管理费、公务用车运行维护费以及其他费用。</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11、工资福利支出（支出经济分类科目类级）：反映单位开支的在职职工和编制外长期聘用人员的各类活动报酬，以及为上述人员缴纳的各项社会保险费等。</w:t>
      </w:r>
    </w:p>
    <w:p>
      <w:pPr>
        <w:adjustRightInd w:val="0"/>
        <w:snapToGrid w:val="0"/>
        <w:spacing w:line="560"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12、商品和服务支出（支出经济分类科目类级）：反映单位购买商品和服务的支出（不包括用于购置固定资产的支出、战略性和应急储备支出）。</w:t>
      </w: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第五部分  预算公开联系方式及信息反馈渠道</w:t>
      </w:r>
    </w:p>
    <w:p>
      <w:pPr>
        <w:adjustRightInd w:val="0"/>
        <w:snapToGrid w:val="0"/>
        <w:spacing w:line="560" w:lineRule="exact"/>
        <w:jc w:val="center"/>
        <w:rPr>
          <w:rFonts w:hint="eastAsia" w:ascii="楷体_GB2312" w:hAnsi="黑体" w:eastAsia="楷体_GB2312"/>
          <w:b/>
          <w:color w:val="000000"/>
          <w:sz w:val="32"/>
          <w:szCs w:val="32"/>
        </w:rPr>
      </w:pPr>
    </w:p>
    <w:p>
      <w:pPr>
        <w:snapToGrid w:val="0"/>
        <w:spacing w:line="560" w:lineRule="exact"/>
        <w:ind w:firstLine="640" w:firstLineChars="200"/>
        <w:rPr>
          <w:rFonts w:hint="eastAsia" w:ascii="仿宋_GB2312" w:hAnsi="黑体" w:eastAsia="仿宋_GB2312"/>
          <w:color w:val="000000"/>
          <w:sz w:val="32"/>
          <w:szCs w:val="32"/>
        </w:rPr>
      </w:pPr>
      <w:r>
        <w:rPr>
          <w:rFonts w:hint="eastAsia" w:ascii="仿宋_GB2312" w:hAnsi="黑体" w:eastAsia="仿宋_GB2312"/>
          <w:color w:val="000000"/>
          <w:sz w:val="32"/>
          <w:szCs w:val="32"/>
        </w:rPr>
        <w:t>本单位预算公开信息反馈和联系方式：</w:t>
      </w:r>
    </w:p>
    <w:p>
      <w:pPr>
        <w:snapToGrid w:val="0"/>
        <w:spacing w:line="560" w:lineRule="exact"/>
        <w:ind w:firstLine="640" w:firstLineChars="200"/>
        <w:rPr>
          <w:rFonts w:hint="default" w:ascii="楷体_GB2312" w:hAnsi="楷体_GB2312" w:eastAsia="仿宋_GB2312" w:cs="楷体_GB2312"/>
          <w:sz w:val="36"/>
          <w:szCs w:val="44"/>
          <w:lang w:val="en-US" w:eastAsia="zh-CN"/>
        </w:rPr>
      </w:pPr>
      <w:r>
        <w:rPr>
          <w:rFonts w:hint="eastAsia" w:ascii="仿宋_GB2312" w:hAnsi="黑体" w:eastAsia="仿宋_GB2312"/>
          <w:color w:val="000000"/>
          <w:sz w:val="32"/>
          <w:szCs w:val="32"/>
        </w:rPr>
        <w:t>联系人：</w:t>
      </w:r>
      <w:r>
        <w:rPr>
          <w:rFonts w:hint="eastAsia" w:ascii="仿宋_GB2312" w:hAnsi="黑体" w:eastAsia="仿宋_GB2312"/>
          <w:color w:val="000000"/>
          <w:sz w:val="32"/>
          <w:szCs w:val="32"/>
          <w:lang w:eastAsia="zh-CN"/>
        </w:rPr>
        <w:t>丁媛</w:t>
      </w:r>
      <w:r>
        <w:rPr>
          <w:rFonts w:hint="eastAsia" w:ascii="仿宋_GB2312" w:hAnsi="黑体" w:eastAsia="仿宋_GB2312"/>
          <w:color w:val="000000"/>
          <w:sz w:val="32"/>
          <w:szCs w:val="32"/>
        </w:rPr>
        <w:t xml:space="preserve">           联系电话：</w:t>
      </w:r>
      <w:r>
        <w:rPr>
          <w:rFonts w:hint="eastAsia" w:ascii="仿宋_GB2312" w:hAnsi="黑体" w:eastAsia="仿宋_GB2312"/>
          <w:color w:val="000000"/>
          <w:sz w:val="32"/>
          <w:szCs w:val="32"/>
          <w:lang w:val="en-US" w:eastAsia="zh-CN"/>
        </w:rPr>
        <w:t>15598665678</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jc w:val="center"/>
        <w:rPr>
          <w:rFonts w:hint="eastAsia" w:ascii="楷体_GB2312" w:hAnsi="黑体" w:eastAsia="楷体_GB2312"/>
          <w:b/>
          <w:color w:val="000000"/>
          <w:sz w:val="32"/>
          <w:szCs w:val="32"/>
        </w:rPr>
      </w:pPr>
      <w:r>
        <w:rPr>
          <w:rFonts w:hint="eastAsia" w:ascii="楷体_GB2312" w:hAnsi="黑体" w:eastAsia="楷体_GB2312"/>
          <w:b/>
          <w:color w:val="000000"/>
          <w:sz w:val="32"/>
          <w:szCs w:val="32"/>
        </w:rPr>
        <w:t>第六部分  202</w:t>
      </w:r>
      <w:r>
        <w:rPr>
          <w:rFonts w:hint="eastAsia" w:ascii="楷体_GB2312" w:hAnsi="黑体" w:eastAsia="楷体_GB2312"/>
          <w:b/>
          <w:color w:val="000000"/>
          <w:sz w:val="32"/>
          <w:szCs w:val="32"/>
          <w:lang w:val="en-US" w:eastAsia="zh-CN"/>
        </w:rPr>
        <w:t>1</w:t>
      </w:r>
      <w:r>
        <w:rPr>
          <w:rFonts w:hint="eastAsia" w:ascii="楷体_GB2312" w:hAnsi="黑体" w:eastAsia="楷体_GB2312"/>
          <w:b/>
          <w:color w:val="000000"/>
          <w:sz w:val="32"/>
          <w:szCs w:val="32"/>
        </w:rPr>
        <w:t>年部门预算公开表</w:t>
      </w:r>
    </w:p>
    <w:p>
      <w:pPr>
        <w:adjustRightInd w:val="0"/>
        <w:snapToGrid w:val="0"/>
        <w:spacing w:line="560" w:lineRule="exact"/>
        <w:jc w:val="center"/>
        <w:rPr>
          <w:rFonts w:hint="eastAsia" w:ascii="楷体_GB2312" w:hAnsi="黑体" w:eastAsia="楷体_GB2312"/>
          <w:b/>
          <w:color w:val="000000"/>
          <w:sz w:val="32"/>
          <w:szCs w:val="32"/>
        </w:rPr>
      </w:pPr>
    </w:p>
    <w:p>
      <w:pPr>
        <w:adjustRightInd w:val="0"/>
        <w:snapToGrid w:val="0"/>
        <w:spacing w:line="560" w:lineRule="exact"/>
        <w:rPr>
          <w:rFonts w:hint="eastAsia"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详见附表：部门预算公开表，项目支出绩效目标表（绩效目标申报表要求统一打包成压缩包附后）。</w:t>
      </w:r>
    </w:p>
    <w:p>
      <w:pPr>
        <w:rPr>
          <w:highlight w:val="none"/>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tentative="0">
      <w:start w:val="1"/>
      <w:numFmt w:val="chineseCounting"/>
      <w:suff w:val="nothing"/>
      <w:lvlText w:val="%1、"/>
      <w:lvlJc w:val="left"/>
    </w:lvl>
  </w:abstractNum>
  <w:abstractNum w:abstractNumId="1">
    <w:nsid w:val="00000006"/>
    <w:multiLevelType w:val="singleLevel"/>
    <w:tmpl w:val="00000006"/>
    <w:lvl w:ilvl="0" w:tentative="0">
      <w:start w:val="1"/>
      <w:numFmt w:val="chineseCounting"/>
      <w:suff w:val="nothing"/>
      <w:lvlText w:val="%1、"/>
      <w:lvlJc w:val="left"/>
    </w:lvl>
  </w:abstractNum>
  <w:abstractNum w:abstractNumId="2">
    <w:nsid w:val="19CD6144"/>
    <w:multiLevelType w:val="singleLevel"/>
    <w:tmpl w:val="19CD6144"/>
    <w:lvl w:ilvl="0" w:tentative="0">
      <w:start w:val="1"/>
      <w:numFmt w:val="decimal"/>
      <w:suff w:val="nothing"/>
      <w:lvlText w:val="%1、"/>
      <w:lvlJc w:val="left"/>
      <w:pPr>
        <w:ind w:left="2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D87B74"/>
    <w:rsid w:val="0208331E"/>
    <w:rsid w:val="060D3C32"/>
    <w:rsid w:val="0762262A"/>
    <w:rsid w:val="09C535CB"/>
    <w:rsid w:val="0DD87B74"/>
    <w:rsid w:val="0EFE269E"/>
    <w:rsid w:val="13AA603E"/>
    <w:rsid w:val="13DD7A2E"/>
    <w:rsid w:val="1D872164"/>
    <w:rsid w:val="212D5625"/>
    <w:rsid w:val="22877B67"/>
    <w:rsid w:val="23D14C3F"/>
    <w:rsid w:val="25075CF3"/>
    <w:rsid w:val="263273AD"/>
    <w:rsid w:val="394964DB"/>
    <w:rsid w:val="3A9B7875"/>
    <w:rsid w:val="3E1D21B7"/>
    <w:rsid w:val="42061CBA"/>
    <w:rsid w:val="47C531BA"/>
    <w:rsid w:val="481E6AB3"/>
    <w:rsid w:val="48791D2F"/>
    <w:rsid w:val="49211289"/>
    <w:rsid w:val="49C364E6"/>
    <w:rsid w:val="4B936036"/>
    <w:rsid w:val="4ECB0124"/>
    <w:rsid w:val="4F726C5C"/>
    <w:rsid w:val="50BD0033"/>
    <w:rsid w:val="5176120E"/>
    <w:rsid w:val="58B350FA"/>
    <w:rsid w:val="5E940CD7"/>
    <w:rsid w:val="5EEF1E6C"/>
    <w:rsid w:val="60E11EDB"/>
    <w:rsid w:val="63A6138A"/>
    <w:rsid w:val="735428D7"/>
    <w:rsid w:val="7D3E5EE8"/>
    <w:rsid w:val="7E7F0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2021-04-13T00:30:00Z</dcterms:created>
  <dc:creator>Administrator</dc:creator>
  <cp:lastModifiedBy>HP</cp:lastModifiedBy>
  <dcterms:modified xsi:type="dcterms:W3CDTF">2021-04-15T02:35:57Z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85A526345A284C11A45BC34DA7982E24</vt:lpwstr>
  </property>
</Properties>
</file>