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lang w:val="en-US" w:eastAsia="zh-CN"/>
        </w:rPr>
        <w:t>伊金霍洛旗阿勒腾席热镇第三小学</w:t>
      </w:r>
    </w:p>
    <w:p>
      <w:pPr>
        <w:spacing w:line="540" w:lineRule="exact"/>
        <w:jc w:val="center"/>
        <w:rPr>
          <w:rFonts w:hint="eastAsia" w:ascii="方正小标宋简体" w:hAnsi="方正小标宋简体" w:eastAsia="方正小标宋简体" w:cs="方正小标宋简体"/>
          <w:sz w:val="52"/>
          <w:szCs w:val="52"/>
        </w:rPr>
      </w:pPr>
    </w:p>
    <w:p>
      <w:pPr>
        <w:spacing w:line="540" w:lineRule="exact"/>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202</w:t>
      </w:r>
      <w:r>
        <w:rPr>
          <w:rFonts w:hint="eastAsia" w:ascii="方正小标宋简体" w:hAnsi="方正小标宋简体" w:eastAsia="方正小标宋简体" w:cs="方正小标宋简体"/>
          <w:sz w:val="52"/>
          <w:szCs w:val="52"/>
          <w:lang w:val="en-US" w:eastAsia="zh-CN"/>
        </w:rPr>
        <w:t>1</w:t>
      </w:r>
      <w:r>
        <w:rPr>
          <w:rFonts w:hint="eastAsia" w:ascii="方正小标宋简体" w:hAnsi="方正小标宋简体" w:eastAsia="方正小标宋简体" w:cs="方正小标宋简体"/>
          <w:sz w:val="52"/>
          <w:szCs w:val="52"/>
        </w:rPr>
        <w:t>年度部门预算公开报告</w:t>
      </w: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楷体_GB2312" w:hAnsi="楷体_GB2312" w:eastAsia="楷体_GB2312" w:cs="楷体_GB2312"/>
          <w:b/>
          <w:bCs/>
          <w:sz w:val="32"/>
          <w:szCs w:val="32"/>
        </w:rPr>
      </w:pPr>
      <w:r>
        <w:rPr>
          <w:rFonts w:hint="eastAsia" w:ascii="楷体_GB2312" w:hAnsi="楷体_GB2312" w:eastAsia="楷体_GB2312" w:cs="楷体_GB2312"/>
          <w:b/>
          <w:bCs/>
          <w:sz w:val="40"/>
          <w:szCs w:val="40"/>
        </w:rPr>
        <w:t>部门预算信息公开目录</w:t>
      </w:r>
      <w:r>
        <w:rPr>
          <w:rFonts w:hint="eastAsia" w:ascii="楷体_GB2312" w:hAnsi="楷体_GB2312" w:eastAsia="楷体_GB2312" w:cs="楷体_GB2312"/>
          <w:b/>
          <w:bCs/>
          <w:sz w:val="32"/>
          <w:szCs w:val="32"/>
        </w:rPr>
        <w:t xml:space="preserve"> </w:t>
      </w:r>
    </w:p>
    <w:p>
      <w:pPr>
        <w:spacing w:line="540" w:lineRule="exact"/>
        <w:rPr>
          <w:rFonts w:hint="eastAsia" w:ascii="楷体_GB2312" w:hAnsi="楷体_GB2312" w:eastAsia="楷体_GB2312" w:cs="楷体_GB2312"/>
          <w:b/>
          <w:bCs/>
          <w:sz w:val="32"/>
          <w:szCs w:val="32"/>
        </w:rPr>
      </w:pPr>
    </w:p>
    <w:p>
      <w:pPr>
        <w:spacing w:line="540" w:lineRule="exact"/>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第一部分  本部门概况</w:t>
      </w:r>
    </w:p>
    <w:p>
      <w:pPr>
        <w:numPr>
          <w:ilvl w:val="0"/>
          <w:numId w:val="1"/>
        </w:numPr>
        <w:spacing w:line="54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主要职能、职责</w:t>
      </w:r>
    </w:p>
    <w:p>
      <w:pPr>
        <w:numPr>
          <w:ilvl w:val="0"/>
          <w:numId w:val="1"/>
        </w:numPr>
        <w:spacing w:line="54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机构设置情况</w:t>
      </w:r>
    </w:p>
    <w:p>
      <w:pPr>
        <w:spacing w:line="540" w:lineRule="exact"/>
        <w:rPr>
          <w:rFonts w:hint="eastAsia" w:ascii="楷体_GB2312" w:hAnsi="楷体_GB2312" w:eastAsia="楷体_GB2312" w:cs="楷体_GB2312"/>
          <w:b/>
          <w:bCs/>
          <w:sz w:val="32"/>
          <w:szCs w:val="32"/>
        </w:rPr>
      </w:pPr>
    </w:p>
    <w:p>
      <w:pPr>
        <w:spacing w:line="540" w:lineRule="exact"/>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第二部分  202</w:t>
      </w:r>
      <w:r>
        <w:rPr>
          <w:rFonts w:hint="eastAsia" w:ascii="楷体_GB2312" w:hAnsi="楷体_GB2312" w:eastAsia="楷体_GB2312" w:cs="楷体_GB2312"/>
          <w:b/>
          <w:bCs/>
          <w:sz w:val="32"/>
          <w:szCs w:val="32"/>
          <w:lang w:val="en-US" w:eastAsia="zh-CN"/>
        </w:rPr>
        <w:t>1</w:t>
      </w:r>
      <w:r>
        <w:rPr>
          <w:rFonts w:hint="eastAsia" w:ascii="楷体_GB2312" w:hAnsi="楷体_GB2312" w:eastAsia="楷体_GB2312" w:cs="楷体_GB2312"/>
          <w:b/>
          <w:bCs/>
          <w:sz w:val="32"/>
          <w:szCs w:val="32"/>
        </w:rPr>
        <w:t>年部门预算收支情况</w:t>
      </w:r>
    </w:p>
    <w:p>
      <w:pPr>
        <w:spacing w:line="54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一、部门预算收支总体情况说明</w:t>
      </w:r>
    </w:p>
    <w:p>
      <w:pPr>
        <w:spacing w:line="54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w:t>
      </w:r>
      <w:r>
        <w:rPr>
          <w:rFonts w:hint="eastAsia" w:ascii="楷体_GB2312" w:hAnsi="楷体_GB2312" w:eastAsia="楷体_GB2312" w:cs="楷体_GB2312"/>
          <w:color w:val="000000"/>
          <w:sz w:val="32"/>
          <w:szCs w:val="32"/>
        </w:rPr>
        <w:t>一般公共预算财政拨款收支情况说明</w:t>
      </w:r>
    </w:p>
    <w:p>
      <w:pPr>
        <w:spacing w:line="54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三、202</w:t>
      </w:r>
      <w:r>
        <w:rPr>
          <w:rFonts w:hint="eastAsia" w:ascii="楷体_GB2312" w:hAnsi="楷体_GB2312" w:eastAsia="楷体_GB2312" w:cs="楷体_GB2312"/>
          <w:sz w:val="32"/>
          <w:szCs w:val="32"/>
          <w:lang w:val="en-US" w:eastAsia="zh-CN"/>
        </w:rPr>
        <w:t>1</w:t>
      </w:r>
      <w:r>
        <w:rPr>
          <w:rFonts w:hint="eastAsia" w:ascii="楷体_GB2312" w:hAnsi="楷体_GB2312" w:eastAsia="楷体_GB2312" w:cs="楷体_GB2312"/>
          <w:sz w:val="32"/>
          <w:szCs w:val="32"/>
        </w:rPr>
        <w:t>年“三公”经费财政预算安排情况</w:t>
      </w:r>
      <w:r>
        <w:rPr>
          <w:rFonts w:hint="eastAsia" w:ascii="楷体_GB2312" w:hAnsi="黑体" w:eastAsia="楷体_GB2312"/>
          <w:color w:val="000000"/>
          <w:sz w:val="32"/>
          <w:szCs w:val="32"/>
        </w:rPr>
        <w:t>说明</w:t>
      </w:r>
    </w:p>
    <w:p>
      <w:pPr>
        <w:adjustRightInd w:val="0"/>
        <w:snapToGrid w:val="0"/>
        <w:spacing w:line="540" w:lineRule="exact"/>
        <w:ind w:firstLine="640" w:firstLineChars="200"/>
        <w:rPr>
          <w:rFonts w:hint="eastAsia" w:ascii="楷体_GB2312" w:hAnsi="黑体" w:eastAsia="楷体_GB2312"/>
          <w:color w:val="000000"/>
          <w:sz w:val="32"/>
          <w:szCs w:val="32"/>
        </w:rPr>
      </w:pPr>
      <w:r>
        <w:rPr>
          <w:rFonts w:hint="eastAsia" w:ascii="楷体_GB2312" w:hAnsi="黑体" w:eastAsia="楷体_GB2312"/>
          <w:color w:val="000000"/>
          <w:sz w:val="32"/>
          <w:szCs w:val="32"/>
        </w:rPr>
        <w:t>四、机关运行经费安排情况说明</w:t>
      </w:r>
    </w:p>
    <w:p>
      <w:pPr>
        <w:adjustRightInd w:val="0"/>
        <w:snapToGrid w:val="0"/>
        <w:spacing w:line="540" w:lineRule="exact"/>
        <w:ind w:firstLine="640" w:firstLineChars="200"/>
        <w:rPr>
          <w:rFonts w:hint="eastAsia" w:ascii="楷体_GB2312" w:hAnsi="黑体" w:eastAsia="楷体_GB2312"/>
          <w:color w:val="000000"/>
          <w:sz w:val="32"/>
          <w:szCs w:val="32"/>
        </w:rPr>
      </w:pPr>
      <w:r>
        <w:rPr>
          <w:rFonts w:hint="eastAsia" w:ascii="楷体_GB2312" w:hAnsi="黑体" w:eastAsia="楷体_GB2312"/>
          <w:color w:val="000000"/>
          <w:sz w:val="32"/>
          <w:szCs w:val="32"/>
        </w:rPr>
        <w:t>五、政府采购预算情况说明</w:t>
      </w:r>
    </w:p>
    <w:p>
      <w:pPr>
        <w:spacing w:line="540" w:lineRule="exact"/>
        <w:ind w:firstLine="640"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sz w:val="32"/>
          <w:szCs w:val="32"/>
        </w:rPr>
        <w:t>六、政府性基金预算财政拨款支出情况</w:t>
      </w:r>
      <w:r>
        <w:rPr>
          <w:rFonts w:hint="eastAsia" w:ascii="楷体_GB2312" w:hAnsi="黑体" w:eastAsia="楷体_GB2312"/>
          <w:color w:val="000000"/>
          <w:sz w:val="32"/>
          <w:szCs w:val="32"/>
        </w:rPr>
        <w:t>说明</w:t>
      </w:r>
    </w:p>
    <w:p>
      <w:pPr>
        <w:rPr>
          <w:rFonts w:hint="eastAsia" w:ascii="楷体_GB2312" w:hAnsi="楷体_GB2312" w:eastAsia="楷体_GB2312" w:cs="楷体_GB2312"/>
          <w:b/>
          <w:bCs/>
          <w:sz w:val="32"/>
          <w:szCs w:val="32"/>
        </w:rPr>
      </w:pPr>
    </w:p>
    <w:p>
      <w:pPr>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第三部分  其他公开事项</w:t>
      </w:r>
    </w:p>
    <w:p>
      <w:pPr>
        <w:spacing w:line="54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w:t>
      </w:r>
      <w:r>
        <w:rPr>
          <w:rFonts w:hint="eastAsia" w:ascii="楷体_GB2312" w:hAnsi="黑体" w:eastAsia="楷体_GB2312"/>
          <w:sz w:val="32"/>
          <w:szCs w:val="32"/>
        </w:rPr>
        <w:t>项目支出绩效目标情况说明</w:t>
      </w:r>
    </w:p>
    <w:p>
      <w:pPr>
        <w:spacing w:line="540" w:lineRule="exact"/>
        <w:ind w:firstLine="640" w:firstLineChars="200"/>
        <w:rPr>
          <w:rFonts w:hint="eastAsia" w:ascii="楷体_GB2312" w:hAnsi="楷体_GB2312" w:eastAsia="楷体_GB2312" w:cs="楷体_GB2312"/>
          <w:sz w:val="32"/>
          <w:szCs w:val="32"/>
          <w:highlight w:val="yellow"/>
        </w:rPr>
      </w:pPr>
      <w:r>
        <w:rPr>
          <w:rFonts w:hint="eastAsia" w:ascii="楷体_GB2312" w:hAnsi="楷体_GB2312" w:eastAsia="楷体_GB2312" w:cs="楷体_GB2312"/>
          <w:sz w:val="32"/>
          <w:szCs w:val="32"/>
        </w:rPr>
        <w:t>二、国有资产占有使用情况</w:t>
      </w:r>
      <w:r>
        <w:rPr>
          <w:rFonts w:hint="eastAsia" w:ascii="楷体_GB2312" w:hAnsi="黑体" w:eastAsia="楷体_GB2312"/>
          <w:color w:val="000000"/>
          <w:sz w:val="32"/>
          <w:szCs w:val="32"/>
        </w:rPr>
        <w:t>说明</w:t>
      </w:r>
    </w:p>
    <w:p>
      <w:pPr>
        <w:spacing w:line="540" w:lineRule="exact"/>
        <w:rPr>
          <w:rFonts w:hint="eastAsia" w:ascii="楷体_GB2312" w:hAnsi="楷体_GB2312" w:eastAsia="楷体_GB2312" w:cs="楷体_GB2312"/>
          <w:b/>
          <w:bCs/>
          <w:sz w:val="32"/>
          <w:szCs w:val="32"/>
        </w:rPr>
      </w:pPr>
    </w:p>
    <w:p>
      <w:pPr>
        <w:spacing w:line="540" w:lineRule="exact"/>
        <w:rPr>
          <w:rFonts w:hint="eastAsia" w:ascii="楷体_GB2312" w:hAnsi="楷体_GB2312" w:eastAsia="楷体_GB2312" w:cs="楷体_GB2312"/>
          <w:b/>
          <w:bCs/>
          <w:sz w:val="32"/>
          <w:szCs w:val="32"/>
        </w:rPr>
      </w:pPr>
    </w:p>
    <w:p>
      <w:pPr>
        <w:spacing w:line="540" w:lineRule="exact"/>
        <w:rPr>
          <w:rFonts w:hint="eastAsia" w:ascii="楷体_GB2312" w:hAnsi="黑体" w:eastAsia="楷体_GB2312"/>
          <w:b/>
          <w:color w:val="000000"/>
          <w:sz w:val="32"/>
          <w:szCs w:val="32"/>
        </w:rPr>
      </w:pPr>
      <w:r>
        <w:rPr>
          <w:rFonts w:hint="eastAsia" w:ascii="楷体_GB2312" w:hAnsi="楷体_GB2312" w:eastAsia="楷体_GB2312" w:cs="楷体_GB2312"/>
          <w:b/>
          <w:bCs/>
          <w:sz w:val="32"/>
          <w:szCs w:val="32"/>
        </w:rPr>
        <w:t>第四部分  名词解释</w:t>
      </w:r>
    </w:p>
    <w:p>
      <w:pPr>
        <w:adjustRightInd w:val="0"/>
        <w:snapToGrid w:val="0"/>
        <w:spacing w:line="560" w:lineRule="exact"/>
        <w:rPr>
          <w:rFonts w:hint="eastAsia" w:ascii="楷体_GB2312" w:hAnsi="黑体" w:eastAsia="楷体_GB2312"/>
          <w:b/>
          <w:color w:val="000000"/>
          <w:sz w:val="32"/>
          <w:szCs w:val="32"/>
        </w:rPr>
      </w:pPr>
    </w:p>
    <w:p>
      <w:pPr>
        <w:adjustRightInd w:val="0"/>
        <w:snapToGrid w:val="0"/>
        <w:spacing w:line="560" w:lineRule="exact"/>
        <w:rPr>
          <w:rFonts w:hint="eastAsia" w:ascii="楷体_GB2312" w:hAnsi="黑体" w:eastAsia="楷体_GB2312"/>
          <w:b/>
          <w:color w:val="000000"/>
          <w:sz w:val="32"/>
          <w:szCs w:val="32"/>
        </w:rPr>
      </w:pPr>
      <w:r>
        <w:rPr>
          <w:rFonts w:hint="eastAsia" w:ascii="楷体_GB2312" w:hAnsi="黑体" w:eastAsia="楷体_GB2312"/>
          <w:b/>
          <w:color w:val="000000"/>
          <w:sz w:val="32"/>
          <w:szCs w:val="32"/>
        </w:rPr>
        <w:t>第五部分  预算公开联系方式及信息反馈渠道</w:t>
      </w:r>
    </w:p>
    <w:p>
      <w:pPr>
        <w:adjustRightInd w:val="0"/>
        <w:snapToGrid w:val="0"/>
        <w:spacing w:line="560" w:lineRule="exact"/>
        <w:rPr>
          <w:rFonts w:hint="eastAsia" w:ascii="楷体_GB2312" w:hAnsi="黑体" w:eastAsia="楷体_GB2312"/>
          <w:b/>
          <w:color w:val="000000"/>
          <w:sz w:val="32"/>
          <w:szCs w:val="32"/>
        </w:rPr>
      </w:pPr>
    </w:p>
    <w:p>
      <w:pPr>
        <w:adjustRightInd w:val="0"/>
        <w:snapToGrid w:val="0"/>
        <w:spacing w:line="560" w:lineRule="exact"/>
        <w:rPr>
          <w:rFonts w:hint="eastAsia" w:ascii="楷体_GB2312" w:hAnsi="黑体" w:eastAsia="楷体_GB2312"/>
          <w:b/>
          <w:color w:val="000000"/>
          <w:sz w:val="32"/>
          <w:szCs w:val="32"/>
        </w:rPr>
      </w:pPr>
    </w:p>
    <w:p>
      <w:pPr>
        <w:adjustRightInd w:val="0"/>
        <w:snapToGrid w:val="0"/>
        <w:spacing w:line="560" w:lineRule="exact"/>
        <w:rPr>
          <w:rFonts w:hint="eastAsia" w:ascii="楷体_GB2312" w:hAnsi="黑体" w:eastAsia="楷体_GB2312"/>
          <w:b/>
          <w:color w:val="000000"/>
          <w:sz w:val="32"/>
          <w:szCs w:val="32"/>
        </w:rPr>
      </w:pPr>
      <w:r>
        <w:rPr>
          <w:rFonts w:hint="eastAsia" w:ascii="楷体_GB2312" w:hAnsi="黑体" w:eastAsia="楷体_GB2312"/>
          <w:b/>
          <w:color w:val="000000"/>
          <w:sz w:val="32"/>
          <w:szCs w:val="32"/>
        </w:rPr>
        <w:t>第六部分  202</w:t>
      </w:r>
      <w:r>
        <w:rPr>
          <w:rFonts w:hint="eastAsia" w:ascii="楷体_GB2312" w:hAnsi="黑体" w:eastAsia="楷体_GB2312"/>
          <w:b/>
          <w:color w:val="000000"/>
          <w:sz w:val="32"/>
          <w:szCs w:val="32"/>
          <w:lang w:val="en-US" w:eastAsia="zh-CN"/>
        </w:rPr>
        <w:t>1</w:t>
      </w:r>
      <w:r>
        <w:rPr>
          <w:rFonts w:hint="eastAsia" w:ascii="楷体_GB2312" w:hAnsi="黑体" w:eastAsia="楷体_GB2312"/>
          <w:b/>
          <w:color w:val="000000"/>
          <w:sz w:val="32"/>
          <w:szCs w:val="32"/>
        </w:rPr>
        <w:t>年部门预算公开表</w:t>
      </w:r>
    </w:p>
    <w:p>
      <w:pPr>
        <w:adjustRightInd w:val="0"/>
        <w:snapToGrid w:val="0"/>
        <w:spacing w:line="560" w:lineRule="exact"/>
        <w:ind w:firstLine="640" w:firstLineChars="200"/>
        <w:rPr>
          <w:rFonts w:hint="eastAsia" w:ascii="楷体_GB2312" w:hAnsi="黑体" w:eastAsia="楷体_GB2312"/>
          <w:color w:val="000000"/>
          <w:sz w:val="32"/>
          <w:szCs w:val="32"/>
        </w:rPr>
      </w:pPr>
      <w:r>
        <w:rPr>
          <w:rFonts w:hint="eastAsia" w:ascii="楷体_GB2312" w:hAnsi="黑体" w:eastAsia="楷体_GB2312"/>
          <w:color w:val="000000"/>
          <w:sz w:val="32"/>
          <w:szCs w:val="32"/>
        </w:rPr>
        <w:t>一、202</w:t>
      </w:r>
      <w:r>
        <w:rPr>
          <w:rFonts w:hint="eastAsia" w:ascii="楷体_GB2312" w:hAnsi="黑体" w:eastAsia="楷体_GB2312"/>
          <w:color w:val="000000"/>
          <w:sz w:val="32"/>
          <w:szCs w:val="32"/>
          <w:lang w:val="en-US" w:eastAsia="zh-CN"/>
        </w:rPr>
        <w:t>1</w:t>
      </w:r>
      <w:r>
        <w:rPr>
          <w:rFonts w:hint="eastAsia" w:ascii="楷体_GB2312" w:hAnsi="黑体" w:eastAsia="楷体_GB2312"/>
          <w:color w:val="000000"/>
          <w:sz w:val="32"/>
          <w:szCs w:val="32"/>
        </w:rPr>
        <w:t>财政拨款收支预算总表</w:t>
      </w:r>
    </w:p>
    <w:p>
      <w:pPr>
        <w:adjustRightInd w:val="0"/>
        <w:snapToGrid w:val="0"/>
        <w:spacing w:line="560" w:lineRule="exact"/>
        <w:ind w:firstLine="640" w:firstLineChars="200"/>
        <w:rPr>
          <w:rFonts w:hint="eastAsia" w:ascii="楷体_GB2312" w:hAnsi="黑体" w:eastAsia="楷体_GB2312"/>
          <w:color w:val="000000"/>
          <w:sz w:val="32"/>
          <w:szCs w:val="32"/>
        </w:rPr>
      </w:pPr>
      <w:r>
        <w:rPr>
          <w:rFonts w:hint="eastAsia" w:ascii="楷体_GB2312" w:hAnsi="黑体" w:eastAsia="楷体_GB2312"/>
          <w:color w:val="000000"/>
          <w:sz w:val="32"/>
          <w:szCs w:val="32"/>
        </w:rPr>
        <w:t>二、202</w:t>
      </w:r>
      <w:r>
        <w:rPr>
          <w:rFonts w:hint="eastAsia" w:ascii="楷体_GB2312" w:hAnsi="黑体" w:eastAsia="楷体_GB2312"/>
          <w:color w:val="000000"/>
          <w:sz w:val="32"/>
          <w:szCs w:val="32"/>
          <w:lang w:val="en-US" w:eastAsia="zh-CN"/>
        </w:rPr>
        <w:t>1</w:t>
      </w:r>
      <w:r>
        <w:rPr>
          <w:rFonts w:hint="eastAsia" w:ascii="楷体_GB2312" w:hAnsi="黑体" w:eastAsia="楷体_GB2312"/>
          <w:color w:val="000000"/>
          <w:sz w:val="32"/>
          <w:szCs w:val="32"/>
        </w:rPr>
        <w:t>年一般公共预算财政拨款支出预算表</w:t>
      </w:r>
    </w:p>
    <w:p>
      <w:pPr>
        <w:adjustRightInd w:val="0"/>
        <w:snapToGrid w:val="0"/>
        <w:spacing w:line="560" w:lineRule="exact"/>
        <w:ind w:firstLine="640" w:firstLineChars="200"/>
        <w:rPr>
          <w:rFonts w:hint="eastAsia" w:ascii="楷体_GB2312" w:hAnsi="黑体" w:eastAsia="楷体_GB2312"/>
          <w:color w:val="000000"/>
          <w:sz w:val="32"/>
          <w:szCs w:val="32"/>
        </w:rPr>
      </w:pPr>
      <w:r>
        <w:rPr>
          <w:rFonts w:hint="eastAsia" w:ascii="楷体_GB2312" w:hAnsi="黑体" w:eastAsia="楷体_GB2312"/>
          <w:color w:val="000000"/>
          <w:sz w:val="32"/>
          <w:szCs w:val="32"/>
        </w:rPr>
        <w:t>三、202</w:t>
      </w:r>
      <w:r>
        <w:rPr>
          <w:rFonts w:hint="eastAsia" w:ascii="楷体_GB2312" w:hAnsi="黑体" w:eastAsia="楷体_GB2312"/>
          <w:color w:val="000000"/>
          <w:sz w:val="32"/>
          <w:szCs w:val="32"/>
          <w:lang w:val="en-US" w:eastAsia="zh-CN"/>
        </w:rPr>
        <w:t>1</w:t>
      </w:r>
      <w:r>
        <w:rPr>
          <w:rFonts w:hint="eastAsia" w:ascii="楷体_GB2312" w:hAnsi="黑体" w:eastAsia="楷体_GB2312"/>
          <w:color w:val="000000"/>
          <w:sz w:val="32"/>
          <w:szCs w:val="32"/>
        </w:rPr>
        <w:t>年一般公共预算财政拨款基本支出预算表</w:t>
      </w:r>
    </w:p>
    <w:p>
      <w:pPr>
        <w:adjustRightInd w:val="0"/>
        <w:snapToGrid w:val="0"/>
        <w:spacing w:line="560" w:lineRule="exact"/>
        <w:ind w:firstLine="640" w:firstLineChars="200"/>
        <w:rPr>
          <w:rFonts w:hint="eastAsia" w:ascii="楷体_GB2312" w:hAnsi="黑体" w:eastAsia="楷体_GB2312"/>
          <w:color w:val="000000"/>
          <w:sz w:val="32"/>
          <w:szCs w:val="32"/>
        </w:rPr>
      </w:pPr>
      <w:r>
        <w:rPr>
          <w:rFonts w:hint="eastAsia" w:ascii="楷体_GB2312" w:hAnsi="黑体" w:eastAsia="楷体_GB2312"/>
          <w:color w:val="000000"/>
          <w:sz w:val="32"/>
          <w:szCs w:val="32"/>
        </w:rPr>
        <w:t>四、部门收支预算总表</w:t>
      </w:r>
    </w:p>
    <w:p>
      <w:pPr>
        <w:adjustRightInd w:val="0"/>
        <w:snapToGrid w:val="0"/>
        <w:spacing w:line="560" w:lineRule="exact"/>
        <w:ind w:firstLine="640" w:firstLineChars="200"/>
        <w:rPr>
          <w:rFonts w:hint="eastAsia" w:ascii="楷体_GB2312" w:hAnsi="黑体" w:eastAsia="楷体_GB2312"/>
          <w:color w:val="000000"/>
          <w:sz w:val="32"/>
          <w:szCs w:val="32"/>
        </w:rPr>
      </w:pPr>
      <w:r>
        <w:rPr>
          <w:rFonts w:hint="eastAsia" w:ascii="楷体_GB2312" w:hAnsi="黑体" w:eastAsia="楷体_GB2312"/>
          <w:color w:val="000000"/>
          <w:sz w:val="32"/>
          <w:szCs w:val="32"/>
        </w:rPr>
        <w:t>五、部门收入预算总表</w:t>
      </w:r>
    </w:p>
    <w:p>
      <w:pPr>
        <w:adjustRightInd w:val="0"/>
        <w:snapToGrid w:val="0"/>
        <w:spacing w:line="560" w:lineRule="exact"/>
        <w:ind w:firstLine="640" w:firstLineChars="200"/>
        <w:rPr>
          <w:rFonts w:hint="eastAsia" w:ascii="楷体_GB2312" w:hAnsi="黑体" w:eastAsia="楷体_GB2312"/>
          <w:color w:val="000000"/>
          <w:sz w:val="32"/>
          <w:szCs w:val="32"/>
        </w:rPr>
      </w:pPr>
      <w:r>
        <w:rPr>
          <w:rFonts w:hint="eastAsia" w:ascii="楷体_GB2312" w:hAnsi="黑体" w:eastAsia="楷体_GB2312"/>
          <w:color w:val="000000"/>
          <w:sz w:val="32"/>
          <w:szCs w:val="32"/>
        </w:rPr>
        <w:t>六、部门支出预算总表</w:t>
      </w:r>
    </w:p>
    <w:p>
      <w:pPr>
        <w:adjustRightInd w:val="0"/>
        <w:snapToGrid w:val="0"/>
        <w:spacing w:line="560" w:lineRule="exact"/>
        <w:ind w:firstLine="640" w:firstLineChars="200"/>
        <w:rPr>
          <w:rFonts w:hint="eastAsia" w:ascii="楷体_GB2312" w:hAnsi="黑体" w:eastAsia="楷体_GB2312"/>
          <w:color w:val="000000"/>
          <w:sz w:val="32"/>
          <w:szCs w:val="32"/>
        </w:rPr>
      </w:pPr>
      <w:r>
        <w:rPr>
          <w:rFonts w:hint="eastAsia" w:ascii="楷体_GB2312" w:hAnsi="黑体" w:eastAsia="楷体_GB2312"/>
          <w:color w:val="000000"/>
          <w:sz w:val="32"/>
          <w:szCs w:val="32"/>
        </w:rPr>
        <w:t>七、政府性基金预算财政拨款支出预算表</w:t>
      </w:r>
    </w:p>
    <w:p>
      <w:pPr>
        <w:adjustRightInd w:val="0"/>
        <w:snapToGrid w:val="0"/>
        <w:spacing w:line="560" w:lineRule="exact"/>
        <w:ind w:firstLine="640" w:firstLineChars="200"/>
        <w:rPr>
          <w:rFonts w:hint="eastAsia" w:ascii="楷体_GB2312" w:hAnsi="黑体" w:eastAsia="楷体_GB2312"/>
          <w:color w:val="000000"/>
          <w:sz w:val="32"/>
          <w:szCs w:val="32"/>
        </w:rPr>
      </w:pPr>
      <w:r>
        <w:rPr>
          <w:rFonts w:hint="eastAsia" w:ascii="楷体_GB2312" w:hAnsi="黑体" w:eastAsia="楷体_GB2312"/>
          <w:color w:val="000000"/>
          <w:sz w:val="32"/>
          <w:szCs w:val="32"/>
        </w:rPr>
        <w:t>八、财政拨款“三公”经费支出预算表</w:t>
      </w:r>
    </w:p>
    <w:p>
      <w:pPr>
        <w:adjustRightInd w:val="0"/>
        <w:snapToGrid w:val="0"/>
        <w:spacing w:line="560" w:lineRule="exact"/>
        <w:ind w:firstLine="640" w:firstLineChars="200"/>
        <w:rPr>
          <w:rFonts w:hint="eastAsia" w:ascii="楷体_GB2312" w:hAnsi="黑体" w:eastAsia="楷体_GB2312"/>
          <w:color w:val="000000"/>
          <w:sz w:val="32"/>
          <w:szCs w:val="32"/>
        </w:rPr>
      </w:pPr>
      <w:r>
        <w:rPr>
          <w:rFonts w:hint="eastAsia" w:ascii="楷体_GB2312" w:hAnsi="黑体" w:eastAsia="楷体_GB2312"/>
          <w:color w:val="000000"/>
          <w:sz w:val="32"/>
          <w:szCs w:val="32"/>
        </w:rPr>
        <w:t>九、202</w:t>
      </w:r>
      <w:r>
        <w:rPr>
          <w:rFonts w:hint="eastAsia" w:ascii="楷体_GB2312" w:hAnsi="黑体" w:eastAsia="楷体_GB2312"/>
          <w:color w:val="000000"/>
          <w:sz w:val="32"/>
          <w:szCs w:val="32"/>
          <w:lang w:val="en-US" w:eastAsia="zh-CN"/>
        </w:rPr>
        <w:t>1</w:t>
      </w:r>
      <w:r>
        <w:rPr>
          <w:rFonts w:hint="eastAsia" w:ascii="楷体_GB2312" w:hAnsi="黑体" w:eastAsia="楷体_GB2312"/>
          <w:color w:val="000000"/>
          <w:sz w:val="32"/>
          <w:szCs w:val="32"/>
        </w:rPr>
        <w:t>年政府采购预算表</w:t>
      </w:r>
    </w:p>
    <w:p>
      <w:pPr>
        <w:adjustRightInd w:val="0"/>
        <w:snapToGrid w:val="0"/>
        <w:spacing w:line="560" w:lineRule="exact"/>
        <w:ind w:firstLine="640" w:firstLineChars="200"/>
        <w:rPr>
          <w:rFonts w:hint="eastAsia" w:ascii="楷体_GB2312" w:hAnsi="黑体" w:eastAsia="楷体_GB2312"/>
          <w:color w:val="000000"/>
          <w:sz w:val="32"/>
          <w:szCs w:val="32"/>
        </w:rPr>
      </w:pPr>
      <w:r>
        <w:rPr>
          <w:rFonts w:hint="eastAsia" w:ascii="楷体_GB2312" w:hAnsi="黑体" w:eastAsia="楷体_GB2312"/>
          <w:color w:val="000000"/>
          <w:sz w:val="32"/>
          <w:szCs w:val="32"/>
        </w:rPr>
        <w:t>十、202</w:t>
      </w:r>
      <w:r>
        <w:rPr>
          <w:rFonts w:hint="eastAsia" w:ascii="楷体_GB2312" w:hAnsi="黑体" w:eastAsia="楷体_GB2312"/>
          <w:color w:val="000000"/>
          <w:sz w:val="32"/>
          <w:szCs w:val="32"/>
          <w:lang w:val="en-US" w:eastAsia="zh-CN"/>
        </w:rPr>
        <w:t>1</w:t>
      </w:r>
      <w:r>
        <w:rPr>
          <w:rFonts w:hint="eastAsia" w:ascii="楷体_GB2312" w:hAnsi="黑体" w:eastAsia="楷体_GB2312"/>
          <w:color w:val="000000"/>
          <w:sz w:val="32"/>
          <w:szCs w:val="32"/>
        </w:rPr>
        <w:t>年一般性支出经费预算表</w:t>
      </w:r>
    </w:p>
    <w:p>
      <w:pPr>
        <w:adjustRightInd w:val="0"/>
        <w:snapToGrid w:val="0"/>
        <w:spacing w:line="560" w:lineRule="exact"/>
        <w:ind w:firstLine="640" w:firstLineChars="200"/>
        <w:rPr>
          <w:rFonts w:hint="eastAsia" w:ascii="楷体_GB2312" w:hAnsi="黑体" w:eastAsia="楷体_GB2312"/>
          <w:color w:val="000000"/>
          <w:sz w:val="32"/>
          <w:szCs w:val="32"/>
        </w:rPr>
      </w:pPr>
      <w:r>
        <w:rPr>
          <w:rFonts w:hint="eastAsia" w:ascii="楷体_GB2312" w:hAnsi="黑体" w:eastAsia="楷体_GB2312"/>
          <w:color w:val="000000"/>
          <w:sz w:val="32"/>
          <w:szCs w:val="32"/>
        </w:rPr>
        <w:t>十一、项目支出绩效目标申报表</w:t>
      </w:r>
    </w:p>
    <w:p>
      <w:pPr>
        <w:spacing w:line="560" w:lineRule="exact"/>
        <w:jc w:val="center"/>
        <w:rPr>
          <w:rFonts w:hint="eastAsia" w:ascii="楷体_GB2312" w:hAnsi="楷体_GB2312" w:eastAsia="楷体_GB2312" w:cs="楷体_GB2312"/>
          <w:b/>
          <w:bCs/>
          <w:sz w:val="32"/>
          <w:szCs w:val="32"/>
        </w:rPr>
      </w:pPr>
    </w:p>
    <w:p>
      <w:pPr>
        <w:spacing w:line="560" w:lineRule="exact"/>
        <w:jc w:val="center"/>
        <w:rPr>
          <w:rFonts w:hint="eastAsia" w:ascii="楷体_GB2312" w:hAnsi="楷体_GB2312" w:eastAsia="楷体_GB2312" w:cs="楷体_GB2312"/>
          <w:b/>
          <w:bCs/>
          <w:sz w:val="32"/>
          <w:szCs w:val="32"/>
        </w:rPr>
      </w:pPr>
    </w:p>
    <w:p>
      <w:pPr>
        <w:spacing w:line="560" w:lineRule="exact"/>
        <w:jc w:val="center"/>
        <w:rPr>
          <w:rFonts w:hint="eastAsia" w:ascii="楷体_GB2312" w:hAnsi="楷体_GB2312" w:eastAsia="楷体_GB2312" w:cs="楷体_GB2312"/>
          <w:b/>
          <w:bCs/>
          <w:sz w:val="32"/>
          <w:szCs w:val="32"/>
        </w:rPr>
      </w:pPr>
    </w:p>
    <w:p>
      <w:pPr>
        <w:spacing w:line="560" w:lineRule="exact"/>
        <w:jc w:val="center"/>
        <w:rPr>
          <w:rFonts w:hint="eastAsia" w:ascii="楷体_GB2312" w:hAnsi="楷体_GB2312" w:eastAsia="楷体_GB2312" w:cs="楷体_GB2312"/>
          <w:b/>
          <w:bCs/>
          <w:sz w:val="32"/>
          <w:szCs w:val="32"/>
        </w:rPr>
      </w:pPr>
    </w:p>
    <w:p>
      <w:pPr>
        <w:spacing w:line="560" w:lineRule="exact"/>
        <w:jc w:val="center"/>
        <w:rPr>
          <w:rFonts w:hint="eastAsia" w:ascii="楷体_GB2312" w:hAnsi="楷体_GB2312" w:eastAsia="楷体_GB2312" w:cs="楷体_GB2312"/>
          <w:b/>
          <w:bCs/>
          <w:sz w:val="32"/>
          <w:szCs w:val="32"/>
        </w:rPr>
      </w:pPr>
    </w:p>
    <w:p>
      <w:pPr>
        <w:adjustRightInd w:val="0"/>
        <w:snapToGrid w:val="0"/>
        <w:spacing w:line="560" w:lineRule="exact"/>
        <w:ind w:firstLine="640" w:firstLineChars="200"/>
        <w:rPr>
          <w:rFonts w:hint="eastAsia" w:ascii="楷体_GB2312" w:hAnsi="黑体" w:eastAsia="楷体_GB2312"/>
          <w:color w:val="000000"/>
          <w:sz w:val="32"/>
          <w:szCs w:val="32"/>
        </w:rPr>
      </w:pPr>
    </w:p>
    <w:p>
      <w:pPr>
        <w:adjustRightInd w:val="0"/>
        <w:snapToGrid w:val="0"/>
        <w:spacing w:line="560" w:lineRule="exact"/>
        <w:ind w:firstLine="640" w:firstLineChars="200"/>
        <w:rPr>
          <w:rFonts w:hint="eastAsia" w:ascii="楷体_GB2312" w:hAnsi="黑体" w:eastAsia="楷体_GB2312"/>
          <w:color w:val="000000"/>
          <w:sz w:val="32"/>
          <w:szCs w:val="32"/>
        </w:rPr>
      </w:pPr>
    </w:p>
    <w:p>
      <w:pPr>
        <w:adjustRightInd w:val="0"/>
        <w:snapToGrid w:val="0"/>
        <w:spacing w:line="560" w:lineRule="exact"/>
        <w:ind w:firstLine="640" w:firstLineChars="200"/>
        <w:rPr>
          <w:rFonts w:hint="eastAsia" w:ascii="楷体_GB2312" w:hAnsi="黑体" w:eastAsia="楷体_GB2312"/>
          <w:color w:val="000000"/>
          <w:sz w:val="32"/>
          <w:szCs w:val="32"/>
        </w:rPr>
      </w:pPr>
    </w:p>
    <w:p>
      <w:pPr>
        <w:adjustRightInd w:val="0"/>
        <w:snapToGrid w:val="0"/>
        <w:spacing w:line="560" w:lineRule="exact"/>
        <w:ind w:firstLine="640" w:firstLineChars="200"/>
        <w:rPr>
          <w:rFonts w:hint="eastAsia" w:ascii="楷体_GB2312" w:hAnsi="黑体" w:eastAsia="楷体_GB2312"/>
          <w:color w:val="000000"/>
          <w:sz w:val="32"/>
          <w:szCs w:val="32"/>
        </w:rPr>
      </w:pPr>
    </w:p>
    <w:p>
      <w:pPr>
        <w:adjustRightInd w:val="0"/>
        <w:snapToGrid w:val="0"/>
        <w:spacing w:line="560" w:lineRule="exact"/>
        <w:ind w:firstLine="640" w:firstLineChars="200"/>
        <w:rPr>
          <w:rFonts w:hint="eastAsia" w:ascii="楷体_GB2312" w:hAnsi="黑体" w:eastAsia="楷体_GB2312"/>
          <w:color w:val="000000"/>
          <w:sz w:val="32"/>
          <w:szCs w:val="32"/>
        </w:rPr>
      </w:pPr>
    </w:p>
    <w:p>
      <w:pPr>
        <w:adjustRightInd w:val="0"/>
        <w:snapToGrid w:val="0"/>
        <w:spacing w:line="560" w:lineRule="exact"/>
        <w:ind w:firstLine="640" w:firstLineChars="200"/>
        <w:rPr>
          <w:rFonts w:hint="eastAsia" w:ascii="楷体_GB2312" w:hAnsi="黑体" w:eastAsia="楷体_GB2312"/>
          <w:color w:val="000000"/>
          <w:sz w:val="32"/>
          <w:szCs w:val="32"/>
        </w:rPr>
      </w:pPr>
    </w:p>
    <w:p>
      <w:pPr>
        <w:adjustRightInd w:val="0"/>
        <w:snapToGrid w:val="0"/>
        <w:spacing w:line="560" w:lineRule="exact"/>
        <w:ind w:firstLine="640" w:firstLineChars="200"/>
        <w:rPr>
          <w:rFonts w:hint="eastAsia" w:ascii="楷体_GB2312" w:hAnsi="黑体" w:eastAsia="楷体_GB2312"/>
          <w:color w:val="000000"/>
          <w:sz w:val="32"/>
          <w:szCs w:val="32"/>
        </w:rPr>
      </w:pPr>
    </w:p>
    <w:p>
      <w:pPr>
        <w:spacing w:line="560" w:lineRule="exact"/>
        <w:rPr>
          <w:rFonts w:hint="eastAsia" w:ascii="楷体_GB2312" w:hAnsi="楷体_GB2312" w:eastAsia="楷体_GB2312" w:cs="楷体_GB2312"/>
          <w:b/>
          <w:bCs/>
          <w:sz w:val="32"/>
          <w:szCs w:val="32"/>
        </w:rPr>
      </w:pPr>
    </w:p>
    <w:p>
      <w:pPr>
        <w:spacing w:line="560" w:lineRule="exact"/>
        <w:rPr>
          <w:rFonts w:hint="eastAsia" w:ascii="楷体_GB2312" w:hAnsi="楷体_GB2312" w:eastAsia="楷体_GB2312" w:cs="楷体_GB2312"/>
          <w:b/>
          <w:bCs/>
          <w:sz w:val="32"/>
          <w:szCs w:val="32"/>
        </w:rPr>
      </w:pPr>
    </w:p>
    <w:p>
      <w:pPr>
        <w:spacing w:line="560" w:lineRule="exact"/>
        <w:jc w:val="center"/>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第一部分  本部门概况</w:t>
      </w:r>
    </w:p>
    <w:p>
      <w:pPr>
        <w:spacing w:line="560" w:lineRule="exact"/>
        <w:jc w:val="center"/>
        <w:rPr>
          <w:rFonts w:hint="eastAsia" w:ascii="楷体_GB2312" w:hAnsi="楷体_GB2312" w:eastAsia="楷体_GB2312" w:cs="楷体_GB2312"/>
          <w:b/>
          <w:bCs/>
          <w:sz w:val="32"/>
          <w:szCs w:val="32"/>
        </w:rPr>
      </w:pPr>
    </w:p>
    <w:p>
      <w:pPr>
        <w:numPr>
          <w:ilvl w:val="0"/>
          <w:numId w:val="2"/>
        </w:numPr>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主要职能、职责</w:t>
      </w:r>
    </w:p>
    <w:p>
      <w:pPr>
        <w:spacing w:line="560" w:lineRule="exact"/>
        <w:ind w:firstLine="640" w:firstLineChars="200"/>
        <w:rPr>
          <w:rFonts w:hint="eastAsia" w:ascii="楷体_GB2312" w:hAnsi="楷体_GB2312" w:eastAsia="楷体_GB2312" w:cs="楷体_GB2312"/>
          <w:sz w:val="32"/>
          <w:szCs w:val="32"/>
        </w:rPr>
      </w:pPr>
      <w:r>
        <w:rPr>
          <w:rFonts w:hint="eastAsia" w:ascii="仿宋" w:hAnsi="仿宋" w:eastAsia="仿宋" w:cs="仿宋"/>
          <w:kern w:val="0"/>
          <w:sz w:val="32"/>
          <w:szCs w:val="32"/>
        </w:rPr>
        <w:t>实施小学义务教育，促进基础教育发展，小学学历教育（相关社会服务）</w:t>
      </w:r>
    </w:p>
    <w:p>
      <w:pPr>
        <w:numPr>
          <w:ilvl w:val="0"/>
          <w:numId w:val="2"/>
        </w:numPr>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机构设置情况</w:t>
      </w:r>
    </w:p>
    <w:p>
      <w:pPr>
        <w:adjustRightInd w:val="0"/>
        <w:snapToGrid w:val="0"/>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根据旗编委机构编制方案，伊金霍洛旗阿勒腾席热镇第</w:t>
      </w:r>
      <w:r>
        <w:rPr>
          <w:rFonts w:hint="eastAsia" w:ascii="楷体_GB2312" w:hAnsi="楷体_GB2312" w:eastAsia="楷体_GB2312" w:cs="楷体_GB2312"/>
          <w:sz w:val="32"/>
          <w:szCs w:val="32"/>
          <w:lang w:val="en-US" w:eastAsia="zh-CN"/>
        </w:rPr>
        <w:t>三</w:t>
      </w:r>
      <w:r>
        <w:rPr>
          <w:rFonts w:hint="eastAsia" w:ascii="楷体_GB2312" w:hAnsi="楷体_GB2312" w:eastAsia="楷体_GB2312" w:cs="楷体_GB2312"/>
          <w:sz w:val="32"/>
          <w:szCs w:val="32"/>
        </w:rPr>
        <w:t>小学</w:t>
      </w:r>
      <w:r>
        <w:rPr>
          <w:rFonts w:hint="eastAsia" w:ascii="楷体_GB2312" w:hAnsi="楷体_GB2312" w:eastAsia="楷体_GB2312" w:cs="楷体_GB2312"/>
          <w:sz w:val="32"/>
          <w:szCs w:val="32"/>
          <w:lang w:val="en-US" w:eastAsia="zh-CN"/>
        </w:rPr>
        <w:t>隶属伊金霍洛旗教育体育局的二级</w:t>
      </w:r>
      <w:r>
        <w:rPr>
          <w:rFonts w:hint="eastAsia" w:ascii="楷体_GB2312" w:hAnsi="楷体_GB2312" w:eastAsia="楷体_GB2312" w:cs="楷体_GB2312"/>
          <w:sz w:val="32"/>
          <w:szCs w:val="32"/>
        </w:rPr>
        <w:t>股级</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val="en-US" w:eastAsia="zh-CN"/>
        </w:rPr>
        <w:t>属</w:t>
      </w:r>
      <w:r>
        <w:rPr>
          <w:rFonts w:hint="eastAsia" w:ascii="楷体_GB2312" w:hAnsi="楷体_GB2312" w:eastAsia="楷体_GB2312" w:cs="楷体_GB2312"/>
          <w:sz w:val="32"/>
          <w:szCs w:val="32"/>
        </w:rPr>
        <w:t>财政</w:t>
      </w:r>
      <w:r>
        <w:rPr>
          <w:rFonts w:hint="eastAsia" w:ascii="楷体_GB2312" w:hAnsi="楷体_GB2312" w:eastAsia="楷体_GB2312" w:cs="楷体_GB2312"/>
          <w:sz w:val="32"/>
          <w:szCs w:val="32"/>
          <w:lang w:val="en-US" w:eastAsia="zh-CN"/>
        </w:rPr>
        <w:t>全额</w:t>
      </w:r>
      <w:r>
        <w:rPr>
          <w:rFonts w:hint="eastAsia" w:ascii="楷体_GB2312" w:hAnsi="楷体_GB2312" w:eastAsia="楷体_GB2312" w:cs="楷体_GB2312"/>
          <w:sz w:val="32"/>
          <w:szCs w:val="32"/>
        </w:rPr>
        <w:t>拨款的</w:t>
      </w:r>
      <w:r>
        <w:rPr>
          <w:rFonts w:hint="eastAsia" w:ascii="楷体_GB2312" w:hAnsi="楷体_GB2312" w:eastAsia="楷体_GB2312" w:cs="楷体_GB2312"/>
          <w:sz w:val="32"/>
          <w:szCs w:val="32"/>
          <w:lang w:val="en-US" w:eastAsia="zh-CN"/>
        </w:rPr>
        <w:t>事业</w:t>
      </w:r>
      <w:r>
        <w:rPr>
          <w:rFonts w:hint="eastAsia" w:ascii="楷体_GB2312" w:hAnsi="楷体_GB2312" w:eastAsia="楷体_GB2312" w:cs="楷体_GB2312"/>
          <w:sz w:val="32"/>
          <w:szCs w:val="32"/>
        </w:rPr>
        <w:t>单位</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现有编制</w:t>
      </w:r>
      <w:r>
        <w:rPr>
          <w:rFonts w:hint="eastAsia" w:ascii="楷体_GB2312" w:hAnsi="楷体_GB2312" w:eastAsia="楷体_GB2312" w:cs="楷体_GB2312"/>
          <w:sz w:val="32"/>
          <w:szCs w:val="32"/>
          <w:lang w:val="en-US" w:eastAsia="zh-CN"/>
        </w:rPr>
        <w:t>121</w:t>
      </w:r>
      <w:r>
        <w:rPr>
          <w:rFonts w:hint="eastAsia" w:ascii="楷体_GB2312" w:hAnsi="楷体_GB2312" w:eastAsia="楷体_GB2312" w:cs="楷体_GB2312"/>
          <w:sz w:val="32"/>
          <w:szCs w:val="32"/>
        </w:rPr>
        <w:t>人，均为专业技术人员， 实发工资人数为</w:t>
      </w:r>
      <w:r>
        <w:rPr>
          <w:rFonts w:hint="eastAsia" w:ascii="楷体_GB2312" w:hAnsi="楷体_GB2312" w:eastAsia="楷体_GB2312" w:cs="楷体_GB2312"/>
          <w:sz w:val="32"/>
          <w:szCs w:val="32"/>
          <w:lang w:val="en-US" w:eastAsia="zh-CN"/>
        </w:rPr>
        <w:t>213</w:t>
      </w:r>
      <w:r>
        <w:rPr>
          <w:rFonts w:hint="eastAsia" w:ascii="楷体_GB2312" w:hAnsi="楷体_GB2312" w:eastAsia="楷体_GB2312" w:cs="楷体_GB2312"/>
          <w:sz w:val="32"/>
          <w:szCs w:val="32"/>
        </w:rPr>
        <w:t>人。</w:t>
      </w:r>
    </w:p>
    <w:p>
      <w:pPr>
        <w:spacing w:line="560" w:lineRule="exact"/>
        <w:jc w:val="center"/>
        <w:rPr>
          <w:rFonts w:hint="eastAsia" w:ascii="楷体_GB2312" w:hAnsi="楷体_GB2312" w:eastAsia="楷体_GB2312" w:cs="楷体_GB2312"/>
          <w:b/>
          <w:bCs/>
          <w:sz w:val="32"/>
          <w:szCs w:val="32"/>
        </w:rPr>
      </w:pPr>
    </w:p>
    <w:p>
      <w:pPr>
        <w:spacing w:line="560" w:lineRule="exact"/>
        <w:jc w:val="center"/>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第二部分  202</w:t>
      </w:r>
      <w:r>
        <w:rPr>
          <w:rFonts w:hint="eastAsia" w:ascii="楷体_GB2312" w:hAnsi="楷体_GB2312" w:eastAsia="楷体_GB2312" w:cs="楷体_GB2312"/>
          <w:b/>
          <w:bCs/>
          <w:sz w:val="32"/>
          <w:szCs w:val="32"/>
          <w:lang w:val="en-US" w:eastAsia="zh-CN"/>
        </w:rPr>
        <w:t>1</w:t>
      </w:r>
      <w:r>
        <w:rPr>
          <w:rFonts w:hint="eastAsia" w:ascii="楷体_GB2312" w:hAnsi="楷体_GB2312" w:eastAsia="楷体_GB2312" w:cs="楷体_GB2312"/>
          <w:b/>
          <w:bCs/>
          <w:sz w:val="32"/>
          <w:szCs w:val="32"/>
        </w:rPr>
        <w:t>年部门预算收支情况</w:t>
      </w:r>
    </w:p>
    <w:p>
      <w:pPr>
        <w:spacing w:line="560" w:lineRule="exact"/>
        <w:jc w:val="center"/>
        <w:rPr>
          <w:rFonts w:hint="eastAsia" w:ascii="楷体_GB2312" w:hAnsi="楷体_GB2312" w:eastAsia="楷体_GB2312" w:cs="楷体_GB2312"/>
          <w:b/>
          <w:bCs/>
          <w:sz w:val="32"/>
          <w:szCs w:val="32"/>
        </w:rPr>
      </w:pPr>
    </w:p>
    <w:p>
      <w:pPr>
        <w:adjustRightInd w:val="0"/>
        <w:snapToGrid w:val="0"/>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一、部门预算收支总体情况说明</w:t>
      </w:r>
    </w:p>
    <w:p>
      <w:pPr>
        <w:adjustRightInd w:val="0"/>
        <w:snapToGrid w:val="0"/>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收入预算</w:t>
      </w:r>
      <w:r>
        <w:rPr>
          <w:rFonts w:hint="eastAsia" w:ascii="楷体_GB2312" w:hAnsi="楷体_GB2312" w:eastAsia="楷体_GB2312" w:cs="楷体_GB2312"/>
          <w:sz w:val="32"/>
          <w:szCs w:val="32"/>
          <w:lang w:val="en-US" w:eastAsia="zh-CN"/>
        </w:rPr>
        <w:t>3124.85</w:t>
      </w:r>
      <w:r>
        <w:rPr>
          <w:rFonts w:hint="eastAsia" w:ascii="楷体_GB2312" w:hAnsi="楷体_GB2312" w:eastAsia="楷体_GB2312" w:cs="楷体_GB2312"/>
          <w:sz w:val="32"/>
          <w:szCs w:val="32"/>
        </w:rPr>
        <w:t>万元，比上年预算增加</w:t>
      </w:r>
      <w:r>
        <w:rPr>
          <w:rFonts w:hint="eastAsia" w:ascii="楷体_GB2312" w:hAnsi="楷体_GB2312" w:eastAsia="楷体_GB2312" w:cs="楷体_GB2312"/>
          <w:sz w:val="32"/>
          <w:szCs w:val="32"/>
          <w:lang w:val="en-US" w:eastAsia="zh-CN"/>
        </w:rPr>
        <w:t>809.16</w:t>
      </w:r>
      <w:r>
        <w:rPr>
          <w:rFonts w:hint="eastAsia" w:ascii="楷体_GB2312" w:hAnsi="楷体_GB2312" w:eastAsia="楷体_GB2312" w:cs="楷体_GB2312"/>
          <w:sz w:val="32"/>
          <w:szCs w:val="32"/>
        </w:rPr>
        <w:t>万元，增长</w:t>
      </w:r>
      <w:r>
        <w:rPr>
          <w:rFonts w:hint="eastAsia" w:ascii="楷体_GB2312" w:hAnsi="楷体_GB2312" w:eastAsia="楷体_GB2312" w:cs="楷体_GB2312"/>
          <w:sz w:val="32"/>
          <w:szCs w:val="32"/>
          <w:lang w:val="en-US" w:eastAsia="zh-CN"/>
        </w:rPr>
        <w:t>38</w:t>
      </w:r>
      <w:r>
        <w:rPr>
          <w:rFonts w:hint="eastAsia" w:ascii="楷体_GB2312" w:hAnsi="楷体_GB2312" w:eastAsia="楷体_GB2312" w:cs="楷体_GB2312"/>
          <w:sz w:val="32"/>
          <w:szCs w:val="32"/>
        </w:rPr>
        <w:t>%，增加主要是由于</w:t>
      </w:r>
      <w:r>
        <w:rPr>
          <w:rFonts w:hint="eastAsia" w:ascii="楷体_GB2312" w:hAnsi="楷体_GB2312" w:eastAsia="楷体_GB2312" w:cs="楷体_GB2312"/>
          <w:color w:val="000000"/>
          <w:sz w:val="32"/>
          <w:szCs w:val="32"/>
          <w:lang w:val="en-US" w:eastAsia="zh-CN"/>
        </w:rPr>
        <w:t>人员增（工资）加及社会保障单位部分增加、分校区（第六小学）班级增加</w:t>
      </w:r>
      <w:r>
        <w:rPr>
          <w:rFonts w:hint="eastAsia" w:ascii="楷体_GB2312" w:hAnsi="楷体_GB2312" w:eastAsia="楷体_GB2312" w:cs="楷体_GB2312"/>
          <w:sz w:val="32"/>
          <w:szCs w:val="32"/>
        </w:rPr>
        <w:t>。</w:t>
      </w:r>
    </w:p>
    <w:p>
      <w:pPr>
        <w:adjustRightInd w:val="0"/>
        <w:snapToGrid w:val="0"/>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支出预算</w:t>
      </w:r>
      <w:r>
        <w:rPr>
          <w:rFonts w:hint="eastAsia" w:ascii="楷体_GB2312" w:hAnsi="楷体_GB2312" w:eastAsia="楷体_GB2312" w:cs="楷体_GB2312"/>
          <w:sz w:val="32"/>
          <w:szCs w:val="32"/>
          <w:lang w:val="en-US" w:eastAsia="zh-CN"/>
        </w:rPr>
        <w:t>3124.85</w:t>
      </w:r>
      <w:r>
        <w:rPr>
          <w:rFonts w:hint="eastAsia" w:ascii="楷体_GB2312" w:hAnsi="楷体_GB2312" w:eastAsia="楷体_GB2312" w:cs="楷体_GB2312"/>
          <w:sz w:val="32"/>
          <w:szCs w:val="32"/>
        </w:rPr>
        <w:t>万元，比上年预算增加</w:t>
      </w:r>
      <w:r>
        <w:rPr>
          <w:rFonts w:hint="eastAsia" w:ascii="楷体_GB2312" w:hAnsi="楷体_GB2312" w:eastAsia="楷体_GB2312" w:cs="楷体_GB2312"/>
          <w:sz w:val="32"/>
          <w:szCs w:val="32"/>
          <w:lang w:val="en-US" w:eastAsia="zh-CN"/>
        </w:rPr>
        <w:t>809.16</w:t>
      </w:r>
      <w:r>
        <w:rPr>
          <w:rFonts w:hint="eastAsia" w:ascii="楷体_GB2312" w:hAnsi="楷体_GB2312" w:eastAsia="楷体_GB2312" w:cs="楷体_GB2312"/>
          <w:sz w:val="32"/>
          <w:szCs w:val="32"/>
        </w:rPr>
        <w:t>万元，增长</w:t>
      </w:r>
      <w:r>
        <w:rPr>
          <w:rFonts w:hint="eastAsia" w:ascii="楷体_GB2312" w:hAnsi="楷体_GB2312" w:eastAsia="楷体_GB2312" w:cs="楷体_GB2312"/>
          <w:sz w:val="32"/>
          <w:szCs w:val="32"/>
          <w:lang w:val="en-US" w:eastAsia="zh-CN"/>
        </w:rPr>
        <w:t>38</w:t>
      </w:r>
      <w:r>
        <w:rPr>
          <w:rFonts w:hint="eastAsia" w:ascii="楷体_GB2312" w:hAnsi="楷体_GB2312" w:eastAsia="楷体_GB2312" w:cs="楷体_GB2312"/>
          <w:sz w:val="32"/>
          <w:szCs w:val="32"/>
        </w:rPr>
        <w:t>%，增加主要是由于</w:t>
      </w:r>
      <w:r>
        <w:rPr>
          <w:rFonts w:hint="eastAsia" w:ascii="楷体_GB2312" w:hAnsi="楷体_GB2312" w:eastAsia="楷体_GB2312" w:cs="楷体_GB2312"/>
          <w:color w:val="000000"/>
          <w:sz w:val="32"/>
          <w:szCs w:val="32"/>
          <w:lang w:val="en-US" w:eastAsia="zh-CN"/>
        </w:rPr>
        <w:t>人员增（工资）加及社会保障单位部分增加、分校区（第六小学）班级增加</w:t>
      </w:r>
      <w:r>
        <w:rPr>
          <w:rFonts w:hint="eastAsia" w:ascii="楷体_GB2312" w:hAnsi="楷体_GB2312" w:eastAsia="楷体_GB2312" w:cs="楷体_GB2312"/>
          <w:sz w:val="32"/>
          <w:szCs w:val="32"/>
        </w:rPr>
        <w:t>。</w:t>
      </w:r>
    </w:p>
    <w:p>
      <w:pPr>
        <w:adjustRightInd w:val="0"/>
        <w:snapToGrid w:val="0"/>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（一）、202</w:t>
      </w:r>
      <w:r>
        <w:rPr>
          <w:rFonts w:hint="eastAsia" w:ascii="楷体_GB2312" w:hAnsi="楷体_GB2312" w:eastAsia="楷体_GB2312" w:cs="楷体_GB2312"/>
          <w:sz w:val="32"/>
          <w:szCs w:val="32"/>
          <w:lang w:val="en-US" w:eastAsia="zh-CN"/>
        </w:rPr>
        <w:t>1</w:t>
      </w:r>
      <w:r>
        <w:rPr>
          <w:rFonts w:hint="eastAsia" w:ascii="楷体_GB2312" w:hAnsi="楷体_GB2312" w:eastAsia="楷体_GB2312" w:cs="楷体_GB2312"/>
          <w:sz w:val="32"/>
          <w:szCs w:val="32"/>
        </w:rPr>
        <w:t>年部门预算收入情况</w:t>
      </w:r>
      <w:r>
        <w:rPr>
          <w:rFonts w:hint="eastAsia" w:ascii="楷体_GB2312" w:hAnsi="黑体" w:eastAsia="楷体_GB2312"/>
          <w:color w:val="000000"/>
          <w:sz w:val="32"/>
          <w:szCs w:val="32"/>
        </w:rPr>
        <w:t>说明</w:t>
      </w:r>
    </w:p>
    <w:p>
      <w:pPr>
        <w:adjustRightInd w:val="0"/>
        <w:snapToGrid w:val="0"/>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部门预算收入</w:t>
      </w:r>
      <w:r>
        <w:rPr>
          <w:rFonts w:hint="eastAsia" w:ascii="楷体_GB2312" w:hAnsi="楷体_GB2312" w:eastAsia="楷体_GB2312" w:cs="楷体_GB2312"/>
          <w:sz w:val="32"/>
          <w:szCs w:val="32"/>
          <w:lang w:val="en-US" w:eastAsia="zh-CN"/>
        </w:rPr>
        <w:t>3124.85</w:t>
      </w:r>
      <w:r>
        <w:rPr>
          <w:rFonts w:hint="eastAsia" w:ascii="楷体_GB2312" w:hAnsi="楷体_GB2312" w:eastAsia="楷体_GB2312" w:cs="楷体_GB2312"/>
          <w:sz w:val="32"/>
          <w:szCs w:val="32"/>
        </w:rPr>
        <w:t>万元，其中：一般公共预算拨款收入</w:t>
      </w:r>
      <w:r>
        <w:rPr>
          <w:rFonts w:hint="eastAsia" w:ascii="楷体_GB2312" w:hAnsi="楷体_GB2312" w:eastAsia="楷体_GB2312" w:cs="楷体_GB2312"/>
          <w:sz w:val="32"/>
          <w:szCs w:val="32"/>
          <w:lang w:val="en-US" w:eastAsia="zh-CN"/>
        </w:rPr>
        <w:t>2950.58</w:t>
      </w:r>
      <w:r>
        <w:rPr>
          <w:rFonts w:hint="eastAsia" w:ascii="楷体_GB2312" w:hAnsi="楷体_GB2312" w:eastAsia="楷体_GB2312" w:cs="楷体_GB2312"/>
          <w:sz w:val="32"/>
          <w:szCs w:val="32"/>
        </w:rPr>
        <w:t>万元，占比</w:t>
      </w:r>
      <w:r>
        <w:rPr>
          <w:rFonts w:hint="eastAsia" w:ascii="楷体_GB2312" w:hAnsi="楷体_GB2312" w:eastAsia="楷体_GB2312" w:cs="楷体_GB2312"/>
          <w:sz w:val="32"/>
          <w:szCs w:val="32"/>
          <w:lang w:val="en-US" w:eastAsia="zh-CN"/>
        </w:rPr>
        <w:t>94</w:t>
      </w:r>
      <w:r>
        <w:rPr>
          <w:rFonts w:hint="eastAsia" w:ascii="楷体_GB2312" w:hAnsi="楷体_GB2312" w:eastAsia="楷体_GB2312" w:cs="楷体_GB2312"/>
          <w:sz w:val="32"/>
          <w:szCs w:val="32"/>
        </w:rPr>
        <w:t xml:space="preserve">%；政府性基金预算拨款收入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万元，占比</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%；事业收入</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万元，占比  %；事业单位经营收入</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万元，占比  %；，其他收入</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万元，占比  %；上年结转</w:t>
      </w:r>
      <w:r>
        <w:rPr>
          <w:rFonts w:hint="eastAsia" w:ascii="楷体_GB2312" w:hAnsi="楷体_GB2312" w:eastAsia="楷体_GB2312" w:cs="楷体_GB2312"/>
          <w:sz w:val="32"/>
          <w:szCs w:val="32"/>
          <w:lang w:val="en-US" w:eastAsia="zh-CN"/>
        </w:rPr>
        <w:t>174.27</w:t>
      </w:r>
      <w:r>
        <w:rPr>
          <w:rFonts w:hint="eastAsia" w:ascii="楷体_GB2312" w:hAnsi="楷体_GB2312" w:eastAsia="楷体_GB2312" w:cs="楷体_GB2312"/>
          <w:sz w:val="32"/>
          <w:szCs w:val="32"/>
        </w:rPr>
        <w:t>万元，占比</w:t>
      </w:r>
      <w:r>
        <w:rPr>
          <w:rFonts w:hint="eastAsia" w:ascii="楷体_GB2312" w:hAnsi="楷体_GB2312" w:eastAsia="楷体_GB2312" w:cs="楷体_GB2312"/>
          <w:sz w:val="32"/>
          <w:szCs w:val="32"/>
          <w:lang w:val="en-US" w:eastAsia="zh-CN"/>
        </w:rPr>
        <w:t>6</w:t>
      </w:r>
      <w:r>
        <w:rPr>
          <w:rFonts w:hint="eastAsia" w:ascii="楷体_GB2312" w:hAnsi="楷体_GB2312" w:eastAsia="楷体_GB2312" w:cs="楷体_GB2312"/>
          <w:sz w:val="32"/>
          <w:szCs w:val="32"/>
        </w:rPr>
        <w:t>%，用事业基金弥补的收支差额</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万元，占比  %。</w:t>
      </w:r>
    </w:p>
    <w:p>
      <w:pPr>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（二）、202</w:t>
      </w:r>
      <w:r>
        <w:rPr>
          <w:rFonts w:hint="eastAsia" w:ascii="楷体_GB2312" w:hAnsi="楷体_GB2312" w:eastAsia="楷体_GB2312" w:cs="楷体_GB2312"/>
          <w:sz w:val="32"/>
          <w:szCs w:val="32"/>
          <w:lang w:val="en-US" w:eastAsia="zh-CN"/>
        </w:rPr>
        <w:t>1</w:t>
      </w:r>
      <w:r>
        <w:rPr>
          <w:rFonts w:hint="eastAsia" w:ascii="楷体_GB2312" w:hAnsi="楷体_GB2312" w:eastAsia="楷体_GB2312" w:cs="楷体_GB2312"/>
          <w:sz w:val="32"/>
          <w:szCs w:val="32"/>
        </w:rPr>
        <w:t>年部门预算支出情况</w:t>
      </w:r>
      <w:r>
        <w:rPr>
          <w:rFonts w:hint="eastAsia" w:ascii="楷体_GB2312" w:hAnsi="黑体" w:eastAsia="楷体_GB2312"/>
          <w:color w:val="000000"/>
          <w:sz w:val="32"/>
          <w:szCs w:val="32"/>
        </w:rPr>
        <w:t>说明</w:t>
      </w:r>
    </w:p>
    <w:p>
      <w:pPr>
        <w:adjustRightInd w:val="0"/>
        <w:snapToGrid w:val="0"/>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部门预算支出</w:t>
      </w:r>
      <w:r>
        <w:rPr>
          <w:rFonts w:hint="eastAsia" w:ascii="楷体_GB2312" w:hAnsi="楷体_GB2312" w:eastAsia="楷体_GB2312" w:cs="楷体_GB2312"/>
          <w:sz w:val="32"/>
          <w:szCs w:val="32"/>
          <w:lang w:val="en-US" w:eastAsia="zh-CN"/>
        </w:rPr>
        <w:t>3124.85</w:t>
      </w:r>
      <w:r>
        <w:rPr>
          <w:rFonts w:hint="eastAsia" w:ascii="楷体_GB2312" w:hAnsi="楷体_GB2312" w:eastAsia="楷体_GB2312" w:cs="楷体_GB2312"/>
          <w:sz w:val="32"/>
          <w:szCs w:val="32"/>
        </w:rPr>
        <w:t>万元，其中：基本支出</w:t>
      </w:r>
      <w:r>
        <w:rPr>
          <w:rFonts w:hint="eastAsia" w:ascii="楷体_GB2312" w:hAnsi="楷体_GB2312" w:eastAsia="楷体_GB2312" w:cs="楷体_GB2312"/>
          <w:sz w:val="32"/>
          <w:szCs w:val="32"/>
          <w:lang w:val="en-US" w:eastAsia="zh-CN"/>
        </w:rPr>
        <w:t>3106.7</w:t>
      </w:r>
      <w:r>
        <w:rPr>
          <w:rFonts w:hint="eastAsia" w:ascii="楷体_GB2312" w:hAnsi="楷体_GB2312" w:eastAsia="楷体_GB2312" w:cs="楷体_GB2312"/>
          <w:sz w:val="32"/>
          <w:szCs w:val="32"/>
        </w:rPr>
        <w:t>万元，占比</w:t>
      </w:r>
      <w:r>
        <w:rPr>
          <w:rFonts w:hint="eastAsia" w:ascii="楷体_GB2312" w:hAnsi="楷体_GB2312" w:eastAsia="楷体_GB2312" w:cs="楷体_GB2312"/>
          <w:sz w:val="32"/>
          <w:szCs w:val="32"/>
          <w:lang w:val="en-US" w:eastAsia="zh-CN"/>
        </w:rPr>
        <w:t>99</w:t>
      </w:r>
      <w:r>
        <w:rPr>
          <w:rFonts w:hint="eastAsia" w:ascii="楷体_GB2312" w:hAnsi="楷体_GB2312" w:eastAsia="楷体_GB2312" w:cs="楷体_GB2312"/>
          <w:sz w:val="32"/>
          <w:szCs w:val="32"/>
        </w:rPr>
        <w:t>%；项目支出</w:t>
      </w:r>
      <w:r>
        <w:rPr>
          <w:rFonts w:hint="eastAsia" w:ascii="楷体_GB2312" w:hAnsi="楷体_GB2312" w:eastAsia="楷体_GB2312" w:cs="楷体_GB2312"/>
          <w:sz w:val="32"/>
          <w:szCs w:val="32"/>
          <w:lang w:val="en-US" w:eastAsia="zh-CN"/>
        </w:rPr>
        <w:t>18.15</w:t>
      </w:r>
      <w:r>
        <w:rPr>
          <w:rFonts w:hint="eastAsia" w:ascii="楷体_GB2312" w:hAnsi="楷体_GB2312" w:eastAsia="楷体_GB2312" w:cs="楷体_GB2312"/>
          <w:sz w:val="32"/>
          <w:szCs w:val="32"/>
        </w:rPr>
        <w:t>万元，占比</w:t>
      </w:r>
      <w:r>
        <w:rPr>
          <w:rFonts w:hint="eastAsia" w:ascii="楷体_GB2312" w:hAnsi="楷体_GB2312" w:eastAsia="楷体_GB2312" w:cs="楷体_GB2312"/>
          <w:sz w:val="32"/>
          <w:szCs w:val="32"/>
          <w:lang w:val="en-US" w:eastAsia="zh-CN"/>
        </w:rPr>
        <w:t>1</w:t>
      </w:r>
      <w:r>
        <w:rPr>
          <w:rFonts w:hint="eastAsia" w:ascii="楷体_GB2312" w:hAnsi="楷体_GB2312" w:eastAsia="楷体_GB2312" w:cs="楷体_GB2312"/>
          <w:sz w:val="32"/>
          <w:szCs w:val="32"/>
        </w:rPr>
        <w:t>%；事业单位经营支出</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万元，占比  %。</w:t>
      </w:r>
    </w:p>
    <w:p>
      <w:pPr>
        <w:adjustRightInd w:val="0"/>
        <w:snapToGrid w:val="0"/>
        <w:spacing w:line="560" w:lineRule="exact"/>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主要用于基本工资</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津贴补贴</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绩效工资</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机关事业单位基本养老保险费缴费</w:t>
      </w:r>
      <w:r>
        <w:rPr>
          <w:rFonts w:hint="eastAsia" w:ascii="楷体_GB2312" w:hAnsi="楷体_GB2312" w:eastAsia="楷体_GB2312" w:cs="楷体_GB2312"/>
          <w:sz w:val="32"/>
          <w:szCs w:val="32"/>
          <w:lang w:eastAsia="zh-CN"/>
        </w:rPr>
        <w:t>、职工基本医疗保险缴费、其他社会保障缴费、</w:t>
      </w:r>
      <w:r>
        <w:rPr>
          <w:rFonts w:hint="eastAsia" w:ascii="楷体_GB2312" w:hAnsi="楷体_GB2312" w:eastAsia="楷体_GB2312" w:cs="楷体_GB2312"/>
          <w:sz w:val="32"/>
          <w:szCs w:val="32"/>
        </w:rPr>
        <w:t>住房公积金</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其他工资福利支出</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办公费</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水费</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电费</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取暖费</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维修（护）费</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培训费</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劳务费</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工会经费</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福利费支出。</w:t>
      </w:r>
    </w:p>
    <w:p>
      <w:pPr>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color w:val="000000"/>
          <w:sz w:val="32"/>
          <w:szCs w:val="32"/>
        </w:rPr>
        <w:t>二、一般公共预算财政拨款收支情况说明</w:t>
      </w:r>
    </w:p>
    <w:p>
      <w:pPr>
        <w:spacing w:line="560" w:lineRule="exact"/>
        <w:ind w:firstLine="640" w:firstLineChars="200"/>
        <w:rPr>
          <w:rFonts w:hint="eastAsia" w:ascii="楷体_GB2312" w:hAnsi="楷体_GB2312" w:eastAsia="楷体_GB2312" w:cs="楷体_GB2312"/>
          <w:sz w:val="36"/>
          <w:szCs w:val="36"/>
        </w:rPr>
      </w:pPr>
      <w:r>
        <w:rPr>
          <w:rFonts w:hint="eastAsia" w:ascii="楷体_GB2312" w:hAnsi="楷体_GB2312" w:eastAsia="楷体_GB2312" w:cs="楷体_GB2312"/>
          <w:sz w:val="32"/>
          <w:szCs w:val="32"/>
        </w:rPr>
        <w:t>（一）财政拨款规模情况</w:t>
      </w:r>
    </w:p>
    <w:p>
      <w:pPr>
        <w:spacing w:line="560" w:lineRule="exact"/>
        <w:ind w:firstLine="640" w:firstLineChars="200"/>
        <w:rPr>
          <w:rFonts w:hint="eastAsia" w:ascii="楷体_GB2312" w:hAnsi="楷体_GB2312" w:eastAsia="楷体_GB2312" w:cs="楷体_GB2312"/>
          <w:b/>
          <w:sz w:val="36"/>
          <w:szCs w:val="36"/>
        </w:rPr>
      </w:pPr>
      <w:r>
        <w:rPr>
          <w:rFonts w:hint="eastAsia" w:ascii="楷体_GB2312" w:hAnsi="楷体_GB2312" w:eastAsia="楷体_GB2312" w:cs="楷体_GB2312"/>
          <w:sz w:val="32"/>
          <w:szCs w:val="32"/>
        </w:rPr>
        <w:t>财政拨款收支预算</w:t>
      </w:r>
      <w:r>
        <w:rPr>
          <w:rFonts w:hint="eastAsia" w:ascii="楷体_GB2312" w:hAnsi="楷体_GB2312" w:eastAsia="楷体_GB2312" w:cs="楷体_GB2312"/>
          <w:sz w:val="32"/>
          <w:szCs w:val="32"/>
          <w:lang w:val="en-US" w:eastAsia="zh-CN"/>
        </w:rPr>
        <w:t>3106.7</w:t>
      </w:r>
      <w:r>
        <w:rPr>
          <w:rFonts w:hint="eastAsia" w:ascii="楷体_GB2312" w:hAnsi="楷体_GB2312" w:eastAsia="楷体_GB2312" w:cs="楷体_GB2312"/>
          <w:sz w:val="32"/>
          <w:szCs w:val="32"/>
        </w:rPr>
        <w:t>万元，包括：一般公共预算财政拨款</w:t>
      </w:r>
      <w:r>
        <w:rPr>
          <w:rFonts w:hint="eastAsia" w:ascii="楷体_GB2312" w:hAnsi="楷体_GB2312" w:eastAsia="楷体_GB2312" w:cs="楷体_GB2312"/>
          <w:sz w:val="32"/>
          <w:szCs w:val="32"/>
          <w:lang w:val="en-US" w:eastAsia="zh-CN"/>
        </w:rPr>
        <w:t>2950.58</w:t>
      </w:r>
      <w:r>
        <w:rPr>
          <w:rFonts w:hint="eastAsia" w:ascii="楷体_GB2312" w:hAnsi="楷体_GB2312" w:eastAsia="楷体_GB2312" w:cs="楷体_GB2312"/>
          <w:sz w:val="32"/>
          <w:szCs w:val="32"/>
        </w:rPr>
        <w:t xml:space="preserve">万元，政府性基金预算财政拨款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万元，上年结转</w:t>
      </w:r>
      <w:r>
        <w:rPr>
          <w:rFonts w:hint="eastAsia" w:ascii="楷体_GB2312" w:hAnsi="楷体_GB2312" w:eastAsia="楷体_GB2312" w:cs="楷体_GB2312"/>
          <w:sz w:val="32"/>
          <w:szCs w:val="32"/>
          <w:lang w:val="en-US" w:eastAsia="zh-CN"/>
        </w:rPr>
        <w:t>156.12</w:t>
      </w:r>
      <w:r>
        <w:rPr>
          <w:rFonts w:hint="eastAsia" w:ascii="楷体_GB2312" w:hAnsi="楷体_GB2312" w:eastAsia="楷体_GB2312" w:cs="楷体_GB2312"/>
          <w:sz w:val="32"/>
          <w:szCs w:val="32"/>
        </w:rPr>
        <w:t>万元。</w:t>
      </w:r>
    </w:p>
    <w:p>
      <w:pPr>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（二）一般公共预算财政拨款具体使用安排情况</w:t>
      </w:r>
    </w:p>
    <w:p>
      <w:pPr>
        <w:adjustRightInd w:val="0"/>
        <w:snapToGrid w:val="0"/>
        <w:spacing w:line="560" w:lineRule="exact"/>
        <w:ind w:firstLine="640" w:firstLineChars="200"/>
        <w:rPr>
          <w:rFonts w:hint="eastAsia" w:ascii="楷体_GB2312" w:hAnsi="楷体_GB2312" w:eastAsia="楷体_GB2312" w:cs="楷体_GB2312"/>
          <w:color w:val="000000"/>
          <w:sz w:val="32"/>
          <w:szCs w:val="32"/>
          <w:lang w:val="en-US" w:eastAsia="zh-CN"/>
        </w:rPr>
      </w:pPr>
      <w:r>
        <w:rPr>
          <w:rFonts w:hint="eastAsia" w:ascii="楷体_GB2312" w:hAnsi="楷体_GB2312" w:eastAsia="楷体_GB2312" w:cs="楷体_GB2312"/>
          <w:color w:val="000000"/>
          <w:sz w:val="32"/>
          <w:szCs w:val="32"/>
          <w:lang w:val="en-US" w:eastAsia="zh-CN"/>
        </w:rPr>
        <w:t>1.教育支出2422.15万元。</w:t>
      </w:r>
    </w:p>
    <w:p>
      <w:pPr>
        <w:adjustRightInd w:val="0"/>
        <w:snapToGrid w:val="0"/>
        <w:spacing w:line="560" w:lineRule="exact"/>
        <w:ind w:firstLine="640" w:firstLineChars="200"/>
        <w:rPr>
          <w:rFonts w:hint="default" w:ascii="楷体_GB2312" w:hAnsi="楷体_GB2312" w:eastAsia="楷体_GB2312" w:cs="楷体_GB2312"/>
          <w:color w:val="000000"/>
          <w:sz w:val="32"/>
          <w:szCs w:val="32"/>
          <w:lang w:val="en-US" w:eastAsia="zh-CN"/>
        </w:rPr>
      </w:pPr>
      <w:r>
        <w:rPr>
          <w:rFonts w:hint="eastAsia" w:ascii="楷体_GB2312" w:hAnsi="楷体_GB2312" w:eastAsia="楷体_GB2312" w:cs="楷体_GB2312"/>
          <w:color w:val="000000"/>
          <w:sz w:val="32"/>
          <w:szCs w:val="32"/>
          <w:lang w:val="en-US" w:eastAsia="zh-CN"/>
        </w:rPr>
        <w:t>2、社会保障和就业支出465.86万元。</w:t>
      </w:r>
    </w:p>
    <w:p>
      <w:pPr>
        <w:adjustRightInd w:val="0"/>
        <w:snapToGrid w:val="0"/>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3、</w:t>
      </w:r>
      <w:r>
        <w:rPr>
          <w:rFonts w:hint="eastAsia" w:ascii="楷体_GB2312" w:hAnsi="楷体_GB2312" w:eastAsia="楷体_GB2312" w:cs="楷体_GB2312"/>
          <w:color w:val="000000"/>
          <w:sz w:val="32"/>
          <w:szCs w:val="32"/>
          <w:lang w:val="en-US" w:eastAsia="zh-CN"/>
        </w:rPr>
        <w:t>住房保障支出218.69万元。</w:t>
      </w:r>
      <w:r>
        <w:rPr>
          <w:rFonts w:hint="eastAsia" w:ascii="楷体_GB2312" w:hAnsi="楷体_GB2312" w:eastAsia="楷体_GB2312" w:cs="楷体_GB2312"/>
          <w:sz w:val="32"/>
          <w:szCs w:val="32"/>
        </w:rPr>
        <w:t xml:space="preserve">    </w:t>
      </w:r>
    </w:p>
    <w:p>
      <w:pPr>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三、202</w:t>
      </w:r>
      <w:r>
        <w:rPr>
          <w:rFonts w:hint="eastAsia" w:ascii="楷体_GB2312" w:hAnsi="楷体_GB2312" w:eastAsia="楷体_GB2312" w:cs="楷体_GB2312"/>
          <w:sz w:val="32"/>
          <w:szCs w:val="32"/>
          <w:lang w:val="en-US" w:eastAsia="zh-CN"/>
        </w:rPr>
        <w:t>1</w:t>
      </w:r>
      <w:r>
        <w:rPr>
          <w:rFonts w:hint="eastAsia" w:ascii="楷体_GB2312" w:hAnsi="楷体_GB2312" w:eastAsia="楷体_GB2312" w:cs="楷体_GB2312"/>
          <w:sz w:val="32"/>
          <w:szCs w:val="32"/>
        </w:rPr>
        <w:t>年“三公”经费财政预算安排情况</w:t>
      </w:r>
      <w:r>
        <w:rPr>
          <w:rFonts w:hint="eastAsia" w:ascii="楷体_GB2312" w:hAnsi="黑体" w:eastAsia="楷体_GB2312"/>
          <w:color w:val="000000"/>
          <w:sz w:val="32"/>
          <w:szCs w:val="32"/>
        </w:rPr>
        <w:t>说明</w:t>
      </w:r>
    </w:p>
    <w:p>
      <w:pPr>
        <w:adjustRightInd w:val="0"/>
        <w:snapToGrid w:val="0"/>
        <w:spacing w:line="560" w:lineRule="exact"/>
        <w:ind w:firstLine="640" w:firstLineChars="200"/>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我单位不涉及此项支出</w:t>
      </w:r>
    </w:p>
    <w:p>
      <w:pPr>
        <w:adjustRightInd w:val="0"/>
        <w:snapToGrid w:val="0"/>
        <w:spacing w:line="560" w:lineRule="exact"/>
        <w:rPr>
          <w:rFonts w:hint="eastAsia" w:ascii="楷体_GB2312" w:hAnsi="黑体" w:eastAsia="楷体_GB2312"/>
          <w:color w:val="000000"/>
          <w:sz w:val="32"/>
          <w:szCs w:val="32"/>
        </w:rPr>
      </w:pPr>
      <w:r>
        <w:rPr>
          <w:rFonts w:hint="eastAsia" w:ascii="楷体_GB2312" w:hAnsi="黑体" w:eastAsia="楷体_GB2312"/>
          <w:color w:val="000000"/>
          <w:sz w:val="32"/>
          <w:szCs w:val="32"/>
        </w:rPr>
        <w:t xml:space="preserve">    四、</w:t>
      </w:r>
      <w:r>
        <w:rPr>
          <w:rFonts w:hint="eastAsia" w:ascii="楷体_GB2312" w:hAnsi="黑体" w:eastAsia="楷体_GB2312"/>
          <w:color w:val="000000"/>
          <w:sz w:val="32"/>
          <w:szCs w:val="32"/>
          <w:lang w:val="en-US" w:eastAsia="zh-CN"/>
        </w:rPr>
        <w:t>事业业务活动</w:t>
      </w:r>
      <w:r>
        <w:rPr>
          <w:rFonts w:hint="eastAsia" w:ascii="楷体_GB2312" w:hAnsi="黑体" w:eastAsia="楷体_GB2312"/>
          <w:color w:val="000000"/>
          <w:sz w:val="32"/>
          <w:szCs w:val="32"/>
        </w:rPr>
        <w:t>经费安排情况说明</w:t>
      </w:r>
    </w:p>
    <w:p>
      <w:pPr>
        <w:adjustRightInd w:val="0"/>
        <w:snapToGrid w:val="0"/>
        <w:spacing w:line="560" w:lineRule="exact"/>
        <w:ind w:firstLine="640" w:firstLineChars="200"/>
        <w:rPr>
          <w:rFonts w:hint="eastAsia" w:ascii="楷体_GB2312" w:hAnsi="楷体_GB2312" w:eastAsia="楷体_GB2312" w:cs="楷体_GB2312"/>
          <w:sz w:val="32"/>
          <w:szCs w:val="32"/>
        </w:rPr>
      </w:pPr>
      <w:r>
        <w:rPr>
          <w:rFonts w:hint="eastAsia" w:ascii="楷体_GB2312" w:hAnsi="黑体" w:eastAsia="楷体_GB2312"/>
          <w:color w:val="000000"/>
          <w:sz w:val="32"/>
          <w:szCs w:val="32"/>
          <w:lang w:val="en-US" w:eastAsia="zh-CN"/>
        </w:rPr>
        <w:t>事业业务活动</w:t>
      </w:r>
      <w:r>
        <w:rPr>
          <w:rFonts w:hint="eastAsia" w:ascii="楷体_GB2312" w:hAnsi="楷体_GB2312" w:eastAsia="楷体_GB2312" w:cs="楷体_GB2312"/>
          <w:sz w:val="32"/>
          <w:szCs w:val="32"/>
        </w:rPr>
        <w:t>经费，是指各部门的公用经费，包括办公及印刷费、邮电费、差旅费、会议费、福利费、日常维修费、专业材料及一般设备购置费、办公用房水电费、办公用房取暖费、办公用房物业管理费、公务用车运行维护费以及其他费用。</w:t>
      </w:r>
    </w:p>
    <w:p>
      <w:pPr>
        <w:adjustRightInd w:val="0"/>
        <w:snapToGrid w:val="0"/>
        <w:spacing w:line="560" w:lineRule="exact"/>
        <w:ind w:firstLine="640" w:firstLineChars="200"/>
        <w:rPr>
          <w:rFonts w:hint="eastAsia" w:ascii="楷体_GB2312" w:hAnsi="楷体_GB2312" w:eastAsia="楷体_GB2312" w:cs="楷体_GB2312"/>
          <w:color w:val="000000"/>
          <w:sz w:val="32"/>
          <w:szCs w:val="32"/>
        </w:rPr>
      </w:pPr>
      <w:r>
        <w:rPr>
          <w:rFonts w:hint="eastAsia" w:ascii="楷体_GB2312" w:hAnsi="楷体_GB2312" w:eastAsia="楷体_GB2312" w:cs="楷体_GB2312"/>
          <w:sz w:val="32"/>
          <w:szCs w:val="32"/>
        </w:rPr>
        <w:t>202</w:t>
      </w:r>
      <w:r>
        <w:rPr>
          <w:rFonts w:hint="eastAsia" w:ascii="楷体_GB2312" w:hAnsi="楷体_GB2312" w:eastAsia="楷体_GB2312" w:cs="楷体_GB2312"/>
          <w:sz w:val="32"/>
          <w:szCs w:val="32"/>
          <w:lang w:val="en-US" w:eastAsia="zh-CN"/>
        </w:rPr>
        <w:t>1</w:t>
      </w:r>
      <w:r>
        <w:rPr>
          <w:rFonts w:hint="eastAsia" w:ascii="楷体_GB2312" w:hAnsi="楷体_GB2312" w:eastAsia="楷体_GB2312" w:cs="楷体_GB2312"/>
          <w:sz w:val="32"/>
          <w:szCs w:val="32"/>
        </w:rPr>
        <w:t>年，我单位</w:t>
      </w:r>
      <w:r>
        <w:rPr>
          <w:rFonts w:hint="eastAsia" w:ascii="楷体_GB2312" w:hAnsi="黑体" w:eastAsia="楷体_GB2312"/>
          <w:color w:val="000000"/>
          <w:sz w:val="32"/>
          <w:szCs w:val="32"/>
          <w:lang w:val="en-US" w:eastAsia="zh-CN"/>
        </w:rPr>
        <w:t>事业业务活动</w:t>
      </w:r>
      <w:r>
        <w:rPr>
          <w:rFonts w:hint="eastAsia" w:ascii="楷体_GB2312" w:hAnsi="楷体_GB2312" w:eastAsia="楷体_GB2312" w:cs="楷体_GB2312"/>
          <w:sz w:val="32"/>
          <w:szCs w:val="32"/>
        </w:rPr>
        <w:t>经费</w:t>
      </w:r>
      <w:r>
        <w:rPr>
          <w:rFonts w:hint="eastAsia" w:ascii="楷体_GB2312" w:hAnsi="楷体_GB2312" w:eastAsia="楷体_GB2312" w:cs="楷体_GB2312"/>
          <w:color w:val="000000"/>
          <w:sz w:val="32"/>
          <w:szCs w:val="32"/>
        </w:rPr>
        <w:t>财政拨款</w:t>
      </w:r>
      <w:r>
        <w:rPr>
          <w:rFonts w:hint="eastAsia" w:ascii="楷体_GB2312" w:hAnsi="楷体_GB2312" w:eastAsia="楷体_GB2312" w:cs="楷体_GB2312"/>
          <w:sz w:val="32"/>
          <w:szCs w:val="32"/>
        </w:rPr>
        <w:t>预算</w:t>
      </w:r>
      <w:r>
        <w:rPr>
          <w:rFonts w:hint="eastAsia" w:ascii="楷体_GB2312" w:hAnsi="楷体_GB2312" w:eastAsia="楷体_GB2312" w:cs="楷体_GB2312"/>
          <w:color w:val="000000"/>
          <w:sz w:val="32"/>
          <w:szCs w:val="32"/>
          <w:lang w:val="en-US" w:eastAsia="zh-CN"/>
        </w:rPr>
        <w:t>361.03</w:t>
      </w:r>
      <w:r>
        <w:rPr>
          <w:rFonts w:hint="eastAsia" w:ascii="楷体_GB2312" w:hAnsi="楷体_GB2312" w:eastAsia="楷体_GB2312" w:cs="楷体_GB2312"/>
          <w:color w:val="000000"/>
          <w:sz w:val="32"/>
          <w:szCs w:val="32"/>
        </w:rPr>
        <w:t>万元，比上年</w:t>
      </w:r>
      <w:r>
        <w:rPr>
          <w:rFonts w:hint="eastAsia" w:ascii="楷体_GB2312" w:hAnsi="楷体_GB2312" w:eastAsia="楷体_GB2312" w:cs="楷体_GB2312"/>
          <w:sz w:val="32"/>
          <w:szCs w:val="32"/>
        </w:rPr>
        <w:t>增加</w:t>
      </w:r>
      <w:r>
        <w:rPr>
          <w:rFonts w:hint="eastAsia" w:ascii="楷体_GB2312" w:hAnsi="楷体_GB2312" w:eastAsia="楷体_GB2312" w:cs="楷体_GB2312"/>
          <w:sz w:val="32"/>
          <w:szCs w:val="32"/>
          <w:lang w:val="en-US" w:eastAsia="zh-CN"/>
        </w:rPr>
        <w:t>47.2</w:t>
      </w:r>
      <w:r>
        <w:rPr>
          <w:rFonts w:hint="eastAsia" w:ascii="楷体_GB2312" w:hAnsi="楷体_GB2312" w:eastAsia="楷体_GB2312" w:cs="楷体_GB2312"/>
          <w:color w:val="000000"/>
          <w:sz w:val="32"/>
          <w:szCs w:val="32"/>
        </w:rPr>
        <w:t>万元，</w:t>
      </w:r>
      <w:r>
        <w:rPr>
          <w:rFonts w:hint="eastAsia" w:ascii="楷体_GB2312" w:hAnsi="楷体_GB2312" w:eastAsia="楷体_GB2312" w:cs="楷体_GB2312"/>
          <w:sz w:val="32"/>
          <w:szCs w:val="32"/>
        </w:rPr>
        <w:t>增长</w:t>
      </w:r>
      <w:r>
        <w:rPr>
          <w:rFonts w:hint="eastAsia" w:ascii="楷体_GB2312" w:hAnsi="楷体_GB2312" w:eastAsia="楷体_GB2312" w:cs="楷体_GB2312"/>
          <w:sz w:val="32"/>
          <w:szCs w:val="32"/>
          <w:lang w:val="en-US" w:eastAsia="zh-CN"/>
        </w:rPr>
        <w:t>13</w:t>
      </w:r>
      <w:r>
        <w:rPr>
          <w:rFonts w:hint="eastAsia" w:ascii="楷体_GB2312" w:hAnsi="楷体_GB2312" w:eastAsia="楷体_GB2312" w:cs="楷体_GB2312"/>
          <w:sz w:val="32"/>
          <w:szCs w:val="32"/>
        </w:rPr>
        <w:t>%</w:t>
      </w:r>
      <w:r>
        <w:rPr>
          <w:rFonts w:hint="eastAsia" w:ascii="楷体_GB2312" w:hAnsi="楷体_GB2312" w:eastAsia="楷体_GB2312" w:cs="楷体_GB2312"/>
          <w:color w:val="000000"/>
          <w:sz w:val="32"/>
          <w:szCs w:val="32"/>
        </w:rPr>
        <w:t>。主要包括以下支出：办公费</w:t>
      </w:r>
      <w:r>
        <w:rPr>
          <w:rFonts w:hint="eastAsia" w:ascii="楷体_GB2312" w:hAnsi="楷体_GB2312" w:eastAsia="楷体_GB2312" w:cs="楷体_GB2312"/>
          <w:color w:val="000000"/>
          <w:sz w:val="32"/>
          <w:szCs w:val="32"/>
          <w:lang w:val="en-US" w:eastAsia="zh-CN"/>
        </w:rPr>
        <w:t>45</w:t>
      </w:r>
      <w:r>
        <w:rPr>
          <w:rFonts w:hint="eastAsia" w:ascii="楷体_GB2312" w:hAnsi="楷体_GB2312" w:eastAsia="楷体_GB2312" w:cs="楷体_GB2312"/>
          <w:color w:val="000000"/>
          <w:sz w:val="32"/>
          <w:szCs w:val="32"/>
        </w:rPr>
        <w:t>万元、</w:t>
      </w:r>
      <w:r>
        <w:rPr>
          <w:rFonts w:hint="eastAsia" w:ascii="楷体_GB2312" w:hAnsi="楷体_GB2312" w:eastAsia="楷体_GB2312" w:cs="楷体_GB2312"/>
          <w:color w:val="000000"/>
          <w:sz w:val="32"/>
          <w:szCs w:val="32"/>
          <w:lang w:val="en-US" w:eastAsia="zh-CN"/>
        </w:rPr>
        <w:t>水费5万元、电费7</w:t>
      </w:r>
      <w:r>
        <w:rPr>
          <w:rFonts w:hint="eastAsia" w:ascii="楷体_GB2312" w:hAnsi="楷体_GB2312" w:eastAsia="楷体_GB2312" w:cs="楷体_GB2312"/>
          <w:color w:val="000000"/>
          <w:sz w:val="32"/>
          <w:szCs w:val="32"/>
        </w:rPr>
        <w:t>万元、</w:t>
      </w:r>
      <w:r>
        <w:rPr>
          <w:rFonts w:hint="eastAsia" w:ascii="楷体_GB2312" w:hAnsi="楷体_GB2312" w:eastAsia="楷体_GB2312" w:cs="楷体_GB2312"/>
          <w:color w:val="000000"/>
          <w:sz w:val="32"/>
          <w:szCs w:val="32"/>
          <w:lang w:val="en-US" w:eastAsia="zh-CN"/>
        </w:rPr>
        <w:t>取暖费141.17万元、维修（护）费49.95万元、</w:t>
      </w:r>
      <w:r>
        <w:rPr>
          <w:rFonts w:hint="eastAsia" w:ascii="楷体_GB2312" w:hAnsi="楷体_GB2312" w:eastAsia="楷体_GB2312" w:cs="楷体_GB2312"/>
          <w:color w:val="000000"/>
          <w:sz w:val="32"/>
          <w:szCs w:val="32"/>
        </w:rPr>
        <w:t>培训费</w:t>
      </w:r>
      <w:r>
        <w:rPr>
          <w:rFonts w:hint="eastAsia" w:ascii="楷体_GB2312" w:hAnsi="楷体_GB2312" w:eastAsia="楷体_GB2312" w:cs="楷体_GB2312"/>
          <w:color w:val="000000"/>
          <w:sz w:val="32"/>
          <w:szCs w:val="32"/>
          <w:lang w:val="en-US" w:eastAsia="zh-CN"/>
        </w:rPr>
        <w:t>8</w:t>
      </w:r>
      <w:r>
        <w:rPr>
          <w:rFonts w:hint="eastAsia" w:ascii="楷体_GB2312" w:hAnsi="楷体_GB2312" w:eastAsia="楷体_GB2312" w:cs="楷体_GB2312"/>
          <w:color w:val="000000"/>
          <w:sz w:val="32"/>
          <w:szCs w:val="32"/>
        </w:rPr>
        <w:t>万元、</w:t>
      </w:r>
      <w:r>
        <w:rPr>
          <w:rFonts w:hint="eastAsia" w:ascii="楷体_GB2312" w:hAnsi="楷体_GB2312" w:eastAsia="楷体_GB2312" w:cs="楷体_GB2312"/>
          <w:color w:val="000000"/>
          <w:sz w:val="32"/>
          <w:szCs w:val="32"/>
          <w:lang w:val="en-US" w:eastAsia="zh-CN"/>
        </w:rPr>
        <w:t>劳务费0.56万元、</w:t>
      </w:r>
      <w:r>
        <w:rPr>
          <w:rFonts w:hint="eastAsia" w:ascii="楷体_GB2312" w:hAnsi="楷体_GB2312" w:eastAsia="楷体_GB2312" w:cs="楷体_GB2312"/>
          <w:color w:val="000000"/>
          <w:sz w:val="32"/>
          <w:szCs w:val="32"/>
        </w:rPr>
        <w:t>工会经费</w:t>
      </w:r>
      <w:r>
        <w:rPr>
          <w:rFonts w:hint="eastAsia" w:ascii="楷体_GB2312" w:hAnsi="楷体_GB2312" w:eastAsia="楷体_GB2312" w:cs="楷体_GB2312"/>
          <w:color w:val="000000"/>
          <w:sz w:val="32"/>
          <w:szCs w:val="32"/>
          <w:lang w:val="en-US" w:eastAsia="zh-CN"/>
        </w:rPr>
        <w:t>40.49</w:t>
      </w:r>
      <w:r>
        <w:rPr>
          <w:rFonts w:hint="eastAsia" w:ascii="楷体_GB2312" w:hAnsi="楷体_GB2312" w:eastAsia="楷体_GB2312" w:cs="楷体_GB2312"/>
          <w:color w:val="000000"/>
          <w:sz w:val="32"/>
          <w:szCs w:val="32"/>
        </w:rPr>
        <w:t>万元、福利费</w:t>
      </w:r>
      <w:r>
        <w:rPr>
          <w:rFonts w:hint="eastAsia" w:ascii="楷体_GB2312" w:hAnsi="楷体_GB2312" w:eastAsia="楷体_GB2312" w:cs="楷体_GB2312"/>
          <w:color w:val="000000"/>
          <w:sz w:val="32"/>
          <w:szCs w:val="32"/>
          <w:lang w:val="en-US" w:eastAsia="zh-CN"/>
        </w:rPr>
        <w:t>63.86</w:t>
      </w:r>
      <w:r>
        <w:rPr>
          <w:rFonts w:hint="eastAsia" w:ascii="楷体_GB2312" w:hAnsi="楷体_GB2312" w:eastAsia="楷体_GB2312" w:cs="楷体_GB2312"/>
          <w:color w:val="000000"/>
          <w:sz w:val="32"/>
          <w:szCs w:val="32"/>
        </w:rPr>
        <w:t>万元。增加</w:t>
      </w:r>
      <w:r>
        <w:rPr>
          <w:rFonts w:hint="eastAsia" w:ascii="楷体_GB2312" w:hAnsi="楷体_GB2312" w:eastAsia="楷体_GB2312" w:cs="楷体_GB2312"/>
          <w:sz w:val="32"/>
          <w:szCs w:val="32"/>
        </w:rPr>
        <w:t>主要原因是</w:t>
      </w:r>
      <w:r>
        <w:rPr>
          <w:rFonts w:hint="eastAsia" w:ascii="楷体_GB2312" w:hAnsi="楷体_GB2312" w:eastAsia="楷体_GB2312" w:cs="楷体_GB2312"/>
          <w:color w:val="000000"/>
          <w:sz w:val="32"/>
          <w:szCs w:val="32"/>
          <w:lang w:val="en-US" w:eastAsia="zh-CN"/>
        </w:rPr>
        <w:t>分校区（第六小学）班级增加</w:t>
      </w:r>
      <w:r>
        <w:rPr>
          <w:rFonts w:hint="eastAsia" w:ascii="楷体_GB2312" w:hAnsi="楷体_GB2312" w:eastAsia="楷体_GB2312" w:cs="楷体_GB2312"/>
          <w:sz w:val="32"/>
          <w:szCs w:val="32"/>
        </w:rPr>
        <w:t>。</w:t>
      </w:r>
    </w:p>
    <w:p>
      <w:pPr>
        <w:adjustRightInd w:val="0"/>
        <w:snapToGrid w:val="0"/>
        <w:spacing w:line="560" w:lineRule="exact"/>
        <w:rPr>
          <w:rFonts w:hint="eastAsia"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 xml:space="preserve">    五、政府采购预算情况说明</w:t>
      </w:r>
    </w:p>
    <w:p>
      <w:pPr>
        <w:snapToGrid w:val="0"/>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本年度无政府采购预算</w:t>
      </w:r>
      <w:r>
        <w:rPr>
          <w:rFonts w:hint="eastAsia" w:ascii="楷体_GB2312" w:hAnsi="楷体_GB2312" w:eastAsia="楷体_GB2312" w:cs="楷体_GB2312"/>
          <w:sz w:val="32"/>
          <w:szCs w:val="32"/>
        </w:rPr>
        <w:t>。</w:t>
      </w:r>
    </w:p>
    <w:p>
      <w:pPr>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六、政府性基金预算财政拨款支出情况</w:t>
      </w:r>
      <w:r>
        <w:rPr>
          <w:rFonts w:hint="eastAsia" w:ascii="楷体_GB2312" w:hAnsi="楷体_GB2312" w:eastAsia="楷体_GB2312" w:cs="楷体_GB2312"/>
          <w:color w:val="000000"/>
          <w:sz w:val="32"/>
          <w:szCs w:val="32"/>
        </w:rPr>
        <w:t>说明</w:t>
      </w:r>
    </w:p>
    <w:p>
      <w:pPr>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本部门（单位）202</w:t>
      </w:r>
      <w:r>
        <w:rPr>
          <w:rFonts w:hint="eastAsia" w:ascii="楷体_GB2312" w:hAnsi="楷体_GB2312" w:eastAsia="楷体_GB2312" w:cs="楷体_GB2312"/>
          <w:sz w:val="32"/>
          <w:szCs w:val="32"/>
          <w:lang w:val="en-US" w:eastAsia="zh-CN"/>
        </w:rPr>
        <w:t>1</w:t>
      </w:r>
      <w:r>
        <w:rPr>
          <w:rFonts w:hint="eastAsia" w:ascii="楷体_GB2312" w:hAnsi="楷体_GB2312" w:eastAsia="楷体_GB2312" w:cs="楷体_GB2312"/>
          <w:sz w:val="32"/>
          <w:szCs w:val="32"/>
        </w:rPr>
        <w:t>年无政府性基金支出预算。</w:t>
      </w:r>
    </w:p>
    <w:p>
      <w:pPr>
        <w:adjustRightInd w:val="0"/>
        <w:snapToGrid w:val="0"/>
        <w:spacing w:line="560" w:lineRule="exact"/>
        <w:jc w:val="center"/>
        <w:rPr>
          <w:rFonts w:hint="eastAsia" w:ascii="楷体_GB2312" w:hAnsi="黑体" w:eastAsia="楷体_GB2312"/>
          <w:b/>
          <w:color w:val="000000"/>
          <w:sz w:val="32"/>
          <w:szCs w:val="32"/>
        </w:rPr>
      </w:pPr>
    </w:p>
    <w:p>
      <w:pPr>
        <w:adjustRightInd w:val="0"/>
        <w:snapToGrid w:val="0"/>
        <w:spacing w:line="560" w:lineRule="exact"/>
        <w:jc w:val="center"/>
        <w:rPr>
          <w:rFonts w:hint="eastAsia" w:ascii="楷体_GB2312" w:hAnsi="黑体" w:eastAsia="楷体_GB2312"/>
          <w:b/>
          <w:color w:val="000000"/>
          <w:sz w:val="32"/>
          <w:szCs w:val="32"/>
        </w:rPr>
      </w:pPr>
      <w:r>
        <w:rPr>
          <w:rFonts w:hint="eastAsia" w:ascii="楷体_GB2312" w:hAnsi="黑体" w:eastAsia="楷体_GB2312"/>
          <w:b/>
          <w:color w:val="000000"/>
          <w:sz w:val="32"/>
          <w:szCs w:val="32"/>
        </w:rPr>
        <w:t>第三部分  其他公开事项说明</w:t>
      </w:r>
    </w:p>
    <w:p>
      <w:pPr>
        <w:adjustRightInd w:val="0"/>
        <w:snapToGrid w:val="0"/>
        <w:spacing w:line="560" w:lineRule="exact"/>
        <w:jc w:val="center"/>
        <w:rPr>
          <w:rFonts w:hint="eastAsia" w:ascii="楷体_GB2312" w:hAnsi="黑体" w:eastAsia="楷体_GB2312"/>
          <w:b/>
          <w:color w:val="000000"/>
          <w:sz w:val="32"/>
          <w:szCs w:val="32"/>
        </w:rPr>
      </w:pPr>
    </w:p>
    <w:p>
      <w:pPr>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 xml:space="preserve"> 一、</w:t>
      </w:r>
      <w:r>
        <w:rPr>
          <w:rFonts w:hint="eastAsia" w:ascii="楷体_GB2312" w:hAnsi="黑体" w:eastAsia="楷体_GB2312"/>
          <w:sz w:val="32"/>
          <w:szCs w:val="32"/>
        </w:rPr>
        <w:t>项目支出绩效目标情况说明</w:t>
      </w:r>
    </w:p>
    <w:p>
      <w:pPr>
        <w:snapToGrid w:val="0"/>
        <w:spacing w:line="560" w:lineRule="exact"/>
        <w:ind w:firstLine="640" w:firstLineChars="200"/>
        <w:rPr>
          <w:rFonts w:hint="default" w:ascii="楷体_GB2312" w:hAnsi="楷体_GB2312" w:eastAsia="楷体_GB2312" w:cs="楷体_GB2312"/>
          <w:color w:val="000000"/>
          <w:sz w:val="32"/>
          <w:szCs w:val="32"/>
          <w:lang w:val="en-US" w:eastAsia="zh-CN"/>
        </w:rPr>
      </w:pPr>
      <w:r>
        <w:rPr>
          <w:rFonts w:hint="eastAsia" w:ascii="楷体_GB2312" w:hAnsi="楷体_GB2312" w:eastAsia="楷体_GB2312" w:cs="楷体_GB2312"/>
          <w:color w:val="000000"/>
          <w:sz w:val="32"/>
          <w:szCs w:val="32"/>
          <w:lang w:val="en-US" w:eastAsia="zh-CN"/>
        </w:rPr>
        <w:t>我单位本年度无此项预算</w:t>
      </w:r>
    </w:p>
    <w:p>
      <w:pPr>
        <w:snapToGrid w:val="0"/>
        <w:spacing w:line="560" w:lineRule="exact"/>
        <w:ind w:firstLine="640" w:firstLineChars="200"/>
        <w:rPr>
          <w:rFonts w:hint="eastAsia" w:ascii="楷体_GB2312" w:hAnsi="楷体_GB2312" w:eastAsia="楷体_GB2312" w:cs="楷体_GB2312"/>
          <w:color w:val="000000"/>
          <w:sz w:val="32"/>
          <w:szCs w:val="32"/>
          <w:highlight w:val="yellow"/>
        </w:rPr>
      </w:pPr>
    </w:p>
    <w:p>
      <w:pPr>
        <w:adjustRightInd w:val="0"/>
        <w:snapToGrid w:val="0"/>
        <w:spacing w:line="560" w:lineRule="exact"/>
        <w:rPr>
          <w:rFonts w:hint="eastAsia"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 xml:space="preserve">    二、国有资产占有使用情况说明</w:t>
      </w:r>
    </w:p>
    <w:p>
      <w:pPr>
        <w:snapToGrid w:val="0"/>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本年度无此项预算</w:t>
      </w:r>
      <w:r>
        <w:rPr>
          <w:rFonts w:hint="eastAsia" w:ascii="楷体_GB2312" w:hAnsi="楷体_GB2312" w:eastAsia="楷体_GB2312" w:cs="楷体_GB2312"/>
          <w:sz w:val="32"/>
          <w:szCs w:val="32"/>
        </w:rPr>
        <w:t>。</w:t>
      </w:r>
    </w:p>
    <w:p>
      <w:pPr>
        <w:spacing w:line="560" w:lineRule="exact"/>
        <w:jc w:val="center"/>
        <w:rPr>
          <w:rFonts w:hint="eastAsia" w:ascii="楷体_GB2312" w:hAnsi="黑体" w:eastAsia="楷体_GB2312"/>
          <w:b/>
          <w:color w:val="000000"/>
          <w:sz w:val="32"/>
          <w:szCs w:val="32"/>
        </w:rPr>
      </w:pPr>
    </w:p>
    <w:p>
      <w:pPr>
        <w:spacing w:line="560" w:lineRule="exact"/>
        <w:jc w:val="center"/>
        <w:rPr>
          <w:rFonts w:hint="eastAsia" w:ascii="楷体_GB2312" w:hAnsi="楷体_GB2312" w:eastAsia="楷体_GB2312" w:cs="楷体_GB2312"/>
          <w:b/>
          <w:sz w:val="32"/>
          <w:szCs w:val="32"/>
        </w:rPr>
      </w:pPr>
      <w:r>
        <w:rPr>
          <w:rFonts w:hint="eastAsia" w:ascii="楷体_GB2312" w:hAnsi="黑体" w:eastAsia="楷体_GB2312"/>
          <w:b/>
          <w:color w:val="000000"/>
          <w:sz w:val="32"/>
          <w:szCs w:val="32"/>
        </w:rPr>
        <w:t>第四</w:t>
      </w:r>
      <w:r>
        <w:rPr>
          <w:rFonts w:hint="eastAsia" w:ascii="楷体_GB2312" w:hAnsi="楷体_GB2312" w:eastAsia="楷体_GB2312" w:cs="楷体_GB2312"/>
          <w:b/>
          <w:color w:val="000000"/>
          <w:sz w:val="32"/>
          <w:szCs w:val="32"/>
        </w:rPr>
        <w:t xml:space="preserve">部分  </w:t>
      </w:r>
      <w:r>
        <w:rPr>
          <w:rFonts w:hint="eastAsia" w:ascii="楷体_GB2312" w:hAnsi="楷体_GB2312" w:eastAsia="楷体_GB2312" w:cs="楷体_GB2312"/>
          <w:b/>
          <w:sz w:val="32"/>
          <w:szCs w:val="32"/>
        </w:rPr>
        <w:t>名词解释</w:t>
      </w:r>
    </w:p>
    <w:p>
      <w:pPr>
        <w:spacing w:line="560" w:lineRule="exact"/>
        <w:jc w:val="center"/>
        <w:rPr>
          <w:rFonts w:hint="eastAsia" w:ascii="楷体_GB2312" w:hAnsi="楷体_GB2312" w:eastAsia="楷体_GB2312" w:cs="楷体_GB2312"/>
          <w:b/>
          <w:sz w:val="32"/>
          <w:szCs w:val="32"/>
        </w:rPr>
      </w:pPr>
    </w:p>
    <w:p>
      <w:pPr>
        <w:snapToGrid w:val="0"/>
        <w:spacing w:line="560" w:lineRule="exact"/>
        <w:ind w:firstLine="640" w:firstLineChars="200"/>
        <w:rPr>
          <w:rFonts w:hint="eastAsia" w:ascii="楷体_GB2312" w:hAnsi="楷体_GB2312" w:eastAsia="楷体_GB2312" w:cs="楷体_GB2312"/>
          <w:color w:val="000000"/>
          <w:sz w:val="32"/>
          <w:szCs w:val="32"/>
        </w:rPr>
      </w:pPr>
      <w:r>
        <w:rPr>
          <w:rFonts w:hint="eastAsia" w:ascii="楷体_GB2312" w:hAnsi="楷体_GB2312" w:eastAsia="楷体_GB2312" w:cs="楷体_GB2312"/>
          <w:sz w:val="32"/>
          <w:szCs w:val="32"/>
        </w:rPr>
        <w:t>1、</w:t>
      </w:r>
      <w:r>
        <w:rPr>
          <w:rFonts w:hint="eastAsia" w:ascii="楷体_GB2312" w:hAnsi="楷体_GB2312" w:eastAsia="楷体_GB2312" w:cs="楷体_GB2312"/>
          <w:color w:val="000000"/>
          <w:sz w:val="32"/>
          <w:szCs w:val="32"/>
        </w:rPr>
        <w:t>一般公共预算财政拨款收入：是指财政当年拨付的资金。</w:t>
      </w:r>
    </w:p>
    <w:p>
      <w:pPr>
        <w:snapToGrid w:val="0"/>
        <w:spacing w:line="560" w:lineRule="exact"/>
        <w:ind w:firstLine="640" w:firstLineChars="200"/>
        <w:rPr>
          <w:rFonts w:hint="eastAsia"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2、事业收入：是指事业单位开展专业业务活动及辅助活动所取得的收入。</w:t>
      </w:r>
    </w:p>
    <w:p>
      <w:pPr>
        <w:snapToGrid w:val="0"/>
        <w:spacing w:line="560" w:lineRule="exact"/>
        <w:ind w:firstLine="645"/>
        <w:rPr>
          <w:rFonts w:hint="eastAsia"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3、事业单位经营收入：是指事业单位在专业业务活动及其辅助活动之外开展非独立核算经营活动取得的收入。</w:t>
      </w:r>
    </w:p>
    <w:p>
      <w:pPr>
        <w:snapToGrid w:val="0"/>
        <w:spacing w:line="560" w:lineRule="exact"/>
        <w:ind w:firstLine="645"/>
        <w:rPr>
          <w:rFonts w:hint="eastAsia"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4、其他收入 ：是指除上述“一般公共预算财政拨款收入”、“事业收入”、“事业单位经营收入”等以外的收入。主要是指按规定动用的售房收入、存款利息收入等。</w:t>
      </w:r>
    </w:p>
    <w:p>
      <w:pPr>
        <w:snapToGrid w:val="0"/>
        <w:spacing w:line="560" w:lineRule="exact"/>
        <w:ind w:firstLine="645"/>
        <w:rPr>
          <w:rFonts w:hint="eastAsia"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5、用事业基金弥补收支差额：是指事业单位在预计用当年的“一般公共预算财政拨款收入”、“财政拨款结转和结余资金”、“事业收入”、“事业单位经营收入”、“其他收入”不足以安排当年支出的情况下，使用以前年度积累的事业基金（事业单位当年收支相抵后按国家规定提取、用于弥补以后年度收支差额的基金）弥补本年收支缺口的资金。</w:t>
      </w:r>
    </w:p>
    <w:p>
      <w:pPr>
        <w:snapToGrid w:val="0"/>
        <w:spacing w:line="560" w:lineRule="exact"/>
        <w:ind w:firstLine="645"/>
        <w:rPr>
          <w:rFonts w:hint="eastAsia"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6、上年结转：是指以前年度尚未完成、结转到本年仍按原规定用途继续使用的资金。</w:t>
      </w:r>
    </w:p>
    <w:p>
      <w:pPr>
        <w:snapToGrid w:val="0"/>
        <w:spacing w:line="560" w:lineRule="exact"/>
        <w:ind w:firstLine="645"/>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7、基本支出：是指为保障机构正常运转，完成日常工作任务而发生的人员支出和共用支出。</w:t>
      </w:r>
    </w:p>
    <w:p>
      <w:pPr>
        <w:snapToGrid w:val="0"/>
        <w:spacing w:line="560" w:lineRule="exact"/>
        <w:ind w:firstLine="645"/>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8、项目支出：是指基本支出之外，为完成特定行政任务和事业发展目标所发生的支出。</w:t>
      </w:r>
    </w:p>
    <w:p>
      <w:pPr>
        <w:snapToGrid w:val="0"/>
        <w:spacing w:line="560" w:lineRule="exact"/>
        <w:ind w:firstLine="645"/>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9、“三公”经费：纳入财政预决算管理的“三公”经费，是指部门用财政拨款安排的因公出国（境）费、公务用车购置及运行费和公务接待费。</w:t>
      </w:r>
    </w:p>
    <w:p>
      <w:pPr>
        <w:adjustRightInd w:val="0"/>
        <w:snapToGrid w:val="0"/>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10、机关运行经费：机关运行经费，是指各部门的公用经费，包括办公及印刷费、邮电费、差旅费、会议费、福利费、日常维修费、专业材料及一般设备购置费、办公用房水电费、办公用房取暖费、办公用房物业管理费、公务用车运行维护费以及其他费用。</w:t>
      </w:r>
    </w:p>
    <w:p>
      <w:pPr>
        <w:adjustRightInd w:val="0"/>
        <w:snapToGrid w:val="0"/>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11、工资福利支出（支</w:t>
      </w:r>
      <w:bookmarkStart w:id="0" w:name="_GoBack"/>
      <w:bookmarkEnd w:id="0"/>
      <w:r>
        <w:rPr>
          <w:rFonts w:hint="eastAsia" w:ascii="楷体_GB2312" w:hAnsi="楷体_GB2312" w:eastAsia="楷体_GB2312" w:cs="楷体_GB2312"/>
          <w:sz w:val="32"/>
          <w:szCs w:val="32"/>
        </w:rPr>
        <w:t>出经济分类科目类级）：反映单位开支的在职职工和编制外长期聘用人员的各类活动报酬，以及为上述人员缴纳的各项社会保险费等。</w:t>
      </w:r>
    </w:p>
    <w:p>
      <w:pPr>
        <w:adjustRightInd w:val="0"/>
        <w:snapToGrid w:val="0"/>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12、商品和服务支出（支出经济分类科目类级）：反映单位购买商品和服务的支出（不包括用于购置固定资产的支出、战略性和应急储备支出）。</w:t>
      </w:r>
    </w:p>
    <w:p>
      <w:pPr>
        <w:adjustRightInd w:val="0"/>
        <w:snapToGrid w:val="0"/>
        <w:spacing w:line="560" w:lineRule="exact"/>
        <w:jc w:val="center"/>
        <w:rPr>
          <w:rFonts w:hint="eastAsia" w:ascii="楷体_GB2312" w:hAnsi="黑体" w:eastAsia="楷体_GB2312"/>
          <w:b/>
          <w:color w:val="000000"/>
          <w:sz w:val="32"/>
          <w:szCs w:val="32"/>
        </w:rPr>
      </w:pPr>
    </w:p>
    <w:p>
      <w:pPr>
        <w:adjustRightInd w:val="0"/>
        <w:snapToGrid w:val="0"/>
        <w:spacing w:line="560" w:lineRule="exact"/>
        <w:jc w:val="center"/>
        <w:rPr>
          <w:rFonts w:hint="eastAsia" w:ascii="楷体_GB2312" w:hAnsi="黑体" w:eastAsia="楷体_GB2312"/>
          <w:b/>
          <w:color w:val="000000"/>
          <w:sz w:val="32"/>
          <w:szCs w:val="32"/>
        </w:rPr>
      </w:pPr>
      <w:r>
        <w:rPr>
          <w:rFonts w:hint="eastAsia" w:ascii="楷体_GB2312" w:hAnsi="黑体" w:eastAsia="楷体_GB2312"/>
          <w:b/>
          <w:color w:val="000000"/>
          <w:sz w:val="32"/>
          <w:szCs w:val="32"/>
        </w:rPr>
        <w:t>第五部分  预算公开联系方式及信息反馈渠道</w:t>
      </w:r>
    </w:p>
    <w:p>
      <w:pPr>
        <w:adjustRightInd w:val="0"/>
        <w:snapToGrid w:val="0"/>
        <w:spacing w:line="560" w:lineRule="exact"/>
        <w:jc w:val="center"/>
        <w:rPr>
          <w:rFonts w:hint="eastAsia" w:ascii="楷体_GB2312" w:hAnsi="黑体" w:eastAsia="楷体_GB2312"/>
          <w:b/>
          <w:color w:val="000000"/>
          <w:sz w:val="32"/>
          <w:szCs w:val="32"/>
        </w:rPr>
      </w:pPr>
    </w:p>
    <w:p>
      <w:pPr>
        <w:snapToGrid w:val="0"/>
        <w:spacing w:line="560" w:lineRule="exact"/>
        <w:ind w:firstLine="640" w:firstLineChars="200"/>
        <w:rPr>
          <w:rFonts w:hint="eastAsia" w:ascii="仿宋_GB2312" w:hAnsi="黑体" w:eastAsia="仿宋_GB2312"/>
          <w:color w:val="000000"/>
          <w:sz w:val="32"/>
          <w:szCs w:val="32"/>
        </w:rPr>
      </w:pPr>
      <w:r>
        <w:rPr>
          <w:rFonts w:hint="eastAsia" w:ascii="仿宋_GB2312" w:hAnsi="黑体" w:eastAsia="仿宋_GB2312"/>
          <w:color w:val="000000"/>
          <w:sz w:val="32"/>
          <w:szCs w:val="32"/>
        </w:rPr>
        <w:t>本单位预算公开信息反馈和联系方式：</w:t>
      </w:r>
    </w:p>
    <w:p>
      <w:pPr>
        <w:snapToGrid w:val="0"/>
        <w:spacing w:line="560" w:lineRule="exact"/>
        <w:ind w:firstLine="640" w:firstLineChars="200"/>
        <w:rPr>
          <w:rFonts w:hint="default" w:ascii="楷体_GB2312" w:hAnsi="楷体_GB2312" w:eastAsia="仿宋_GB2312" w:cs="楷体_GB2312"/>
          <w:sz w:val="36"/>
          <w:szCs w:val="44"/>
          <w:lang w:val="en-US" w:eastAsia="zh-CN"/>
        </w:rPr>
      </w:pPr>
      <w:r>
        <w:rPr>
          <w:rFonts w:hint="eastAsia" w:ascii="仿宋_GB2312" w:hAnsi="黑体" w:eastAsia="仿宋_GB2312"/>
          <w:color w:val="000000"/>
          <w:sz w:val="32"/>
          <w:szCs w:val="32"/>
        </w:rPr>
        <w:t>联系人：</w:t>
      </w:r>
      <w:r>
        <w:rPr>
          <w:rFonts w:hint="eastAsia" w:ascii="仿宋_GB2312" w:hAnsi="黑体" w:eastAsia="仿宋_GB2312"/>
          <w:color w:val="000000"/>
          <w:sz w:val="32"/>
          <w:szCs w:val="32"/>
          <w:lang w:val="en-US" w:eastAsia="zh-CN"/>
        </w:rPr>
        <w:t>王彬</w:t>
      </w:r>
      <w:r>
        <w:rPr>
          <w:rFonts w:hint="eastAsia" w:ascii="仿宋_GB2312" w:hAnsi="黑体" w:eastAsia="仿宋_GB2312"/>
          <w:color w:val="000000"/>
          <w:sz w:val="32"/>
          <w:szCs w:val="32"/>
        </w:rPr>
        <w:t xml:space="preserve">           联系电话：</w:t>
      </w:r>
      <w:r>
        <w:rPr>
          <w:rFonts w:hint="eastAsia" w:ascii="仿宋_GB2312" w:hAnsi="黑体" w:eastAsia="仿宋_GB2312"/>
          <w:color w:val="000000"/>
          <w:sz w:val="32"/>
          <w:szCs w:val="32"/>
          <w:lang w:val="en-US" w:eastAsia="zh-CN"/>
        </w:rPr>
        <w:t>13947794199</w:t>
      </w:r>
    </w:p>
    <w:p>
      <w:pPr>
        <w:adjustRightInd w:val="0"/>
        <w:snapToGrid w:val="0"/>
        <w:spacing w:line="560" w:lineRule="exact"/>
        <w:jc w:val="center"/>
        <w:rPr>
          <w:rFonts w:hint="eastAsia" w:ascii="楷体_GB2312" w:hAnsi="黑体" w:eastAsia="楷体_GB2312"/>
          <w:b/>
          <w:color w:val="000000"/>
          <w:sz w:val="32"/>
          <w:szCs w:val="32"/>
        </w:rPr>
      </w:pPr>
    </w:p>
    <w:p>
      <w:pPr>
        <w:adjustRightInd w:val="0"/>
        <w:snapToGrid w:val="0"/>
        <w:spacing w:line="560" w:lineRule="exact"/>
        <w:jc w:val="center"/>
        <w:rPr>
          <w:rFonts w:hint="eastAsia" w:ascii="楷体_GB2312" w:hAnsi="黑体" w:eastAsia="楷体_GB2312"/>
          <w:b/>
          <w:color w:val="000000"/>
          <w:sz w:val="32"/>
          <w:szCs w:val="32"/>
        </w:rPr>
      </w:pPr>
      <w:r>
        <w:rPr>
          <w:rFonts w:hint="eastAsia" w:ascii="楷体_GB2312" w:hAnsi="黑体" w:eastAsia="楷体_GB2312"/>
          <w:b/>
          <w:color w:val="000000"/>
          <w:sz w:val="32"/>
          <w:szCs w:val="32"/>
        </w:rPr>
        <w:t>第六部分  202</w:t>
      </w:r>
      <w:r>
        <w:rPr>
          <w:rFonts w:hint="eastAsia" w:ascii="楷体_GB2312" w:hAnsi="黑体" w:eastAsia="楷体_GB2312"/>
          <w:b/>
          <w:color w:val="000000"/>
          <w:sz w:val="32"/>
          <w:szCs w:val="32"/>
          <w:lang w:val="en-US" w:eastAsia="zh-CN"/>
        </w:rPr>
        <w:t>1</w:t>
      </w:r>
      <w:r>
        <w:rPr>
          <w:rFonts w:hint="eastAsia" w:ascii="楷体_GB2312" w:hAnsi="黑体" w:eastAsia="楷体_GB2312"/>
          <w:b/>
          <w:color w:val="000000"/>
          <w:sz w:val="32"/>
          <w:szCs w:val="32"/>
        </w:rPr>
        <w:t>年部门预算公开表</w:t>
      </w:r>
    </w:p>
    <w:p>
      <w:pPr>
        <w:adjustRightInd w:val="0"/>
        <w:snapToGrid w:val="0"/>
        <w:spacing w:line="560" w:lineRule="exact"/>
        <w:jc w:val="center"/>
        <w:rPr>
          <w:rFonts w:hint="eastAsia" w:ascii="楷体_GB2312" w:hAnsi="黑体" w:eastAsia="楷体_GB2312"/>
          <w:b/>
          <w:color w:val="000000"/>
          <w:sz w:val="32"/>
          <w:szCs w:val="32"/>
        </w:rPr>
      </w:pPr>
    </w:p>
    <w:p>
      <w:r>
        <w:rPr>
          <w:rFonts w:hint="eastAsia"/>
          <w:lang w:val="en-US" w:eastAsia="zh-CN"/>
        </w:rPr>
        <w:t>详见附表</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singleLevel"/>
    <w:tmpl w:val="00000004"/>
    <w:lvl w:ilvl="0" w:tentative="0">
      <w:start w:val="1"/>
      <w:numFmt w:val="chineseCounting"/>
      <w:suff w:val="nothing"/>
      <w:lvlText w:val="%1、"/>
      <w:lvlJc w:val="left"/>
    </w:lvl>
  </w:abstractNum>
  <w:abstractNum w:abstractNumId="1">
    <w:nsid w:val="00000006"/>
    <w:multiLevelType w:val="singleLevel"/>
    <w:tmpl w:val="00000006"/>
    <w:lvl w:ilvl="0" w:tentative="0">
      <w:start w:val="1"/>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7A1C83"/>
    <w:rsid w:val="08955792"/>
    <w:rsid w:val="4E7A1C83"/>
    <w:rsid w:val="7B500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2021-04-13T09:07:00Z</dcterms:created>
  <dc:creator>baomi</dc:creator>
  <cp:lastModifiedBy>baomi</cp:lastModifiedBy>
  <dcterms:modified xsi:type="dcterms:W3CDTF">2021-04-14T01:52:25Z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D0D1171B4563445CB7EF1458B1BEAF97</vt:lpwstr>
  </property>
</Properties>
</file>