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59AB5">
      <w:pPr>
        <w:pStyle w:val="14"/>
        <w:keepNext w:val="0"/>
        <w:keepLines w:val="0"/>
        <w:pageBreakBefore w:val="0"/>
        <w:shd w:val="clear"/>
        <w:kinsoku/>
        <w:wordWrap/>
        <w:overflowPunct/>
        <w:topLinePunct w:val="0"/>
        <w:bidi w:val="0"/>
        <w:adjustRightInd w:val="0"/>
        <w:snapToGrid w:val="0"/>
        <w:spacing w:after="0"/>
        <w:ind w:left="0" w:leftChars="0" w:firstLine="0" w:firstLineChars="0"/>
        <w:jc w:val="center"/>
        <w:outlineLvl w:val="9"/>
        <w:rPr>
          <w:rFonts w:hint="default" w:ascii="宋体" w:hAnsi="宋体" w:eastAsia="宋体" w:cs="宋体"/>
          <w:b w:val="0"/>
          <w:bCs/>
          <w:sz w:val="36"/>
          <w:szCs w:val="36"/>
          <w:lang w:val="en-US" w:eastAsia="zh-CN"/>
        </w:rPr>
      </w:pPr>
      <w:bookmarkStart w:id="0" w:name="_Toc4431"/>
      <w:bookmarkStart w:id="1" w:name="_Toc19563"/>
      <w:bookmarkStart w:id="2" w:name="_Toc18562"/>
      <w:r>
        <w:rPr>
          <w:rFonts w:hint="eastAsia" w:ascii="方正小标宋简体" w:hAnsi="方正小标宋简体" w:eastAsia="方正小标宋简体" w:cs="方正小标宋简体"/>
          <w:b w:val="0"/>
          <w:bCs/>
          <w:sz w:val="36"/>
          <w:szCs w:val="36"/>
          <w:lang w:val="en-US" w:eastAsia="zh-CN"/>
        </w:rPr>
        <w:t>重点区域绿化项目绩效评价报告</w:t>
      </w:r>
      <w:bookmarkEnd w:id="0"/>
      <w:bookmarkEnd w:id="1"/>
      <w:bookmarkEnd w:id="2"/>
      <w:r>
        <w:rPr>
          <w:rFonts w:hint="eastAsia" w:ascii="方正小标宋简体" w:hAnsi="方正小标宋简体" w:eastAsia="方正小标宋简体" w:cs="方正小标宋简体"/>
          <w:b w:val="0"/>
          <w:bCs/>
          <w:sz w:val="36"/>
          <w:szCs w:val="36"/>
          <w:lang w:val="en-US" w:eastAsia="zh-CN"/>
        </w:rPr>
        <w:t>简要版</w:t>
      </w:r>
    </w:p>
    <w:p w14:paraId="4271AF56">
      <w:pPr>
        <w:bidi w:val="0"/>
        <w:rPr>
          <w:rFonts w:hint="eastAsia"/>
          <w:highlight w:val="none"/>
          <w:lang w:val="en-US" w:eastAsia="zh-CN"/>
        </w:rPr>
      </w:pPr>
    </w:p>
    <w:p w14:paraId="2B7665BD">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640" w:firstLineChars="200"/>
        <w:jc w:val="both"/>
        <w:textAlignment w:val="auto"/>
        <w:outlineLvl w:val="0"/>
        <w:rPr>
          <w:rFonts w:hint="eastAsia" w:ascii="黑体" w:eastAsia="黑体"/>
          <w:sz w:val="32"/>
          <w:szCs w:val="32"/>
        </w:rPr>
      </w:pPr>
      <w:bookmarkStart w:id="3" w:name="_Toc87519052"/>
      <w:bookmarkStart w:id="4" w:name="_Toc35588393"/>
      <w:bookmarkStart w:id="5" w:name="_Toc23682"/>
      <w:bookmarkStart w:id="6" w:name="_Toc17642"/>
      <w:bookmarkStart w:id="7" w:name="_Toc15955"/>
      <w:bookmarkStart w:id="8" w:name="_Toc2673"/>
      <w:bookmarkStart w:id="9" w:name="_Toc14161"/>
      <w:r>
        <w:rPr>
          <w:rFonts w:hint="eastAsia" w:ascii="黑体" w:eastAsia="黑体"/>
          <w:sz w:val="32"/>
          <w:szCs w:val="32"/>
        </w:rPr>
        <w:t>一、基本情况</w:t>
      </w:r>
      <w:bookmarkEnd w:id="3"/>
      <w:bookmarkEnd w:id="4"/>
      <w:bookmarkEnd w:id="5"/>
      <w:bookmarkEnd w:id="6"/>
      <w:bookmarkEnd w:id="7"/>
      <w:bookmarkEnd w:id="8"/>
      <w:bookmarkEnd w:id="9"/>
    </w:p>
    <w:p w14:paraId="6B8CF62B">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640" w:firstLineChars="200"/>
        <w:jc w:val="both"/>
        <w:textAlignment w:val="auto"/>
        <w:outlineLvl w:val="1"/>
        <w:rPr>
          <w:rFonts w:hint="eastAsia" w:ascii="楷体_GB2312" w:eastAsia="楷体_GB2312"/>
          <w:sz w:val="32"/>
          <w:szCs w:val="32"/>
          <w:lang w:val="en-US" w:eastAsia="zh-CN"/>
        </w:rPr>
      </w:pPr>
      <w:bookmarkStart w:id="10" w:name="_Toc27195"/>
      <w:bookmarkStart w:id="11" w:name="_Toc11690"/>
      <w:bookmarkStart w:id="12" w:name="_Toc87519053"/>
      <w:bookmarkStart w:id="13" w:name="_Toc35588394"/>
      <w:bookmarkStart w:id="14" w:name="_Toc11328"/>
      <w:bookmarkStart w:id="15" w:name="_Toc13473"/>
      <w:bookmarkStart w:id="16" w:name="_Toc25247"/>
      <w:r>
        <w:rPr>
          <w:rFonts w:hint="eastAsia" w:ascii="楷体_GB2312" w:eastAsia="楷体_GB2312"/>
          <w:sz w:val="32"/>
          <w:szCs w:val="32"/>
        </w:rPr>
        <w:t>（一）</w:t>
      </w:r>
      <w:bookmarkEnd w:id="10"/>
      <w:bookmarkEnd w:id="11"/>
      <w:bookmarkEnd w:id="12"/>
      <w:bookmarkEnd w:id="13"/>
      <w:bookmarkEnd w:id="14"/>
      <w:bookmarkEnd w:id="15"/>
      <w:r>
        <w:rPr>
          <w:rFonts w:hint="eastAsia" w:ascii="楷体_GB2312" w:eastAsia="楷体_GB2312"/>
          <w:sz w:val="32"/>
          <w:szCs w:val="32"/>
        </w:rPr>
        <w:t>项目背景</w:t>
      </w:r>
      <w:bookmarkEnd w:id="16"/>
    </w:p>
    <w:p w14:paraId="009A464B">
      <w:pPr>
        <w:bidi w:val="0"/>
        <w:rPr>
          <w:rFonts w:hint="eastAsia"/>
          <w:lang w:val="en-US" w:eastAsia="zh-CN"/>
        </w:rPr>
      </w:pPr>
      <w:bookmarkStart w:id="17" w:name="_Toc24151"/>
      <w:r>
        <w:rPr>
          <w:rFonts w:hint="eastAsia"/>
          <w:lang w:val="en-US" w:eastAsia="zh-CN"/>
        </w:rPr>
        <w:t>植树造林是新造或更新森林的生产活动，它是培育森林的一个基本</w:t>
      </w:r>
      <w:bookmarkStart w:id="75" w:name="_GoBack"/>
      <w:bookmarkEnd w:id="75"/>
      <w:r>
        <w:rPr>
          <w:rFonts w:hint="eastAsia"/>
          <w:lang w:val="en-US" w:eastAsia="zh-CN"/>
        </w:rPr>
        <w:t>环节，对沙化治理、控制水土流失、防风固沙、增加土壤蓄水能力等作用明显。近年来，在推进大规模国土绿化行动中，义务植树发挥着不可替代的作用。党中央、国务院高度重视林业生态建设，习近平总书记提出“绿水青山就是金山银山”的口号，对全民义务植树作出了一系列重要指示，为深入开展全民义务植树活动提供了根本宗旨和行动指南。根据国家林业和草原局发布的“2019年全国林业和草原发展统计公报”（以下简称公报）显示，2019年全国共完成造林面积10949万亩（729.95万公顷），完成森林抚育面积13014万亩（867.60万公顷），两项任务均较“2019-2020年全国营造林生产滚动计划”超额完成：2019年，内蒙古造林面积超过900万亩，位列全国第二位。由公报数据可见，内蒙古作为造林大省，在全国植树造林、改善生态环境的工作起到至关重要的作用，用实际行动积极响应习近平主席“绿水青山就是金山银山”的重要理念，为全国绿化事业作出重大贡献。</w:t>
      </w:r>
    </w:p>
    <w:p w14:paraId="7947C62D">
      <w:pPr>
        <w:bidi w:val="0"/>
        <w:rPr>
          <w:rFonts w:hint="eastAsia"/>
          <w:lang w:val="en-US" w:eastAsia="zh-CN"/>
        </w:rPr>
      </w:pPr>
      <w:r>
        <w:rPr>
          <w:rFonts w:hint="eastAsia"/>
          <w:lang w:val="en-US" w:eastAsia="zh-CN"/>
        </w:rPr>
        <w:t>伊金霍洛旗以党的十九大精神和习近平总书记系列重要讲话精神为指导，加强森林经营提升森林品质为目标，按照习近平总书记提出的“绿水青山就是金山银山”、“建设美丽中国”的总要求，坚定不移地实施以生态建设为主的林业发展战略，牢固树立和践行“绿水青山就是金山银山”的理念，以推动形成人与自然和谐发展的现代化建设新格局为总任务，以改革推动、创新引领为总抓手，突出抓好森林旅游、生态建设、资源管理和改革创新，切实提高林业发展的质量和效益，奋力开创现代林业发展新局面。</w:t>
      </w:r>
    </w:p>
    <w:bookmarkEnd w:id="17"/>
    <w:p w14:paraId="307263E3">
      <w:pPr>
        <w:pStyle w:val="3"/>
        <w:bidi w:val="0"/>
        <w:rPr>
          <w:rFonts w:hint="eastAsia"/>
        </w:rPr>
      </w:pPr>
      <w:bookmarkStart w:id="18" w:name="_Toc2119"/>
      <w:r>
        <w:rPr>
          <w:rFonts w:hint="eastAsia"/>
          <w:lang w:eastAsia="zh-CN"/>
        </w:rPr>
        <w:t>（</w:t>
      </w:r>
      <w:r>
        <w:rPr>
          <w:rFonts w:hint="eastAsia"/>
          <w:lang w:val="en-US" w:eastAsia="zh-CN"/>
        </w:rPr>
        <w:t>二</w:t>
      </w:r>
      <w:r>
        <w:rPr>
          <w:rFonts w:hint="eastAsia"/>
          <w:lang w:eastAsia="zh-CN"/>
        </w:rPr>
        <w:t>）</w:t>
      </w:r>
      <w:r>
        <w:rPr>
          <w:rFonts w:hint="eastAsia"/>
          <w:lang w:val="en-US" w:eastAsia="zh-CN"/>
        </w:rPr>
        <w:t>项目主要内容及实施情况</w:t>
      </w:r>
      <w:bookmarkEnd w:id="18"/>
    </w:p>
    <w:p w14:paraId="4A81EE9E">
      <w:pPr>
        <w:bidi w:val="0"/>
        <w:rPr>
          <w:rFonts w:hint="eastAsia"/>
          <w:lang w:val="en-US" w:eastAsia="zh-CN"/>
        </w:rPr>
      </w:pPr>
      <w:r>
        <w:rPr>
          <w:rFonts w:hint="eastAsia"/>
          <w:lang w:val="en-US" w:eastAsia="zh-CN"/>
        </w:rPr>
        <w:t>1.建设内容：</w:t>
      </w:r>
    </w:p>
    <w:p w14:paraId="7865D1AD">
      <w:pPr>
        <w:bidi w:val="0"/>
        <w:rPr>
          <w:rFonts w:hint="eastAsia"/>
          <w:lang w:val="en-US" w:eastAsia="zh-CN"/>
        </w:rPr>
      </w:pPr>
      <w:r>
        <w:rPr>
          <w:rFonts w:hint="eastAsia"/>
          <w:lang w:val="en-US" w:eastAsia="zh-CN"/>
        </w:rPr>
        <w:t>（1）对210绕城线东侧山体进行绿化，树种种植包含樟子松、油松2种，营造林面积共计376000平方米（绿化分为210绕城线东侧A、B两区，本次绩效评价只涉及A区）。</w:t>
      </w:r>
    </w:p>
    <w:p w14:paraId="7916DC85">
      <w:pPr>
        <w:bidi w:val="0"/>
        <w:rPr>
          <w:rFonts w:hint="default"/>
          <w:lang w:val="en-US"/>
        </w:rPr>
      </w:pPr>
      <w:r>
        <w:rPr>
          <w:rFonts w:hint="eastAsia"/>
          <w:lang w:val="en-US" w:eastAsia="zh-CN"/>
        </w:rPr>
        <w:t>（2）对迎宾大道西侧进行绿化，树种种植包含樟子松、云杉、杜松、白蜡、山桃、金叶榆、紫叶稠李、红叶李、紫叶矮樱、榆叶梅、卫矛、五角枫、山楂共13种，营造林面积共计123333平方米。</w:t>
      </w:r>
    </w:p>
    <w:p w14:paraId="3617B55B">
      <w:pPr>
        <w:bidi w:val="0"/>
        <w:rPr>
          <w:rFonts w:hint="default" w:eastAsia="仿宋_GB2312"/>
          <w:lang w:val="en-US" w:eastAsia="zh-CN"/>
        </w:rPr>
      </w:pPr>
      <w:r>
        <w:rPr>
          <w:rFonts w:hint="eastAsia"/>
          <w:lang w:val="en-US" w:eastAsia="zh-CN"/>
        </w:rPr>
        <w:t>2</w:t>
      </w:r>
      <w:r>
        <w:rPr>
          <w:rFonts w:hint="eastAsia"/>
        </w:rPr>
        <w:t>.</w:t>
      </w:r>
      <w:r>
        <w:rPr>
          <w:rFonts w:hint="eastAsia"/>
          <w:lang w:val="en-US" w:eastAsia="zh-CN"/>
        </w:rPr>
        <w:t>实施情况</w:t>
      </w:r>
    </w:p>
    <w:p w14:paraId="516301A7">
      <w:pPr>
        <w:bidi w:val="0"/>
        <w:rPr>
          <w:rFonts w:hint="eastAsia"/>
        </w:rPr>
      </w:pPr>
      <w:r>
        <w:rPr>
          <w:rFonts w:hint="eastAsia" w:ascii="仿宋_GB2312" w:hAnsi="仿宋_GB2312" w:eastAsia="仿宋_GB2312" w:cs="仿宋_GB2312"/>
          <w:lang w:val="en-US" w:eastAsia="zh-CN"/>
        </w:rPr>
        <w:t>截至2023年12月31日，</w:t>
      </w:r>
      <w:r>
        <w:rPr>
          <w:rFonts w:hint="eastAsia" w:cs="仿宋_GB2312"/>
          <w:lang w:val="en-US" w:eastAsia="zh-CN"/>
        </w:rPr>
        <w:t>2023年重点区域绿化项目</w:t>
      </w:r>
      <w:r>
        <w:rPr>
          <w:rFonts w:hint="eastAsia" w:ascii="仿宋_GB2312" w:hAnsi="仿宋_GB2312" w:eastAsia="仿宋_GB2312" w:cs="仿宋_GB2312"/>
          <w:lang w:val="en-US" w:eastAsia="zh-CN"/>
        </w:rPr>
        <w:t>已全部完成</w:t>
      </w:r>
      <w:r>
        <w:rPr>
          <w:rFonts w:hint="eastAsia"/>
        </w:rPr>
        <w:t>。</w:t>
      </w:r>
      <w:bookmarkStart w:id="19" w:name="_Toc87519055"/>
      <w:bookmarkStart w:id="20" w:name="_Toc22274"/>
      <w:bookmarkStart w:id="21" w:name="_Toc1749"/>
      <w:bookmarkStart w:id="22" w:name="_Toc30229"/>
      <w:bookmarkStart w:id="23" w:name="_Toc26342"/>
      <w:bookmarkStart w:id="24" w:name="_Toc35588401"/>
    </w:p>
    <w:p w14:paraId="0D1DAF28">
      <w:pPr>
        <w:pStyle w:val="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lang w:val="en-US" w:eastAsia="zh-CN"/>
        </w:rPr>
      </w:pPr>
      <w:bookmarkStart w:id="25" w:name="_Toc8071"/>
      <w:bookmarkStart w:id="26" w:name="_Toc25077"/>
      <w:bookmarkStart w:id="27" w:name="_Toc15596"/>
      <w:bookmarkStart w:id="28" w:name="_Toc8499"/>
      <w:r>
        <w:rPr>
          <w:rFonts w:hint="eastAsia" w:ascii="Arial" w:hAnsi="Arial" w:eastAsia="楷体_GB2312" w:cs="仿宋_GB2312"/>
          <w:kern w:val="2"/>
          <w:sz w:val="32"/>
          <w:szCs w:val="32"/>
          <w:lang w:val="en-US" w:eastAsia="zh-CN" w:bidi="ar-SA"/>
        </w:rPr>
        <w:t>（三）</w:t>
      </w:r>
      <w:r>
        <w:rPr>
          <w:rFonts w:hint="eastAsia" w:cs="仿宋_GB2312"/>
          <w:kern w:val="2"/>
          <w:sz w:val="32"/>
          <w:szCs w:val="32"/>
          <w:lang w:val="en-US" w:eastAsia="zh-CN" w:bidi="ar-SA"/>
        </w:rPr>
        <w:t>资金投入和使用情况</w:t>
      </w:r>
      <w:bookmarkEnd w:id="25"/>
      <w:bookmarkEnd w:id="26"/>
      <w:bookmarkEnd w:id="27"/>
      <w:bookmarkEnd w:id="28"/>
    </w:p>
    <w:p w14:paraId="42B10591">
      <w:pPr>
        <w:bidi w:val="0"/>
        <w:rPr>
          <w:rFonts w:hint="eastAsia" w:ascii="仿宋_GB2312" w:hAnsi="仿宋_GB2312" w:cs="仿宋_GB2312"/>
          <w:lang w:val="en-US" w:eastAsia="zh-CN"/>
        </w:rPr>
      </w:pPr>
      <w:r>
        <w:rPr>
          <w:rFonts w:hint="eastAsia" w:ascii="仿宋_GB2312" w:hAnsi="仿宋_GB2312" w:eastAsia="仿宋_GB2312" w:cs="仿宋_GB2312"/>
          <w:lang w:val="en-US" w:eastAsia="zh-CN"/>
        </w:rPr>
        <w:t>2023年预算资金</w:t>
      </w:r>
      <w:r>
        <w:rPr>
          <w:rFonts w:hint="eastAsia" w:cs="仿宋_GB2312"/>
          <w:lang w:val="en-US" w:eastAsia="zh-CN"/>
        </w:rPr>
        <w:t>200.00</w:t>
      </w:r>
      <w:r>
        <w:rPr>
          <w:rFonts w:hint="eastAsia" w:ascii="仿宋_GB2312" w:hAnsi="仿宋_GB2312" w:cs="仿宋_GB2312"/>
          <w:lang w:val="en-US" w:eastAsia="zh-CN"/>
        </w:rPr>
        <w:t>万元，</w:t>
      </w:r>
      <w:r>
        <w:rPr>
          <w:rFonts w:hint="eastAsia" w:ascii="仿宋_GB2312" w:hAnsi="仿宋_GB2312" w:eastAsia="仿宋_GB2312" w:cs="仿宋_GB2312"/>
          <w:lang w:val="en-US" w:eastAsia="zh-CN"/>
        </w:rPr>
        <w:t>到位</w:t>
      </w:r>
      <w:r>
        <w:rPr>
          <w:rFonts w:hint="eastAsia" w:ascii="仿宋_GB2312" w:hAnsi="仿宋_GB2312" w:cs="仿宋_GB2312"/>
          <w:lang w:val="en-US" w:eastAsia="zh-CN"/>
        </w:rPr>
        <w:t>资金</w:t>
      </w:r>
      <w:r>
        <w:rPr>
          <w:rFonts w:hint="eastAsia" w:cs="仿宋_GB2312"/>
          <w:lang w:val="en-US" w:eastAsia="zh-CN"/>
        </w:rPr>
        <w:t>200.00</w:t>
      </w:r>
      <w:r>
        <w:rPr>
          <w:rFonts w:hint="eastAsia" w:ascii="仿宋_GB2312" w:hAnsi="仿宋_GB2312" w:eastAsia="仿宋_GB2312" w:cs="仿宋_GB2312"/>
          <w:lang w:val="en-US" w:eastAsia="zh-CN"/>
        </w:rPr>
        <w:t>万元，截至2023年12月31日，实际支付</w:t>
      </w:r>
      <w:r>
        <w:rPr>
          <w:rFonts w:hint="eastAsia" w:cs="仿宋_GB2312"/>
          <w:highlight w:val="none"/>
          <w:lang w:val="en-US" w:eastAsia="zh-CN"/>
        </w:rPr>
        <w:t>200.00</w:t>
      </w:r>
      <w:r>
        <w:rPr>
          <w:rFonts w:hint="eastAsia" w:ascii="仿宋_GB2312" w:hAnsi="仿宋_GB2312" w:eastAsia="仿宋_GB2312" w:cs="仿宋_GB2312"/>
          <w:highlight w:val="none"/>
          <w:lang w:val="en-US" w:eastAsia="zh-CN"/>
        </w:rPr>
        <w:t>万元，资金执行率</w:t>
      </w:r>
      <w:r>
        <w:rPr>
          <w:rFonts w:hint="eastAsia" w:cs="仿宋_GB2312"/>
          <w:highlight w:val="none"/>
          <w:lang w:val="en-US" w:eastAsia="zh-CN"/>
        </w:rPr>
        <w:t>100</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具体支出明细如下：</w:t>
      </w:r>
    </w:p>
    <w:p w14:paraId="19B8EFBA">
      <w:pPr>
        <w:keepNext/>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仿宋_GB2312" w:cs="仿宋_GB2312"/>
          <w:lang w:val="en-US" w:eastAsia="zh-CN"/>
        </w:rPr>
      </w:pPr>
      <w:r>
        <w:rPr>
          <w:rFonts w:hint="eastAsia" w:ascii="黑体" w:hAnsi="宋体" w:eastAsia="黑体" w:cs="黑体"/>
          <w:kern w:val="2"/>
          <w:sz w:val="28"/>
          <w:szCs w:val="28"/>
          <w:lang w:val="en-US" w:eastAsia="zh-CN" w:bidi="ar"/>
        </w:rPr>
        <w:t>表1：2023年重点区域绿化项目支出明细表</w:t>
      </w:r>
    </w:p>
    <w:tbl>
      <w:tblPr>
        <w:tblStyle w:val="16"/>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4120"/>
        <w:gridCol w:w="1710"/>
        <w:gridCol w:w="1974"/>
      </w:tblGrid>
      <w:tr w14:paraId="329E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45" w:type="dxa"/>
            <w:vAlign w:val="center"/>
          </w:tcPr>
          <w:p w14:paraId="246D6305">
            <w:pPr>
              <w:keepNext/>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序号</w:t>
            </w:r>
          </w:p>
        </w:tc>
        <w:tc>
          <w:tcPr>
            <w:tcW w:w="4120" w:type="dxa"/>
            <w:vAlign w:val="center"/>
          </w:tcPr>
          <w:p w14:paraId="3986B32F">
            <w:pPr>
              <w:keepNext/>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名称</w:t>
            </w:r>
          </w:p>
        </w:tc>
        <w:tc>
          <w:tcPr>
            <w:tcW w:w="1710" w:type="dxa"/>
            <w:vAlign w:val="center"/>
          </w:tcPr>
          <w:p w14:paraId="7F38095A">
            <w:pPr>
              <w:keepNext/>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合同价（万元）</w:t>
            </w:r>
          </w:p>
        </w:tc>
        <w:tc>
          <w:tcPr>
            <w:tcW w:w="1974" w:type="dxa"/>
            <w:vAlign w:val="center"/>
          </w:tcPr>
          <w:p w14:paraId="65836BEC">
            <w:pPr>
              <w:keepNext/>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支出金额（万元）</w:t>
            </w:r>
          </w:p>
        </w:tc>
      </w:tr>
      <w:tr w14:paraId="32B9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 w:type="dxa"/>
            <w:vAlign w:val="center"/>
          </w:tcPr>
          <w:p w14:paraId="1904D154">
            <w:pPr>
              <w:keepNext/>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1</w:t>
            </w:r>
          </w:p>
        </w:tc>
        <w:tc>
          <w:tcPr>
            <w:tcW w:w="4120" w:type="dxa"/>
            <w:vAlign w:val="center"/>
          </w:tcPr>
          <w:p w14:paraId="6247971B">
            <w:pPr>
              <w:keepNext/>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支付鄂尔多斯市臻源商贸有限公司项目款</w:t>
            </w:r>
          </w:p>
        </w:tc>
        <w:tc>
          <w:tcPr>
            <w:tcW w:w="1710" w:type="dxa"/>
            <w:vAlign w:val="center"/>
          </w:tcPr>
          <w:p w14:paraId="65DAEABB">
            <w:pPr>
              <w:keepNext/>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145.23</w:t>
            </w:r>
          </w:p>
        </w:tc>
        <w:tc>
          <w:tcPr>
            <w:tcW w:w="1974" w:type="dxa"/>
            <w:vAlign w:val="center"/>
          </w:tcPr>
          <w:p w14:paraId="6ECE714C">
            <w:pPr>
              <w:keepNext/>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62.30</w:t>
            </w:r>
          </w:p>
        </w:tc>
      </w:tr>
      <w:tr w14:paraId="5A1F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 w:type="dxa"/>
            <w:vAlign w:val="center"/>
          </w:tcPr>
          <w:p w14:paraId="1B86D685">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2</w:t>
            </w:r>
          </w:p>
        </w:tc>
        <w:tc>
          <w:tcPr>
            <w:tcW w:w="4120" w:type="dxa"/>
            <w:vAlign w:val="center"/>
          </w:tcPr>
          <w:p w14:paraId="1645759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支付内蒙古博明建设工程有限公司项目款</w:t>
            </w:r>
          </w:p>
        </w:tc>
        <w:tc>
          <w:tcPr>
            <w:tcW w:w="1710" w:type="dxa"/>
            <w:vAlign w:val="center"/>
          </w:tcPr>
          <w:p w14:paraId="44977427">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319.33</w:t>
            </w:r>
          </w:p>
        </w:tc>
        <w:tc>
          <w:tcPr>
            <w:tcW w:w="1974" w:type="dxa"/>
            <w:vAlign w:val="center"/>
          </w:tcPr>
          <w:p w14:paraId="336EEA39">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137.00</w:t>
            </w:r>
          </w:p>
        </w:tc>
      </w:tr>
      <w:tr w14:paraId="1B9F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45" w:type="dxa"/>
            <w:vAlign w:val="center"/>
          </w:tcPr>
          <w:p w14:paraId="1EA329A0">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3</w:t>
            </w:r>
          </w:p>
        </w:tc>
        <w:tc>
          <w:tcPr>
            <w:tcW w:w="4120" w:type="dxa"/>
            <w:vAlign w:val="center"/>
          </w:tcPr>
          <w:p w14:paraId="61B5051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支付皓筠工程设计有限公司鄂尔多斯市分公司设计费</w:t>
            </w:r>
          </w:p>
        </w:tc>
        <w:tc>
          <w:tcPr>
            <w:tcW w:w="1710" w:type="dxa"/>
            <w:vAlign w:val="center"/>
          </w:tcPr>
          <w:p w14:paraId="2763538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1.00</w:t>
            </w:r>
          </w:p>
        </w:tc>
        <w:tc>
          <w:tcPr>
            <w:tcW w:w="1974" w:type="dxa"/>
            <w:vAlign w:val="center"/>
          </w:tcPr>
          <w:p w14:paraId="1F61D2A3">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val="0"/>
                <w:bCs w:val="0"/>
                <w:kern w:val="2"/>
                <w:sz w:val="22"/>
                <w:szCs w:val="22"/>
                <w:highlight w:val="none"/>
                <w:lang w:val="en-US" w:eastAsia="zh-CN" w:bidi="ar"/>
              </w:rPr>
            </w:pPr>
            <w:r>
              <w:rPr>
                <w:rFonts w:hint="eastAsia" w:ascii="宋体" w:hAnsi="宋体" w:eastAsia="宋体" w:cs="宋体"/>
                <w:b w:val="0"/>
                <w:bCs w:val="0"/>
                <w:kern w:val="2"/>
                <w:sz w:val="22"/>
                <w:szCs w:val="22"/>
                <w:highlight w:val="none"/>
                <w:lang w:val="en-US" w:eastAsia="zh-CN" w:bidi="ar"/>
              </w:rPr>
              <w:t>0.70</w:t>
            </w:r>
          </w:p>
        </w:tc>
      </w:tr>
      <w:tr w14:paraId="799C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65" w:type="dxa"/>
            <w:gridSpan w:val="2"/>
            <w:vAlign w:val="center"/>
          </w:tcPr>
          <w:p w14:paraId="75D35ABE">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合计</w:t>
            </w:r>
          </w:p>
        </w:tc>
        <w:tc>
          <w:tcPr>
            <w:tcW w:w="1710" w:type="dxa"/>
            <w:vAlign w:val="center"/>
          </w:tcPr>
          <w:p w14:paraId="5BBFD6AF">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465.56</w:t>
            </w:r>
          </w:p>
        </w:tc>
        <w:tc>
          <w:tcPr>
            <w:tcW w:w="1974" w:type="dxa"/>
            <w:vAlign w:val="center"/>
          </w:tcPr>
          <w:p w14:paraId="2103A72C">
            <w:pPr>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240" w:lineRule="auto"/>
              <w:ind w:left="0" w:leftChars="0" w:right="0" w:firstLine="0" w:firstLineChars="0"/>
              <w:jc w:val="center"/>
              <w:textAlignment w:val="auto"/>
              <w:rPr>
                <w:rFonts w:hint="default" w:ascii="宋体" w:hAnsi="宋体" w:eastAsia="宋体" w:cs="宋体"/>
                <w:b/>
                <w:bCs/>
                <w:kern w:val="2"/>
                <w:sz w:val="22"/>
                <w:szCs w:val="22"/>
                <w:highlight w:val="none"/>
                <w:lang w:val="en-US" w:eastAsia="zh-CN" w:bidi="ar"/>
              </w:rPr>
            </w:pPr>
            <w:r>
              <w:rPr>
                <w:rFonts w:hint="eastAsia" w:ascii="宋体" w:hAnsi="宋体" w:eastAsia="宋体" w:cs="宋体"/>
                <w:b/>
                <w:bCs/>
                <w:kern w:val="2"/>
                <w:sz w:val="22"/>
                <w:szCs w:val="22"/>
                <w:highlight w:val="none"/>
                <w:lang w:val="en-US" w:eastAsia="zh-CN" w:bidi="ar"/>
              </w:rPr>
              <w:t>200.00</w:t>
            </w:r>
          </w:p>
        </w:tc>
      </w:tr>
    </w:tbl>
    <w:p w14:paraId="2FC4BC6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default" w:ascii="仿宋_GB2312" w:hAnsi="仿宋_GB2312" w:cs="仿宋_GB2312"/>
          <w:lang w:val="en-US" w:eastAsia="zh-CN"/>
        </w:rPr>
      </w:pPr>
      <w:r>
        <w:rPr>
          <w:rFonts w:hint="eastAsia" w:ascii="仿宋_GB2312" w:hAnsi="仿宋_GB2312" w:eastAsia="仿宋_GB2312" w:cs="仿宋_GB2312"/>
          <w:sz w:val="20"/>
          <w:szCs w:val="20"/>
          <w:lang w:val="en-US" w:eastAsia="zh-CN"/>
        </w:rPr>
        <w:t>备注：与</w:t>
      </w:r>
      <w:r>
        <w:rPr>
          <w:rFonts w:hint="eastAsia" w:ascii="仿宋_GB2312" w:hAnsi="仿宋_GB2312" w:eastAsia="仿宋_GB2312" w:cs="仿宋_GB2312"/>
          <w:b w:val="0"/>
          <w:bCs w:val="0"/>
          <w:kern w:val="2"/>
          <w:sz w:val="20"/>
          <w:szCs w:val="20"/>
          <w:highlight w:val="none"/>
          <w:lang w:val="en-US" w:eastAsia="zh-CN" w:bidi="ar"/>
        </w:rPr>
        <w:t>皓筠工程设计有限公司鄂尔多斯市分公司签订服务合同</w:t>
      </w:r>
      <w:r>
        <w:rPr>
          <w:rFonts w:hint="eastAsia" w:cs="仿宋_GB2312"/>
          <w:b w:val="0"/>
          <w:bCs w:val="0"/>
          <w:kern w:val="2"/>
          <w:sz w:val="20"/>
          <w:szCs w:val="20"/>
          <w:highlight w:val="none"/>
          <w:lang w:val="en-US" w:eastAsia="zh-CN" w:bidi="ar"/>
        </w:rPr>
        <w:t>共2份</w:t>
      </w:r>
      <w:r>
        <w:rPr>
          <w:rFonts w:hint="eastAsia" w:ascii="仿宋_GB2312" w:hAnsi="仿宋_GB2312" w:eastAsia="仿宋_GB2312" w:cs="仿宋_GB2312"/>
          <w:b w:val="0"/>
          <w:bCs w:val="0"/>
          <w:kern w:val="2"/>
          <w:sz w:val="20"/>
          <w:szCs w:val="20"/>
          <w:highlight w:val="none"/>
          <w:lang w:val="en-US" w:eastAsia="zh-CN" w:bidi="ar"/>
        </w:rPr>
        <w:t>，</w:t>
      </w:r>
      <w:r>
        <w:rPr>
          <w:rFonts w:hint="eastAsia" w:cs="仿宋_GB2312"/>
          <w:b w:val="0"/>
          <w:bCs w:val="0"/>
          <w:kern w:val="2"/>
          <w:sz w:val="20"/>
          <w:szCs w:val="20"/>
          <w:highlight w:val="none"/>
          <w:lang w:val="en-US" w:eastAsia="zh-CN" w:bidi="ar"/>
        </w:rPr>
        <w:t>合同</w:t>
      </w:r>
      <w:r>
        <w:rPr>
          <w:rFonts w:hint="eastAsia" w:ascii="仿宋_GB2312" w:hAnsi="仿宋_GB2312" w:eastAsia="仿宋_GB2312" w:cs="仿宋_GB2312"/>
          <w:b w:val="0"/>
          <w:bCs w:val="0"/>
          <w:kern w:val="2"/>
          <w:sz w:val="20"/>
          <w:szCs w:val="20"/>
          <w:highlight w:val="none"/>
          <w:lang w:val="en-US" w:eastAsia="zh-CN" w:bidi="ar"/>
        </w:rPr>
        <w:t>共</w:t>
      </w:r>
      <w:r>
        <w:rPr>
          <w:rFonts w:hint="eastAsia" w:cs="仿宋_GB2312"/>
          <w:b w:val="0"/>
          <w:bCs w:val="0"/>
          <w:kern w:val="2"/>
          <w:sz w:val="20"/>
          <w:szCs w:val="20"/>
          <w:highlight w:val="none"/>
          <w:lang w:val="en-US" w:eastAsia="zh-CN" w:bidi="ar"/>
        </w:rPr>
        <w:t>计</w:t>
      </w:r>
      <w:r>
        <w:rPr>
          <w:rFonts w:hint="eastAsia" w:ascii="仿宋_GB2312" w:hAnsi="仿宋_GB2312" w:eastAsia="仿宋_GB2312" w:cs="仿宋_GB2312"/>
          <w:b w:val="0"/>
          <w:bCs w:val="0"/>
          <w:kern w:val="2"/>
          <w:sz w:val="20"/>
          <w:szCs w:val="20"/>
          <w:highlight w:val="none"/>
          <w:lang w:val="en-US" w:eastAsia="zh-CN" w:bidi="ar"/>
        </w:rPr>
        <w:t>1万元。</w:t>
      </w:r>
    </w:p>
    <w:p w14:paraId="5E6CC483">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640" w:firstLineChars="200"/>
        <w:jc w:val="both"/>
        <w:textAlignment w:val="auto"/>
        <w:outlineLvl w:val="0"/>
        <w:rPr>
          <w:rFonts w:hint="eastAsia" w:ascii="黑体" w:eastAsia="黑体"/>
          <w:sz w:val="32"/>
          <w:szCs w:val="32"/>
          <w:highlight w:val="yellow"/>
        </w:rPr>
      </w:pPr>
      <w:bookmarkStart w:id="29" w:name="_Toc1106"/>
      <w:r>
        <w:rPr>
          <w:rFonts w:hint="eastAsia" w:ascii="黑体" w:eastAsia="黑体"/>
          <w:sz w:val="32"/>
          <w:szCs w:val="32"/>
          <w:highlight w:val="none"/>
        </w:rPr>
        <w:t>二、</w:t>
      </w:r>
      <w:bookmarkEnd w:id="19"/>
      <w:bookmarkEnd w:id="20"/>
      <w:bookmarkEnd w:id="21"/>
      <w:bookmarkEnd w:id="22"/>
      <w:bookmarkEnd w:id="23"/>
      <w:bookmarkEnd w:id="24"/>
      <w:bookmarkEnd w:id="29"/>
      <w:bookmarkStart w:id="30" w:name="_Toc25851"/>
      <w:bookmarkStart w:id="31" w:name="_Toc24415"/>
      <w:bookmarkStart w:id="32" w:name="_Toc35588408"/>
      <w:bookmarkStart w:id="33" w:name="_Toc87519059"/>
      <w:bookmarkStart w:id="34" w:name="_Toc1870"/>
      <w:bookmarkStart w:id="35" w:name="_Toc9188"/>
      <w:bookmarkStart w:id="36" w:name="_Toc16612"/>
      <w:r>
        <w:rPr>
          <w:rFonts w:hint="eastAsia" w:ascii="黑体" w:eastAsia="黑体"/>
          <w:sz w:val="32"/>
          <w:szCs w:val="32"/>
          <w:highlight w:val="none"/>
        </w:rPr>
        <w:t>综合评价情况及评价结论</w:t>
      </w:r>
      <w:bookmarkEnd w:id="30"/>
      <w:bookmarkEnd w:id="31"/>
      <w:bookmarkEnd w:id="32"/>
      <w:bookmarkEnd w:id="33"/>
      <w:bookmarkEnd w:id="34"/>
      <w:bookmarkEnd w:id="35"/>
      <w:bookmarkEnd w:id="36"/>
    </w:p>
    <w:p w14:paraId="0AEE050B">
      <w:pPr>
        <w:pStyle w:val="14"/>
        <w:spacing w:after="0"/>
        <w:ind w:left="0" w:leftChars="0" w:firstLine="0" w:firstLineChars="0"/>
        <w:jc w:val="both"/>
        <w:rPr>
          <w:rFonts w:hint="eastAsia"/>
          <w:lang w:eastAsia="zh-CN"/>
        </w:rPr>
      </w:pPr>
      <w:r>
        <w:rPr>
          <w:rFonts w:hint="eastAsia"/>
          <w:highlight w:val="none"/>
          <w:lang w:val="en-US" w:eastAsia="zh-CN"/>
        </w:rPr>
        <w:t xml:space="preserve">    </w:t>
      </w:r>
      <w:r>
        <w:rPr>
          <w:rFonts w:hint="eastAsia"/>
          <w:highlight w:val="none"/>
        </w:rPr>
        <w:t>通过评价，</w:t>
      </w:r>
      <w:r>
        <w:rPr>
          <w:rFonts w:hint="eastAsia"/>
          <w:highlight w:val="none"/>
          <w:lang w:val="en-US" w:eastAsia="zh-CN"/>
        </w:rPr>
        <w:t>伊金霍洛旗林业和草原局2023年重点区域绿化</w:t>
      </w:r>
      <w:r>
        <w:rPr>
          <w:rFonts w:hint="eastAsia"/>
          <w:highlight w:val="none"/>
          <w:lang w:eastAsia="zh-CN"/>
        </w:rPr>
        <w:t>项目</w:t>
      </w:r>
      <w:r>
        <w:rPr>
          <w:rFonts w:hint="eastAsia"/>
          <w:highlight w:val="none"/>
        </w:rPr>
        <w:t>绩效评价综合得分</w:t>
      </w:r>
      <w:r>
        <w:rPr>
          <w:rFonts w:hint="eastAsia"/>
          <w:highlight w:val="none"/>
          <w:lang w:val="en-US" w:eastAsia="zh-CN"/>
        </w:rPr>
        <w:t>90.82</w:t>
      </w:r>
      <w:r>
        <w:rPr>
          <w:rFonts w:hint="eastAsia"/>
          <w:highlight w:val="none"/>
        </w:rPr>
        <w:t>分，项目综合绩效评定结论为“</w:t>
      </w:r>
      <w:r>
        <w:rPr>
          <w:rFonts w:hint="eastAsia"/>
          <w:highlight w:val="none"/>
          <w:lang w:val="en-US" w:eastAsia="zh-CN"/>
        </w:rPr>
        <w:t>优</w:t>
      </w:r>
      <w:r>
        <w:rPr>
          <w:rFonts w:hint="eastAsia"/>
          <w:highlight w:val="none"/>
        </w:rPr>
        <w:t>”。</w:t>
      </w:r>
    </w:p>
    <w:p w14:paraId="283CC31E">
      <w:pPr>
        <w:bidi w:val="0"/>
        <w:rPr>
          <w:rFonts w:hint="eastAsia"/>
        </w:rPr>
      </w:pPr>
      <w:r>
        <w:rPr>
          <w:rFonts w:hint="eastAsia"/>
          <w:b w:val="0"/>
          <w:bCs w:val="0"/>
        </w:rPr>
        <w:t>决策方面</w:t>
      </w:r>
      <w:r>
        <w:rPr>
          <w:rFonts w:hint="eastAsia" w:ascii="仿宋_GB2312" w:hAnsi="仿宋_GB2312"/>
          <w:b w:val="0"/>
          <w:bCs w:val="0"/>
        </w:rPr>
        <w:t>包括项</w:t>
      </w:r>
      <w:r>
        <w:rPr>
          <w:rFonts w:hint="eastAsia" w:ascii="仿宋_GB2312" w:hAnsi="仿宋_GB2312"/>
        </w:rPr>
        <w:t>目立项、绩效目标、资金投入等</w:t>
      </w:r>
      <w:r>
        <w:rPr>
          <w:rFonts w:hint="eastAsia" w:ascii="仿宋_GB2312" w:hAnsi="仿宋_GB2312"/>
          <w:lang w:val="en-US" w:eastAsia="zh-CN"/>
        </w:rPr>
        <w:t>3</w:t>
      </w:r>
      <w:r>
        <w:rPr>
          <w:rFonts w:hint="eastAsia" w:ascii="仿宋_GB2312" w:hAnsi="仿宋_GB2312"/>
        </w:rPr>
        <w:t>个二级指标。</w:t>
      </w:r>
      <w:r>
        <w:rPr>
          <w:rFonts w:hint="eastAsia" w:ascii="仿宋_GB2312" w:hAnsi="仿宋_GB2312"/>
          <w:highlight w:val="none"/>
        </w:rPr>
        <w:t>①</w:t>
      </w:r>
      <w:r>
        <w:rPr>
          <w:rFonts w:hint="eastAsia"/>
          <w:lang w:val="en-US" w:eastAsia="zh-CN"/>
        </w:rPr>
        <w:t>2023年重点区域绿化项目符合林草局职责范围，与国家及地区发展目标相匹配，决策依据较为充分；林草局按照规定向伊金霍洛旗发展和改革委员会申请项目立项，立项程序较为规范；</w:t>
      </w:r>
      <w:r>
        <w:rPr>
          <w:rFonts w:hint="eastAsia" w:ascii="仿宋_GB2312" w:hAnsi="仿宋_GB2312"/>
          <w:highlight w:val="none"/>
        </w:rPr>
        <w:t>②</w:t>
      </w:r>
      <w:r>
        <w:rPr>
          <w:rFonts w:hint="eastAsia"/>
          <w:lang w:val="en-US" w:eastAsia="zh-CN"/>
        </w:rPr>
        <w:t>项目绩效目标编制依据充分，绩效指标细化、量化、可衡量，但绩效目标申报表中设立了经济效益指标，与项目实际不符；</w:t>
      </w:r>
      <w:r>
        <w:rPr>
          <w:rFonts w:hint="eastAsia" w:ascii="仿宋_GB2312" w:hAnsi="仿宋_GB2312"/>
          <w:highlight w:val="none"/>
        </w:rPr>
        <w:t>③</w:t>
      </w:r>
      <w:r>
        <w:rPr>
          <w:rFonts w:hint="eastAsia"/>
        </w:rPr>
        <w:t>项目预算编制依据相关标准进行费用测算</w:t>
      </w:r>
      <w:r>
        <w:rPr>
          <w:rFonts w:hint="eastAsia"/>
          <w:lang w:eastAsia="zh-CN"/>
        </w:rPr>
        <w:t>，</w:t>
      </w:r>
      <w:r>
        <w:rPr>
          <w:rFonts w:hint="eastAsia" w:ascii="仿宋_GB2312" w:hAnsi="仿宋_GB2312"/>
          <w:highlight w:val="none"/>
          <w:lang w:eastAsia="zh-CN"/>
        </w:rPr>
        <w:t>项目预算资金额度与年度目标相适应</w:t>
      </w:r>
      <w:r>
        <w:rPr>
          <w:rFonts w:hint="eastAsia"/>
          <w:highlight w:val="none"/>
          <w:lang w:eastAsia="zh-CN"/>
        </w:rPr>
        <w:t>，</w:t>
      </w:r>
      <w:r>
        <w:rPr>
          <w:rFonts w:hint="eastAsia"/>
          <w:highlight w:val="none"/>
          <w:lang w:val="en-US" w:eastAsia="zh-CN"/>
        </w:rPr>
        <w:t>预算编制科学性较好，资金分配合理性较好</w:t>
      </w:r>
      <w:r>
        <w:rPr>
          <w:rFonts w:hint="eastAsia"/>
        </w:rPr>
        <w:t>。</w:t>
      </w:r>
    </w:p>
    <w:p w14:paraId="2B3772E9">
      <w:pPr>
        <w:bidi w:val="0"/>
        <w:rPr>
          <w:rFonts w:hint="eastAsia"/>
          <w:b w:val="0"/>
          <w:bCs w:val="0"/>
        </w:rPr>
      </w:pPr>
      <w:r>
        <w:rPr>
          <w:rFonts w:hint="eastAsia"/>
          <w:b w:val="0"/>
          <w:bCs w:val="0"/>
        </w:rPr>
        <w:t>过程方面</w:t>
      </w:r>
      <w:r>
        <w:rPr>
          <w:rFonts w:hint="eastAsia"/>
          <w:b w:val="0"/>
          <w:bCs w:val="0"/>
          <w:lang w:val="en-US" w:eastAsia="zh-CN"/>
        </w:rPr>
        <w:t>包</w:t>
      </w:r>
      <w:r>
        <w:rPr>
          <w:rFonts w:hint="eastAsia" w:ascii="仿宋_GB2312"/>
          <w:b w:val="0"/>
          <w:bCs w:val="0"/>
        </w:rPr>
        <w:t>括</w:t>
      </w:r>
      <w:r>
        <w:rPr>
          <w:rFonts w:hint="eastAsia"/>
          <w:b w:val="0"/>
          <w:bCs w:val="0"/>
        </w:rPr>
        <w:t>资金管理</w:t>
      </w:r>
      <w:r>
        <w:rPr>
          <w:rFonts w:hint="eastAsia"/>
          <w:b w:val="0"/>
          <w:bCs w:val="0"/>
          <w:lang w:eastAsia="zh-CN"/>
        </w:rPr>
        <w:t>、</w:t>
      </w:r>
      <w:r>
        <w:rPr>
          <w:rFonts w:hint="eastAsia"/>
          <w:b w:val="0"/>
          <w:bCs w:val="0"/>
        </w:rPr>
        <w:t>组织实施</w:t>
      </w:r>
      <w:r>
        <w:rPr>
          <w:rFonts w:hint="eastAsia"/>
          <w:b w:val="0"/>
          <w:bCs w:val="0"/>
          <w:lang w:eastAsia="zh-CN"/>
        </w:rPr>
        <w:t>、</w:t>
      </w:r>
      <w:r>
        <w:rPr>
          <w:rFonts w:hint="eastAsia"/>
          <w:b w:val="0"/>
          <w:bCs w:val="0"/>
          <w:lang w:val="en-US" w:eastAsia="zh-CN"/>
        </w:rPr>
        <w:t>项目监管3</w:t>
      </w:r>
      <w:r>
        <w:rPr>
          <w:rFonts w:hint="eastAsia" w:ascii="仿宋_GB2312"/>
          <w:b w:val="0"/>
          <w:bCs w:val="0"/>
        </w:rPr>
        <w:t>个二级指标。</w:t>
      </w:r>
      <w:r>
        <w:rPr>
          <w:rFonts w:hint="eastAsia" w:ascii="仿宋_GB2312"/>
          <w:b w:val="0"/>
          <w:bCs w:val="0"/>
          <w:highlight w:val="none"/>
        </w:rPr>
        <w:t>①</w:t>
      </w:r>
      <w:r>
        <w:rPr>
          <w:rFonts w:hint="eastAsia"/>
          <w:b w:val="0"/>
          <w:bCs w:val="0"/>
        </w:rPr>
        <w:t>项目</w:t>
      </w:r>
      <w:r>
        <w:rPr>
          <w:rFonts w:hint="eastAsia"/>
          <w:b w:val="0"/>
          <w:bCs w:val="0"/>
          <w:lang w:val="en-US" w:eastAsia="zh-CN"/>
        </w:rPr>
        <w:t>到位</w:t>
      </w:r>
      <w:r>
        <w:rPr>
          <w:rFonts w:hint="eastAsia"/>
          <w:b w:val="0"/>
          <w:bCs w:val="0"/>
        </w:rPr>
        <w:t>资金</w:t>
      </w:r>
      <w:r>
        <w:rPr>
          <w:rFonts w:hint="eastAsia"/>
          <w:b w:val="0"/>
          <w:bCs w:val="0"/>
          <w:lang w:val="en-US" w:eastAsia="zh-CN"/>
        </w:rPr>
        <w:t>200.00</w:t>
      </w:r>
      <w:r>
        <w:rPr>
          <w:rFonts w:hint="eastAsia"/>
          <w:b w:val="0"/>
          <w:bCs w:val="0"/>
        </w:rPr>
        <w:t>万元，</w:t>
      </w:r>
      <w:r>
        <w:rPr>
          <w:rFonts w:hint="eastAsia" w:ascii="仿宋_GB2312"/>
          <w:b w:val="0"/>
          <w:bCs w:val="0"/>
          <w:highlight w:val="none"/>
          <w:lang w:val="en-US" w:eastAsia="zh-CN"/>
        </w:rPr>
        <w:t>资金到位率100%，</w:t>
      </w:r>
      <w:r>
        <w:rPr>
          <w:rFonts w:hint="eastAsia"/>
          <w:b w:val="0"/>
          <w:bCs w:val="0"/>
          <w:lang w:val="en-US" w:eastAsia="zh-CN"/>
        </w:rPr>
        <w:t>实际</w:t>
      </w:r>
      <w:r>
        <w:rPr>
          <w:rFonts w:hint="eastAsia"/>
          <w:b w:val="0"/>
          <w:bCs w:val="0"/>
        </w:rPr>
        <w:t>支出</w:t>
      </w:r>
      <w:r>
        <w:rPr>
          <w:rFonts w:hint="eastAsia"/>
          <w:b w:val="0"/>
          <w:bCs w:val="0"/>
          <w:lang w:val="en-US" w:eastAsia="zh-CN"/>
        </w:rPr>
        <w:t>200.00</w:t>
      </w:r>
      <w:r>
        <w:rPr>
          <w:rFonts w:hint="eastAsia"/>
          <w:b w:val="0"/>
          <w:bCs w:val="0"/>
        </w:rPr>
        <w:t>万元，预算执行率为</w:t>
      </w:r>
      <w:r>
        <w:rPr>
          <w:rFonts w:hint="eastAsia"/>
          <w:b w:val="0"/>
          <w:bCs w:val="0"/>
          <w:lang w:val="en-US" w:eastAsia="zh-CN"/>
        </w:rPr>
        <w:t>100</w:t>
      </w:r>
      <w:r>
        <w:rPr>
          <w:rFonts w:hint="eastAsia"/>
          <w:b w:val="0"/>
          <w:bCs w:val="0"/>
        </w:rPr>
        <w:t>%；项目资金使用合规，不存在截留、挤占、挪用、虚列支出的情况；</w:t>
      </w:r>
      <w:r>
        <w:rPr>
          <w:rFonts w:hint="eastAsia" w:ascii="仿宋_GB2312"/>
          <w:b w:val="0"/>
          <w:bCs w:val="0"/>
          <w:highlight w:val="none"/>
        </w:rPr>
        <w:t>②</w:t>
      </w:r>
      <w:r>
        <w:rPr>
          <w:rFonts w:hint="eastAsia"/>
          <w:b w:val="0"/>
          <w:bCs w:val="0"/>
          <w:highlight w:val="none"/>
          <w:lang w:val="en-US" w:eastAsia="zh-CN"/>
        </w:rPr>
        <w:t>林草局制定了</w:t>
      </w:r>
      <w:r>
        <w:rPr>
          <w:rFonts w:ascii="仿宋_GB2312"/>
          <w:b w:val="0"/>
          <w:bCs w:val="0"/>
          <w:highlight w:val="none"/>
        </w:rPr>
        <w:t>相关</w:t>
      </w:r>
      <w:r>
        <w:rPr>
          <w:rFonts w:hint="eastAsia" w:ascii="仿宋_GB2312"/>
          <w:b w:val="0"/>
          <w:bCs w:val="0"/>
          <w:highlight w:val="none"/>
          <w:lang w:val="en-US" w:eastAsia="zh-CN"/>
        </w:rPr>
        <w:t>财务</w:t>
      </w:r>
      <w:r>
        <w:rPr>
          <w:rFonts w:ascii="仿宋_GB2312"/>
          <w:b w:val="0"/>
          <w:bCs w:val="0"/>
          <w:highlight w:val="none"/>
        </w:rPr>
        <w:t>管理制度</w:t>
      </w:r>
      <w:r>
        <w:rPr>
          <w:rFonts w:hint="eastAsia"/>
          <w:b w:val="0"/>
          <w:bCs w:val="0"/>
          <w:highlight w:val="none"/>
          <w:lang w:val="en-US" w:eastAsia="zh-CN"/>
        </w:rPr>
        <w:t>及内控管理制度，</w:t>
      </w:r>
      <w:r>
        <w:rPr>
          <w:rFonts w:hint="eastAsia"/>
          <w:b w:val="0"/>
          <w:bCs w:val="0"/>
          <w:lang w:val="en-US" w:eastAsia="zh-CN"/>
        </w:rPr>
        <w:t>但未制订项目管理制度，</w:t>
      </w:r>
      <w:r>
        <w:rPr>
          <w:rFonts w:hint="eastAsia" w:ascii="仿宋_GB2312"/>
          <w:b w:val="0"/>
          <w:bCs w:val="0"/>
          <w:highlight w:val="none"/>
          <w:lang w:val="en-US" w:eastAsia="zh-CN"/>
        </w:rPr>
        <w:t>部分制度执行未落实到位</w:t>
      </w:r>
      <w:r>
        <w:rPr>
          <w:rFonts w:hint="eastAsia"/>
          <w:b w:val="0"/>
          <w:bCs w:val="0"/>
          <w:highlight w:val="none"/>
          <w:lang w:val="en-US" w:eastAsia="zh-CN"/>
        </w:rPr>
        <w:t>；</w:t>
      </w:r>
      <w:r>
        <w:rPr>
          <w:rFonts w:hint="eastAsia"/>
          <w:b w:val="0"/>
          <w:bCs w:val="0"/>
          <w:lang w:val="en-US" w:eastAsia="zh-CN"/>
        </w:rPr>
        <w:t>建设工程施工合同未约定付款方式及质保金，</w:t>
      </w:r>
      <w:r>
        <w:rPr>
          <w:rFonts w:hint="eastAsia" w:ascii="仿宋_GB2312"/>
          <w:b w:val="0"/>
          <w:bCs w:val="0"/>
          <w:highlight w:val="none"/>
          <w:lang w:val="en-US" w:eastAsia="zh-CN"/>
        </w:rPr>
        <w:t>合同签订不规范</w:t>
      </w:r>
      <w:r>
        <w:rPr>
          <w:rFonts w:hint="eastAsia"/>
          <w:b w:val="0"/>
          <w:bCs w:val="0"/>
          <w:lang w:val="en-US" w:eastAsia="zh-CN"/>
        </w:rPr>
        <w:t>；③</w:t>
      </w:r>
      <w:r>
        <w:rPr>
          <w:rFonts w:hint="eastAsia"/>
          <w:b w:val="0"/>
          <w:bCs w:val="0"/>
        </w:rPr>
        <w:t>项目单位按照预算绩效管理要求开展了绩效自评工作，</w:t>
      </w:r>
      <w:r>
        <w:rPr>
          <w:rFonts w:hint="eastAsia"/>
          <w:b w:val="0"/>
          <w:bCs w:val="0"/>
          <w:lang w:val="en-US" w:eastAsia="zh-CN"/>
        </w:rPr>
        <w:t>但存在未开展绩效监控工作、</w:t>
      </w:r>
      <w:r>
        <w:rPr>
          <w:rFonts w:hint="eastAsia"/>
          <w:b w:val="0"/>
          <w:bCs w:val="0"/>
        </w:rPr>
        <w:t>绩效</w:t>
      </w:r>
      <w:r>
        <w:rPr>
          <w:rFonts w:hint="eastAsia"/>
          <w:b w:val="0"/>
          <w:bCs w:val="0"/>
          <w:lang w:val="en-US" w:eastAsia="zh-CN"/>
        </w:rPr>
        <w:t>自评表、自评报告内容填写不完善等问题</w:t>
      </w:r>
      <w:r>
        <w:rPr>
          <w:rFonts w:hint="eastAsia"/>
          <w:b w:val="0"/>
          <w:bCs w:val="0"/>
        </w:rPr>
        <w:t>。</w:t>
      </w:r>
    </w:p>
    <w:p w14:paraId="08F332C2">
      <w:pPr>
        <w:bidi w:val="0"/>
        <w:rPr>
          <w:rFonts w:hint="eastAsia"/>
        </w:rPr>
      </w:pPr>
      <w:r>
        <w:rPr>
          <w:rFonts w:hint="eastAsia"/>
          <w:b w:val="0"/>
          <w:bCs w:val="0"/>
        </w:rPr>
        <w:t>产出方面</w:t>
      </w:r>
      <w:r>
        <w:rPr>
          <w:rFonts w:hint="eastAsia"/>
          <w:b w:val="0"/>
          <w:bCs w:val="0"/>
          <w:lang w:val="en-US" w:eastAsia="zh-CN"/>
        </w:rPr>
        <w:t>包括</w:t>
      </w:r>
      <w:r>
        <w:rPr>
          <w:rFonts w:hint="eastAsia"/>
          <w:b w:val="0"/>
          <w:bCs w:val="0"/>
        </w:rPr>
        <w:t>产出数量、产出质量、产出</w:t>
      </w:r>
      <w:r>
        <w:rPr>
          <w:rFonts w:hint="eastAsia"/>
          <w:b w:val="0"/>
          <w:bCs w:val="0"/>
          <w:lang w:val="en-US" w:eastAsia="zh-CN"/>
        </w:rPr>
        <w:t>时效、产出成本</w:t>
      </w:r>
      <w:r>
        <w:rPr>
          <w:rFonts w:hint="eastAsia" w:ascii="仿宋_GB2312"/>
          <w:b w:val="0"/>
          <w:bCs w:val="0"/>
          <w:highlight w:val="none"/>
          <w:lang w:val="en-US" w:eastAsia="zh-CN"/>
        </w:rPr>
        <w:t>4</w:t>
      </w:r>
      <w:r>
        <w:rPr>
          <w:rFonts w:hint="eastAsia" w:ascii="仿宋_GB2312"/>
          <w:b w:val="0"/>
          <w:bCs w:val="0"/>
          <w:highlight w:val="none"/>
        </w:rPr>
        <w:t>个二级指标</w:t>
      </w:r>
      <w:r>
        <w:rPr>
          <w:rFonts w:hint="eastAsia"/>
          <w:b w:val="0"/>
          <w:bCs w:val="0"/>
          <w:highlight w:val="none"/>
          <w:lang w:eastAsia="zh-CN"/>
        </w:rPr>
        <w:t>。</w:t>
      </w:r>
      <w:r>
        <w:rPr>
          <w:rFonts w:hint="eastAsia"/>
          <w:b w:val="0"/>
          <w:bCs w:val="0"/>
          <w:highlight w:val="none"/>
          <w:lang w:val="en-US" w:eastAsia="zh-CN"/>
        </w:rPr>
        <w:t>①</w:t>
      </w:r>
      <w:r>
        <w:rPr>
          <w:rFonts w:hint="eastAsia"/>
          <w:b w:val="0"/>
          <w:bCs w:val="0"/>
          <w:lang w:val="en-US" w:eastAsia="zh-CN"/>
        </w:rPr>
        <w:t>林草</w:t>
      </w:r>
      <w:r>
        <w:rPr>
          <w:rFonts w:hint="eastAsia"/>
          <w:lang w:val="en-US" w:eastAsia="zh-CN"/>
        </w:rPr>
        <w:t>局按照项目年度设定目标种植树种，种植树种种类达到预期指标，但存在栽种树种数量未达到年初设定绩效目标的问题；②树种存活率达90%；③产出时效指标无法考核；④种植成本控制在预算范围内，</w:t>
      </w:r>
      <w:r>
        <w:rPr>
          <w:rFonts w:hint="eastAsia"/>
        </w:rPr>
        <w:t>成本控制合理。</w:t>
      </w:r>
    </w:p>
    <w:p w14:paraId="706C86F8">
      <w:pPr>
        <w:bidi w:val="0"/>
        <w:rPr>
          <w:rFonts w:hint="default"/>
          <w:lang w:val="en-US"/>
        </w:rPr>
      </w:pPr>
      <w:r>
        <w:rPr>
          <w:rFonts w:hint="eastAsia"/>
          <w:b w:val="0"/>
          <w:bCs w:val="0"/>
        </w:rPr>
        <w:t>效益方面</w:t>
      </w:r>
      <w:r>
        <w:rPr>
          <w:rFonts w:hint="eastAsia" w:ascii="仿宋_GB2312"/>
          <w:b w:val="0"/>
          <w:bCs w:val="0"/>
          <w:highlight w:val="none"/>
        </w:rPr>
        <w:t>包括</w:t>
      </w:r>
      <w:r>
        <w:rPr>
          <w:rFonts w:hint="eastAsia"/>
          <w:b w:val="0"/>
          <w:bCs w:val="0"/>
          <w:highlight w:val="none"/>
          <w:lang w:val="en-US" w:eastAsia="zh-CN"/>
        </w:rPr>
        <w:t>社会</w:t>
      </w:r>
      <w:r>
        <w:rPr>
          <w:rFonts w:hint="eastAsia"/>
        </w:rPr>
        <w:t>效益</w:t>
      </w:r>
      <w:r>
        <w:rPr>
          <w:rFonts w:hint="eastAsia"/>
          <w:lang w:val="en-US" w:eastAsia="zh-CN"/>
        </w:rPr>
        <w:t>指标</w:t>
      </w:r>
      <w:r>
        <w:rPr>
          <w:rFonts w:hint="eastAsia"/>
          <w:lang w:eastAsia="zh-CN"/>
        </w:rPr>
        <w:t>、</w:t>
      </w:r>
      <w:r>
        <w:rPr>
          <w:rFonts w:hint="eastAsia"/>
          <w:lang w:val="en-US" w:eastAsia="zh-CN"/>
        </w:rPr>
        <w:t>生态效益指标、服务对象满意度指标3</w:t>
      </w:r>
      <w:r>
        <w:rPr>
          <w:rFonts w:hint="eastAsia" w:ascii="仿宋_GB2312"/>
          <w:highlight w:val="none"/>
        </w:rPr>
        <w:t>个二级指标。</w:t>
      </w:r>
      <w:r>
        <w:rPr>
          <w:rFonts w:hint="eastAsia"/>
          <w:highlight w:val="none"/>
          <w:lang w:val="en-US" w:eastAsia="zh-CN"/>
        </w:rPr>
        <w:t>①2023年重点区域绿化项目的实施，</w:t>
      </w:r>
      <w:r>
        <w:rPr>
          <w:rFonts w:hint="eastAsia"/>
          <w:highlight w:val="none"/>
        </w:rPr>
        <w:t>不断提高伊金霍洛旗整体绿化美化水平，主动融入全域旅游示范区建设，为发展森林旅游、森林康养、林间采摘等林业经济打好基础，提供支撑</w:t>
      </w:r>
      <w:r>
        <w:rPr>
          <w:rFonts w:hint="eastAsia"/>
          <w:highlight w:val="none"/>
          <w:lang w:eastAsia="zh-CN"/>
        </w:rPr>
        <w:t>，</w:t>
      </w:r>
      <w:r>
        <w:rPr>
          <w:rFonts w:hint="eastAsia"/>
          <w:highlight w:val="none"/>
          <w:lang w:val="en-US" w:eastAsia="zh-CN"/>
        </w:rPr>
        <w:t>有效保障地方经济健康发展；②</w:t>
      </w:r>
      <w:r>
        <w:rPr>
          <w:rFonts w:hint="eastAsia"/>
          <w:lang w:val="en-US" w:eastAsia="zh-CN"/>
        </w:rPr>
        <w:t>有效改善伊金霍洛旗风蚀沙化，防止水土流失，提高森林覆盖率，有效保障全旗生态环境的可持续发展；③</w:t>
      </w:r>
      <w:r>
        <w:rPr>
          <w:rFonts w:hint="eastAsia"/>
        </w:rPr>
        <w:t>根据调查问卷统计分析，</w:t>
      </w:r>
      <w:r>
        <w:rPr>
          <w:rFonts w:hint="eastAsia"/>
          <w:lang w:val="en-US" w:eastAsia="zh-CN"/>
        </w:rPr>
        <w:t>群众</w:t>
      </w:r>
      <w:r>
        <w:rPr>
          <w:rFonts w:hint="eastAsia"/>
        </w:rPr>
        <w:t>对项目实施满意度较好。</w:t>
      </w:r>
    </w:p>
    <w:p w14:paraId="1047295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640" w:firstLineChars="200"/>
        <w:jc w:val="both"/>
        <w:textAlignment w:val="auto"/>
        <w:outlineLvl w:val="0"/>
        <w:rPr>
          <w:rFonts w:hint="eastAsia" w:ascii="仿宋_GB2312" w:hAnsi="宋体" w:cs="宋体"/>
          <w:iCs/>
          <w:color w:val="000000"/>
          <w:kern w:val="0"/>
          <w:sz w:val="32"/>
          <w:szCs w:val="32"/>
          <w:highlight w:val="none"/>
        </w:rPr>
      </w:pPr>
      <w:bookmarkStart w:id="37" w:name="_Toc12360"/>
      <w:bookmarkStart w:id="38" w:name="_Toc5466"/>
      <w:bookmarkStart w:id="39" w:name="_Toc29155"/>
      <w:bookmarkStart w:id="40" w:name="_Toc9186"/>
      <w:bookmarkStart w:id="41" w:name="_Toc5834"/>
      <w:bookmarkStart w:id="42" w:name="_Toc87519065"/>
      <w:bookmarkStart w:id="43" w:name="_Toc35588424"/>
      <w:r>
        <w:rPr>
          <w:rFonts w:hint="eastAsia" w:ascii="黑体" w:eastAsia="黑体"/>
          <w:sz w:val="32"/>
          <w:szCs w:val="32"/>
          <w:highlight w:val="none"/>
          <w:lang w:val="en-US" w:eastAsia="zh-CN"/>
        </w:rPr>
        <w:t>三</w:t>
      </w:r>
      <w:r>
        <w:rPr>
          <w:rFonts w:hint="eastAsia" w:ascii="黑体" w:eastAsia="黑体"/>
          <w:sz w:val="32"/>
          <w:szCs w:val="32"/>
          <w:highlight w:val="none"/>
        </w:rPr>
        <w:t>、存在问题</w:t>
      </w:r>
      <w:bookmarkEnd w:id="37"/>
      <w:bookmarkEnd w:id="38"/>
      <w:bookmarkEnd w:id="39"/>
      <w:bookmarkEnd w:id="40"/>
      <w:bookmarkEnd w:id="41"/>
      <w:bookmarkEnd w:id="42"/>
      <w:bookmarkEnd w:id="43"/>
    </w:p>
    <w:p w14:paraId="628D95F7">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640" w:firstLineChars="200"/>
        <w:jc w:val="both"/>
        <w:textAlignment w:val="auto"/>
        <w:outlineLvl w:val="1"/>
        <w:rPr>
          <w:rFonts w:hint="default" w:ascii="仿宋_GB2312" w:hAnsi="仿宋" w:eastAsia="楷体_GB2312" w:cs="仿宋"/>
          <w:iCs/>
          <w:kern w:val="0"/>
          <w:sz w:val="32"/>
          <w:szCs w:val="32"/>
          <w:highlight w:val="none"/>
          <w:lang w:val="en-US" w:eastAsia="zh-CN" w:bidi="ar"/>
        </w:rPr>
      </w:pPr>
      <w:bookmarkStart w:id="44" w:name="_Toc28558"/>
      <w:bookmarkStart w:id="45" w:name="_Toc20617"/>
      <w:bookmarkStart w:id="46" w:name="_Toc20002"/>
      <w:bookmarkStart w:id="47" w:name="_Toc87519067"/>
      <w:bookmarkStart w:id="48" w:name="_Toc29419"/>
      <w:bookmarkStart w:id="49" w:name="_Toc12752"/>
      <w:r>
        <w:rPr>
          <w:rFonts w:hint="eastAsia" w:ascii="楷体_GB2312" w:eastAsia="楷体_GB2312" w:cs="Times New Roman"/>
          <w:sz w:val="32"/>
          <w:szCs w:val="32"/>
          <w:highlight w:val="none"/>
        </w:rPr>
        <w:t>（</w:t>
      </w:r>
      <w:r>
        <w:rPr>
          <w:rFonts w:hint="eastAsia" w:ascii="楷体_GB2312" w:eastAsia="楷体_GB2312" w:cs="Times New Roman"/>
          <w:sz w:val="32"/>
          <w:szCs w:val="32"/>
          <w:highlight w:val="none"/>
          <w:lang w:val="en-US" w:eastAsia="zh-CN"/>
        </w:rPr>
        <w:t>一</w:t>
      </w:r>
      <w:r>
        <w:rPr>
          <w:rFonts w:hint="eastAsia" w:ascii="楷体_GB2312" w:eastAsia="楷体_GB2312" w:cs="Times New Roman"/>
          <w:sz w:val="32"/>
          <w:szCs w:val="32"/>
          <w:highlight w:val="none"/>
        </w:rPr>
        <w:t>）</w:t>
      </w:r>
      <w:bookmarkEnd w:id="44"/>
      <w:bookmarkEnd w:id="45"/>
      <w:bookmarkEnd w:id="46"/>
      <w:bookmarkEnd w:id="47"/>
      <w:bookmarkEnd w:id="48"/>
      <w:r>
        <w:rPr>
          <w:rFonts w:hint="eastAsia" w:ascii="楷体_GB2312" w:eastAsia="楷体_GB2312" w:cs="Times New Roman"/>
          <w:sz w:val="32"/>
          <w:szCs w:val="32"/>
          <w:highlight w:val="none"/>
          <w:lang w:val="en-US" w:eastAsia="zh-CN"/>
        </w:rPr>
        <w:t>绩效工作开展有待提升</w:t>
      </w:r>
      <w:bookmarkEnd w:id="49"/>
    </w:p>
    <w:p w14:paraId="7D79A290">
      <w:pPr>
        <w:shd w:val="clear"/>
        <w:adjustRightInd w:val="0"/>
        <w:snapToGrid w:val="0"/>
        <w:spacing w:line="360" w:lineRule="auto"/>
        <w:ind w:firstLine="640" w:firstLineChars="200"/>
        <w:rPr>
          <w:rFonts w:hint="eastAsia" w:ascii="仿宋_GB2312" w:hAnsi="仿宋" w:eastAsia="仿宋_GB2312" w:cs="仿宋"/>
          <w:iCs/>
          <w:sz w:val="32"/>
          <w:szCs w:val="32"/>
          <w:highlight w:val="none"/>
          <w:lang w:val="en-US" w:eastAsia="zh-CN"/>
        </w:rPr>
      </w:pPr>
      <w:r>
        <w:rPr>
          <w:rFonts w:hint="eastAsia" w:hAnsi="仿宋" w:cs="仿宋"/>
          <w:iCs/>
          <w:kern w:val="0"/>
          <w:sz w:val="32"/>
          <w:szCs w:val="32"/>
          <w:highlight w:val="none"/>
          <w:lang w:val="en-US" w:eastAsia="zh-CN" w:bidi="ar"/>
        </w:rPr>
        <w:t>项目实施单位</w:t>
      </w:r>
      <w:r>
        <w:rPr>
          <w:rFonts w:hint="eastAsia" w:ascii="仿宋_GB2312" w:hAnsi="仿宋" w:eastAsia="仿宋_GB2312" w:cs="仿宋"/>
          <w:iCs/>
          <w:kern w:val="0"/>
          <w:sz w:val="32"/>
          <w:szCs w:val="32"/>
          <w:highlight w:val="none"/>
          <w:lang w:val="en-US" w:eastAsia="zh-CN" w:bidi="ar"/>
        </w:rPr>
        <w:t>绩效</w:t>
      </w:r>
      <w:r>
        <w:rPr>
          <w:rFonts w:hint="eastAsia" w:hAnsi="仿宋" w:cs="仿宋"/>
          <w:iCs/>
          <w:kern w:val="0"/>
          <w:sz w:val="32"/>
          <w:szCs w:val="32"/>
          <w:highlight w:val="none"/>
          <w:lang w:val="en-US" w:eastAsia="zh-CN" w:bidi="ar"/>
        </w:rPr>
        <w:t>工作开展有待提升，一是未</w:t>
      </w:r>
      <w:r>
        <w:rPr>
          <w:rFonts w:hint="eastAsia" w:ascii="仿宋_GB2312" w:hAnsi="仿宋" w:eastAsia="仿宋_GB2312" w:cs="仿宋"/>
          <w:iCs/>
          <w:sz w:val="32"/>
          <w:szCs w:val="32"/>
          <w:highlight w:val="none"/>
          <w:lang w:val="en-US" w:eastAsia="zh-CN"/>
        </w:rPr>
        <w:t>按照绩效管理要求开展绩效运行监控工作</w:t>
      </w:r>
      <w:r>
        <w:rPr>
          <w:rFonts w:hint="eastAsia" w:hAnsi="仿宋" w:cs="仿宋"/>
          <w:iCs/>
          <w:sz w:val="32"/>
          <w:szCs w:val="32"/>
          <w:highlight w:val="none"/>
          <w:lang w:val="en-US" w:eastAsia="zh-CN"/>
        </w:rPr>
        <w:t>，二是自评表、自评报告填写不规范，如</w:t>
      </w:r>
      <w:r>
        <w:rPr>
          <w:rFonts w:hint="eastAsia" w:hAnsi="仿宋" w:cs="仿宋"/>
          <w:iCs/>
          <w:kern w:val="0"/>
          <w:sz w:val="32"/>
          <w:szCs w:val="32"/>
          <w:highlight w:val="none"/>
          <w:lang w:val="en-US" w:eastAsia="zh-CN" w:bidi="ar"/>
        </w:rPr>
        <w:t>自评表中造林绿化面积实际完成291亩，自评报告产出指标完成情况中造林绿化面积完成0亩，自评表、</w:t>
      </w:r>
      <w:r>
        <w:rPr>
          <w:rFonts w:hint="eastAsia" w:ascii="仿宋_GB2312" w:hAnsi="仿宋" w:eastAsia="仿宋_GB2312" w:cs="仿宋"/>
          <w:iCs/>
          <w:sz w:val="32"/>
          <w:szCs w:val="32"/>
          <w:highlight w:val="none"/>
          <w:lang w:val="en-US" w:eastAsia="zh-CN"/>
        </w:rPr>
        <w:t>自评报告中</w:t>
      </w:r>
      <w:r>
        <w:rPr>
          <w:rFonts w:hint="eastAsia" w:hAnsi="仿宋" w:cs="仿宋"/>
          <w:iCs/>
          <w:sz w:val="32"/>
          <w:szCs w:val="32"/>
          <w:highlight w:val="none"/>
          <w:lang w:val="en-US" w:eastAsia="zh-CN"/>
        </w:rPr>
        <w:t>数据</w:t>
      </w:r>
      <w:r>
        <w:rPr>
          <w:rFonts w:hint="eastAsia" w:ascii="仿宋_GB2312" w:hAnsi="仿宋" w:eastAsia="仿宋_GB2312" w:cs="仿宋"/>
          <w:iCs/>
          <w:sz w:val="32"/>
          <w:szCs w:val="32"/>
          <w:highlight w:val="none"/>
          <w:lang w:val="en-US" w:eastAsia="zh-CN"/>
        </w:rPr>
        <w:t>不一致</w:t>
      </w:r>
      <w:r>
        <w:rPr>
          <w:rFonts w:hint="eastAsia" w:hAnsi="仿宋" w:cs="仿宋"/>
          <w:iCs/>
          <w:kern w:val="0"/>
          <w:sz w:val="32"/>
          <w:szCs w:val="32"/>
          <w:highlight w:val="none"/>
          <w:lang w:val="en-US" w:eastAsia="zh-CN" w:bidi="ar"/>
        </w:rPr>
        <w:t>；自评表中种植树种数量完成值为26000棵，项目初验表中种植数量为24354棵，自评表中数量与实际不一致</w:t>
      </w:r>
      <w:r>
        <w:rPr>
          <w:rFonts w:hint="eastAsia" w:ascii="仿宋_GB2312" w:hAnsi="仿宋" w:eastAsia="仿宋_GB2312" w:cs="仿宋"/>
          <w:iCs/>
          <w:sz w:val="32"/>
          <w:szCs w:val="32"/>
          <w:highlight w:val="none"/>
          <w:lang w:val="en-US" w:eastAsia="zh-CN"/>
        </w:rPr>
        <w:t>。</w:t>
      </w:r>
    </w:p>
    <w:p w14:paraId="4F68E601">
      <w:pPr>
        <w:pStyle w:val="3"/>
        <w:bidi w:val="0"/>
        <w:rPr>
          <w:rFonts w:hint="default"/>
          <w:highlight w:val="none"/>
          <w:lang w:val="en-US" w:eastAsia="zh-CN"/>
        </w:rPr>
      </w:pPr>
      <w:bookmarkStart w:id="50" w:name="_Toc19198"/>
      <w:r>
        <w:rPr>
          <w:rFonts w:hint="eastAsia"/>
          <w:highlight w:val="none"/>
          <w:lang w:val="en-US" w:eastAsia="zh-CN"/>
        </w:rPr>
        <w:t>（二）</w:t>
      </w:r>
      <w:r>
        <w:rPr>
          <w:rFonts w:hint="eastAsia"/>
          <w:highlight w:val="none"/>
          <w:lang w:eastAsia="zh-CN"/>
        </w:rPr>
        <w:t>项目实施管理有待进一步</w:t>
      </w:r>
      <w:r>
        <w:rPr>
          <w:rFonts w:hint="eastAsia"/>
          <w:highlight w:val="none"/>
          <w:lang w:val="en-US" w:eastAsia="zh-CN"/>
        </w:rPr>
        <w:t>优化</w:t>
      </w:r>
      <w:bookmarkEnd w:id="50"/>
    </w:p>
    <w:p w14:paraId="570B3E20">
      <w:pPr>
        <w:rPr>
          <w:rFonts w:hint="default"/>
          <w:highlight w:val="none"/>
          <w:lang w:val="en-US" w:eastAsia="zh-CN"/>
        </w:rPr>
      </w:pPr>
      <w:r>
        <w:rPr>
          <w:rFonts w:hint="eastAsia" w:cs="仿宋_GB2312"/>
          <w:spacing w:val="4"/>
          <w:sz w:val="32"/>
          <w:szCs w:val="32"/>
          <w:highlight w:val="none"/>
          <w:lang w:val="en-US" w:eastAsia="zh-CN"/>
        </w:rPr>
        <w:t>项目单位项目实施管理有待加强。</w:t>
      </w:r>
      <w:r>
        <w:rPr>
          <w:rFonts w:hint="eastAsia" w:cs="仿宋_GB2312"/>
          <w:b/>
          <w:bCs/>
          <w:spacing w:val="4"/>
          <w:sz w:val="32"/>
          <w:szCs w:val="32"/>
          <w:highlight w:val="none"/>
          <w:lang w:val="en-US" w:eastAsia="zh-CN"/>
        </w:rPr>
        <w:t>一是</w:t>
      </w:r>
      <w:r>
        <w:rPr>
          <w:rFonts w:hint="eastAsia" w:cs="仿宋_GB2312"/>
          <w:spacing w:val="4"/>
          <w:sz w:val="32"/>
          <w:szCs w:val="32"/>
          <w:highlight w:val="none"/>
          <w:lang w:val="en-US" w:eastAsia="zh-CN"/>
        </w:rPr>
        <w:t>项目实施单位未制定项目管理制度问题，管理制度健全性有待提高；</w:t>
      </w:r>
      <w:r>
        <w:rPr>
          <w:rFonts w:hint="eastAsia" w:cs="仿宋_GB2312"/>
          <w:b/>
          <w:bCs/>
          <w:spacing w:val="4"/>
          <w:sz w:val="32"/>
          <w:szCs w:val="32"/>
          <w:highlight w:val="none"/>
          <w:lang w:val="en-US" w:eastAsia="zh-CN"/>
        </w:rPr>
        <w:t>二是</w:t>
      </w:r>
      <w:r>
        <w:rPr>
          <w:rFonts w:hint="eastAsia" w:cs="仿宋_GB2312"/>
          <w:spacing w:val="4"/>
          <w:sz w:val="32"/>
          <w:szCs w:val="32"/>
          <w:highlight w:val="none"/>
          <w:lang w:val="en-US" w:eastAsia="zh-CN"/>
        </w:rPr>
        <w:t>合同内容不完善，存在</w:t>
      </w:r>
      <w:r>
        <w:rPr>
          <w:rFonts w:hint="eastAsia" w:hAnsi="仿宋" w:cs="仿宋"/>
          <w:iCs/>
          <w:kern w:val="0"/>
          <w:sz w:val="32"/>
          <w:szCs w:val="32"/>
          <w:highlight w:val="none"/>
          <w:lang w:val="en-US" w:eastAsia="zh-CN" w:bidi="ar"/>
        </w:rPr>
        <w:t>建设工程施工合同未约定付款方式及质保金等问题</w:t>
      </w:r>
      <w:r>
        <w:rPr>
          <w:rFonts w:hint="eastAsia" w:cs="仿宋_GB2312"/>
          <w:spacing w:val="4"/>
          <w:sz w:val="32"/>
          <w:szCs w:val="32"/>
          <w:highlight w:val="none"/>
          <w:lang w:val="en-US" w:eastAsia="zh-CN"/>
        </w:rPr>
        <w:t>。</w:t>
      </w:r>
    </w:p>
    <w:p w14:paraId="28E52574">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640" w:firstLineChars="200"/>
        <w:jc w:val="both"/>
        <w:textAlignment w:val="auto"/>
        <w:outlineLvl w:val="0"/>
        <w:rPr>
          <w:rFonts w:hint="eastAsia" w:ascii="仿宋_GB2312" w:hAnsi="宋体"/>
          <w:iCs/>
          <w:sz w:val="32"/>
          <w:szCs w:val="32"/>
          <w:highlight w:val="none"/>
        </w:rPr>
      </w:pPr>
      <w:bookmarkStart w:id="51" w:name="_Toc21420"/>
      <w:bookmarkStart w:id="52" w:name="_Toc2811"/>
      <w:bookmarkStart w:id="53" w:name="_Toc3160"/>
      <w:bookmarkStart w:id="54" w:name="_Toc87519070"/>
      <w:bookmarkStart w:id="55" w:name="_Toc16259"/>
      <w:bookmarkStart w:id="56" w:name="_Toc35588427"/>
      <w:bookmarkStart w:id="57" w:name="_Toc15333"/>
      <w:r>
        <w:rPr>
          <w:rFonts w:hint="eastAsia" w:ascii="黑体" w:eastAsia="黑体"/>
          <w:sz w:val="32"/>
          <w:szCs w:val="32"/>
          <w:highlight w:val="none"/>
          <w:lang w:val="en-US" w:eastAsia="zh-CN"/>
        </w:rPr>
        <w:t>四</w:t>
      </w:r>
      <w:r>
        <w:rPr>
          <w:rFonts w:hint="eastAsia" w:ascii="黑体" w:eastAsia="黑体"/>
          <w:sz w:val="32"/>
          <w:szCs w:val="32"/>
          <w:highlight w:val="none"/>
        </w:rPr>
        <w:t>、</w:t>
      </w:r>
      <w:r>
        <w:rPr>
          <w:rFonts w:hint="eastAsia" w:ascii="黑体" w:eastAsia="黑体"/>
          <w:sz w:val="32"/>
          <w:szCs w:val="32"/>
          <w:highlight w:val="none"/>
          <w:lang w:val="en-US" w:eastAsia="zh-CN"/>
        </w:rPr>
        <w:t>相</w:t>
      </w:r>
      <w:r>
        <w:rPr>
          <w:rFonts w:hint="eastAsia" w:ascii="黑体" w:eastAsia="黑体"/>
          <w:sz w:val="32"/>
          <w:szCs w:val="32"/>
          <w:highlight w:val="none"/>
        </w:rPr>
        <w:t>关建议</w:t>
      </w:r>
      <w:bookmarkEnd w:id="51"/>
      <w:bookmarkEnd w:id="52"/>
      <w:bookmarkEnd w:id="53"/>
      <w:bookmarkEnd w:id="54"/>
      <w:bookmarkEnd w:id="55"/>
      <w:bookmarkEnd w:id="56"/>
      <w:bookmarkEnd w:id="57"/>
    </w:p>
    <w:p w14:paraId="019314D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640" w:firstLineChars="200"/>
        <w:jc w:val="both"/>
        <w:textAlignment w:val="auto"/>
        <w:outlineLvl w:val="1"/>
        <w:rPr>
          <w:rFonts w:hint="default" w:ascii="楷体_GB2312" w:eastAsia="楷体_GB2312" w:cs="Times New Roman"/>
          <w:sz w:val="32"/>
          <w:szCs w:val="32"/>
          <w:highlight w:val="none"/>
          <w:lang w:val="en-US"/>
        </w:rPr>
      </w:pPr>
      <w:bookmarkStart w:id="58" w:name="_Toc20288"/>
      <w:bookmarkStart w:id="59" w:name="_Toc4589"/>
      <w:bookmarkStart w:id="60" w:name="_Toc21282"/>
      <w:bookmarkStart w:id="61" w:name="_Toc25695"/>
      <w:bookmarkStart w:id="62" w:name="_Toc19061"/>
      <w:bookmarkStart w:id="63" w:name="_Toc21622"/>
      <w:bookmarkStart w:id="64" w:name="_Toc13247"/>
      <w:bookmarkStart w:id="65" w:name="_Toc12971"/>
      <w:bookmarkStart w:id="66" w:name="_Toc250"/>
      <w:bookmarkStart w:id="67" w:name="_Toc26242"/>
      <w:bookmarkStart w:id="68" w:name="_Toc27816"/>
      <w:bookmarkStart w:id="69" w:name="_Toc30009"/>
      <w:bookmarkStart w:id="70" w:name="_Toc31143"/>
      <w:bookmarkStart w:id="71" w:name="_Toc19704"/>
      <w:bookmarkStart w:id="72" w:name="_Toc87519075"/>
      <w:bookmarkStart w:id="73" w:name="_Toc9888"/>
      <w:r>
        <w:rPr>
          <w:rFonts w:hint="eastAsia" w:ascii="楷体_GB2312" w:eastAsia="楷体_GB2312" w:cs="Times New Roman"/>
          <w:sz w:val="32"/>
          <w:szCs w:val="32"/>
          <w:highlight w:val="none"/>
        </w:rPr>
        <w:t>（</w:t>
      </w:r>
      <w:r>
        <w:rPr>
          <w:rFonts w:hint="eastAsia" w:ascii="楷体_GB2312" w:eastAsia="楷体_GB2312" w:cs="Times New Roman"/>
          <w:sz w:val="32"/>
          <w:szCs w:val="32"/>
          <w:highlight w:val="none"/>
          <w:lang w:val="en-US" w:eastAsia="zh-CN"/>
        </w:rPr>
        <w:t>一</w:t>
      </w:r>
      <w:r>
        <w:rPr>
          <w:rFonts w:hint="eastAsia" w:ascii="楷体_GB2312" w:eastAsia="楷体_GB2312" w:cs="Times New Roman"/>
          <w:sz w:val="32"/>
          <w:szCs w:val="32"/>
          <w:highlight w:val="none"/>
        </w:rPr>
        <w:t>）</w:t>
      </w:r>
      <w:bookmarkEnd w:id="58"/>
      <w:bookmarkEnd w:id="59"/>
      <w:bookmarkEnd w:id="60"/>
      <w:bookmarkEnd w:id="61"/>
      <w:bookmarkEnd w:id="62"/>
      <w:bookmarkEnd w:id="63"/>
      <w:bookmarkEnd w:id="64"/>
      <w:bookmarkEnd w:id="65"/>
      <w:r>
        <w:rPr>
          <w:rFonts w:hint="eastAsia" w:ascii="楷体_GB2312" w:eastAsia="楷体_GB2312" w:cs="Times New Roman"/>
          <w:sz w:val="32"/>
          <w:szCs w:val="32"/>
          <w:highlight w:val="none"/>
          <w:lang w:val="en-US" w:eastAsia="zh-CN"/>
        </w:rPr>
        <w:t>强化绩效管理意识</w:t>
      </w:r>
      <w:bookmarkEnd w:id="66"/>
    </w:p>
    <w:bookmarkEnd w:id="67"/>
    <w:bookmarkEnd w:id="68"/>
    <w:p w14:paraId="5B0DF8C8">
      <w:pPr>
        <w:keepNext w:val="0"/>
        <w:keepLines w:val="0"/>
        <w:pageBreakBefore w:val="0"/>
        <w:widowControl w:val="0"/>
        <w:shd w:val="clear"/>
        <w:kinsoku/>
        <w:wordWrap/>
        <w:overflowPunct/>
        <w:topLinePunct w:val="0"/>
        <w:bidi w:val="0"/>
        <w:adjustRightInd w:val="0"/>
        <w:snapToGrid w:val="0"/>
        <w:spacing w:line="360" w:lineRule="auto"/>
        <w:ind w:left="0" w:leftChars="0" w:firstLine="640" w:firstLineChars="200"/>
        <w:jc w:val="both"/>
        <w:textAlignment w:val="auto"/>
        <w:rPr>
          <w:rFonts w:hint="eastAsia" w:ascii="仿宋_GB2312" w:hAnsi="仿宋" w:eastAsia="仿宋_GB2312" w:cs="仿宋"/>
          <w:iCs/>
          <w:kern w:val="0"/>
          <w:sz w:val="32"/>
          <w:szCs w:val="32"/>
          <w:highlight w:val="none"/>
          <w:lang w:val="en-US" w:eastAsia="zh-CN" w:bidi="ar"/>
        </w:rPr>
      </w:pPr>
      <w:r>
        <w:rPr>
          <w:rFonts w:hint="eastAsia" w:ascii="仿宋_GB2312" w:hAnsi="仿宋" w:eastAsia="仿宋_GB2312" w:cs="仿宋"/>
          <w:iCs/>
          <w:kern w:val="0"/>
          <w:sz w:val="32"/>
          <w:szCs w:val="32"/>
          <w:highlight w:val="none"/>
          <w:lang w:val="en-US" w:eastAsia="zh-CN" w:bidi="ar"/>
        </w:rPr>
        <w:t>建议项目单位严格按照《内蒙古自治区关于全面实施预算绩效管理的实施意见》（内财监〔2019〕1343号）等文件要求全面实施预算绩效管理。一是强化绩效</w:t>
      </w:r>
      <w:r>
        <w:rPr>
          <w:rFonts w:hint="eastAsia" w:hAnsi="仿宋" w:cs="仿宋"/>
          <w:iCs/>
          <w:kern w:val="0"/>
          <w:sz w:val="32"/>
          <w:szCs w:val="32"/>
          <w:highlight w:val="none"/>
          <w:lang w:val="en-US" w:eastAsia="zh-CN" w:bidi="ar"/>
        </w:rPr>
        <w:t>监督</w:t>
      </w:r>
      <w:r>
        <w:rPr>
          <w:rFonts w:hint="eastAsia" w:ascii="仿宋_GB2312" w:hAnsi="仿宋" w:eastAsia="仿宋_GB2312" w:cs="仿宋"/>
          <w:iCs/>
          <w:kern w:val="0"/>
          <w:sz w:val="32"/>
          <w:szCs w:val="32"/>
          <w:highlight w:val="none"/>
          <w:lang w:val="en-US" w:eastAsia="zh-CN" w:bidi="ar"/>
        </w:rPr>
        <w:t>管理</w:t>
      </w:r>
      <w:r>
        <w:rPr>
          <w:rFonts w:hint="eastAsia" w:hAnsi="仿宋" w:cs="仿宋"/>
          <w:iCs/>
          <w:kern w:val="0"/>
          <w:sz w:val="32"/>
          <w:szCs w:val="32"/>
          <w:highlight w:val="none"/>
          <w:lang w:val="en-US" w:eastAsia="zh-CN" w:bidi="ar"/>
        </w:rPr>
        <w:t>，严格按照规定按时开展绩效监管工作，明确项目实施情况，填写绩效目标监控表</w:t>
      </w:r>
      <w:r>
        <w:rPr>
          <w:rFonts w:hint="eastAsia" w:ascii="仿宋_GB2312" w:hAnsi="仿宋" w:eastAsia="仿宋_GB2312" w:cs="仿宋"/>
          <w:iCs/>
          <w:kern w:val="0"/>
          <w:sz w:val="32"/>
          <w:szCs w:val="32"/>
          <w:highlight w:val="none"/>
          <w:lang w:val="en-US" w:eastAsia="zh-CN" w:bidi="ar"/>
        </w:rPr>
        <w:t>。二是</w:t>
      </w:r>
      <w:r>
        <w:rPr>
          <w:rFonts w:hint="eastAsia" w:hAnsi="仿宋" w:cs="仿宋"/>
          <w:iCs/>
          <w:kern w:val="0"/>
          <w:sz w:val="32"/>
          <w:szCs w:val="32"/>
          <w:highlight w:val="none"/>
          <w:lang w:val="en-US" w:eastAsia="zh-CN" w:bidi="ar"/>
        </w:rPr>
        <w:t>推进绩效自评工作开展，明确</w:t>
      </w:r>
      <w:r>
        <w:rPr>
          <w:rFonts w:hint="eastAsia"/>
          <w:highlight w:val="none"/>
          <w:lang w:val="en-US" w:eastAsia="zh-CN"/>
        </w:rPr>
        <w:t>项目完成情况，按照实际填写</w:t>
      </w:r>
      <w:r>
        <w:rPr>
          <w:rFonts w:hint="eastAsia" w:ascii="仿宋_GB2312" w:hAnsi="仿宋_GB2312"/>
          <w:highlight w:val="none"/>
          <w:lang w:val="en-US" w:eastAsia="zh-CN"/>
        </w:rPr>
        <w:t>绩效自评</w:t>
      </w:r>
      <w:r>
        <w:rPr>
          <w:rFonts w:hint="eastAsia"/>
          <w:highlight w:val="none"/>
          <w:lang w:val="en-US" w:eastAsia="zh-CN"/>
        </w:rPr>
        <w:t>表及自评报告</w:t>
      </w:r>
      <w:r>
        <w:rPr>
          <w:rFonts w:hint="eastAsia" w:ascii="仿宋_GB2312" w:hAnsi="仿宋_GB2312"/>
          <w:highlight w:val="none"/>
          <w:lang w:val="en-US" w:eastAsia="zh-CN"/>
        </w:rPr>
        <w:t>，</w:t>
      </w:r>
      <w:r>
        <w:rPr>
          <w:rFonts w:hint="eastAsia"/>
          <w:highlight w:val="none"/>
          <w:lang w:val="en-US" w:eastAsia="zh-CN"/>
        </w:rPr>
        <w:t>保证自评表及自评报告能客观</w:t>
      </w:r>
      <w:r>
        <w:rPr>
          <w:rFonts w:hint="eastAsia" w:ascii="仿宋_GB2312" w:hAnsi="仿宋_GB2312"/>
          <w:highlight w:val="none"/>
          <w:lang w:val="en-US" w:eastAsia="zh-CN"/>
        </w:rPr>
        <w:t>反映</w:t>
      </w:r>
      <w:r>
        <w:rPr>
          <w:rFonts w:hint="eastAsia"/>
          <w:highlight w:val="none"/>
          <w:lang w:val="en-US" w:eastAsia="zh-CN"/>
        </w:rPr>
        <w:t>项目</w:t>
      </w:r>
      <w:r>
        <w:rPr>
          <w:rFonts w:hint="eastAsia" w:ascii="仿宋_GB2312" w:hAnsi="仿宋_GB2312"/>
          <w:highlight w:val="none"/>
          <w:lang w:val="en-US" w:eastAsia="zh-CN"/>
        </w:rPr>
        <w:t>绩效目标实现效果</w:t>
      </w:r>
      <w:r>
        <w:rPr>
          <w:rFonts w:hint="eastAsia"/>
          <w:highlight w:val="none"/>
          <w:lang w:val="en-US" w:eastAsia="zh-CN"/>
        </w:rPr>
        <w:t>。三是</w:t>
      </w:r>
      <w:r>
        <w:rPr>
          <w:rFonts w:hint="eastAsia" w:ascii="仿宋_GB2312" w:hAnsi="仿宋" w:eastAsia="仿宋_GB2312" w:cs="仿宋"/>
          <w:iCs/>
          <w:kern w:val="0"/>
          <w:sz w:val="32"/>
          <w:szCs w:val="32"/>
          <w:highlight w:val="none"/>
          <w:lang w:val="en-US" w:eastAsia="zh-CN" w:bidi="ar"/>
        </w:rPr>
        <w:t>加强绩效管理意识，树立绩效管理理念，平时做好绩效评价准备工作，保障绩效评价工作的顺利开展。</w:t>
      </w:r>
    </w:p>
    <w:p w14:paraId="5D31A579">
      <w:pPr>
        <w:pStyle w:val="3"/>
        <w:bidi w:val="0"/>
        <w:rPr>
          <w:rFonts w:hint="eastAsia" w:ascii="仿宋_GB2312" w:hAnsi="仿宋" w:eastAsia="仿宋_GB2312" w:cs="仿宋"/>
          <w:iCs/>
          <w:kern w:val="0"/>
          <w:sz w:val="32"/>
          <w:szCs w:val="32"/>
          <w:highlight w:val="none"/>
          <w:lang w:val="en-US" w:eastAsia="zh-CN" w:bidi="ar"/>
        </w:rPr>
      </w:pPr>
      <w:bookmarkStart w:id="74" w:name="_Toc499"/>
      <w:r>
        <w:rPr>
          <w:rFonts w:hint="eastAsia" w:hAnsi="Times New Roman" w:cs="Times New Roman"/>
          <w:snapToGrid/>
          <w:kern w:val="2"/>
          <w:sz w:val="32"/>
          <w:szCs w:val="32"/>
          <w:highlight w:val="none"/>
          <w:lang w:eastAsia="zh-CN"/>
        </w:rPr>
        <w:t>（</w:t>
      </w:r>
      <w:r>
        <w:rPr>
          <w:rFonts w:hint="eastAsia" w:hAnsi="Times New Roman" w:cs="Times New Roman"/>
          <w:snapToGrid/>
          <w:kern w:val="2"/>
          <w:sz w:val="32"/>
          <w:szCs w:val="32"/>
          <w:highlight w:val="none"/>
          <w:lang w:val="en-US" w:eastAsia="zh-CN"/>
        </w:rPr>
        <w:t>二</w:t>
      </w:r>
      <w:r>
        <w:rPr>
          <w:rFonts w:hint="eastAsia" w:hAnsi="Times New Roman" w:cs="Times New Roman"/>
          <w:snapToGrid/>
          <w:kern w:val="2"/>
          <w:sz w:val="32"/>
          <w:szCs w:val="32"/>
          <w:highlight w:val="none"/>
          <w:lang w:eastAsia="zh-CN"/>
        </w:rPr>
        <w:t>）</w:t>
      </w:r>
      <w:r>
        <w:rPr>
          <w:rFonts w:hint="eastAsia" w:hAnsi="Times New Roman" w:cs="Times New Roman"/>
          <w:snapToGrid/>
          <w:kern w:val="2"/>
          <w:sz w:val="32"/>
          <w:szCs w:val="32"/>
          <w:highlight w:val="none"/>
          <w:lang w:val="en-US" w:eastAsia="zh-CN"/>
        </w:rPr>
        <w:t>进一步加强项目管理</w:t>
      </w:r>
      <w:bookmarkEnd w:id="74"/>
    </w:p>
    <w:p w14:paraId="15A74A40">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lang w:val="en-US" w:eastAsia="zh-CN"/>
        </w:rPr>
      </w:pPr>
      <w:r>
        <w:rPr>
          <w:rFonts w:hint="eastAsia" w:hAnsi="仿宋" w:cs="仿宋"/>
          <w:iCs/>
          <w:kern w:val="0"/>
          <w:sz w:val="32"/>
          <w:szCs w:val="32"/>
          <w:highlight w:val="none"/>
          <w:lang w:val="en-US" w:eastAsia="zh-CN" w:bidi="ar"/>
        </w:rPr>
        <w:t>健全、完整的项目管理制度有利于保障项目的顺利推进，建议项目单位加强制度建设，推动项目实施进程，保障项目实施效率。</w:t>
      </w:r>
      <w:r>
        <w:rPr>
          <w:rFonts w:hint="eastAsia" w:ascii="仿宋_GB2312" w:hAnsi="仿宋" w:eastAsia="仿宋_GB2312" w:cs="仿宋"/>
          <w:iCs/>
          <w:kern w:val="0"/>
          <w:sz w:val="32"/>
          <w:szCs w:val="32"/>
          <w:highlight w:val="none"/>
          <w:lang w:val="en-US" w:eastAsia="zh-CN" w:bidi="ar"/>
        </w:rPr>
        <w:t>在项目合同签订中，项目单位对签订合同的内容应引起足够的重视。</w:t>
      </w:r>
      <w:r>
        <w:rPr>
          <w:rFonts w:hint="eastAsia" w:hAnsi="仿宋" w:cs="仿宋"/>
          <w:iCs/>
          <w:kern w:val="0"/>
          <w:sz w:val="32"/>
          <w:szCs w:val="32"/>
          <w:highlight w:val="none"/>
          <w:lang w:val="en-US" w:eastAsia="zh-CN" w:bidi="ar"/>
        </w:rPr>
        <w:t>合同中要明确</w:t>
      </w:r>
      <w:r>
        <w:rPr>
          <w:rFonts w:hint="eastAsia" w:ascii="仿宋_GB2312" w:hAnsi="仿宋" w:eastAsia="仿宋_GB2312" w:cs="仿宋"/>
          <w:iCs/>
          <w:kern w:val="0"/>
          <w:sz w:val="32"/>
          <w:szCs w:val="32"/>
          <w:highlight w:val="none"/>
          <w:lang w:val="en-US" w:eastAsia="zh-CN" w:bidi="ar"/>
        </w:rPr>
        <w:t>双方的权利和义务</w:t>
      </w:r>
      <w:r>
        <w:rPr>
          <w:rFonts w:hint="eastAsia" w:ascii="仿宋_GB2312" w:hAnsi="仿宋" w:cs="仿宋"/>
          <w:iCs/>
          <w:kern w:val="0"/>
          <w:sz w:val="32"/>
          <w:szCs w:val="32"/>
          <w:highlight w:val="none"/>
          <w:lang w:val="en-US" w:eastAsia="zh-CN" w:bidi="ar"/>
        </w:rPr>
        <w:t>，</w:t>
      </w:r>
      <w:r>
        <w:rPr>
          <w:rFonts w:hint="eastAsia" w:hAnsi="仿宋" w:cs="仿宋"/>
          <w:iCs/>
          <w:kern w:val="0"/>
          <w:sz w:val="32"/>
          <w:szCs w:val="32"/>
          <w:highlight w:val="none"/>
          <w:lang w:val="en-US" w:eastAsia="zh-CN" w:bidi="ar"/>
        </w:rPr>
        <w:t>责任双方要</w:t>
      </w:r>
      <w:r>
        <w:rPr>
          <w:rFonts w:hint="eastAsia"/>
          <w:highlight w:val="none"/>
          <w:lang w:val="en-US" w:eastAsia="zh-CN"/>
        </w:rPr>
        <w:t>加强沟通协调，优化流程、明确责任等措施，保障</w:t>
      </w:r>
      <w:r>
        <w:rPr>
          <w:rFonts w:hint="eastAsia" w:ascii="仿宋_GB2312" w:hAnsi="仿宋" w:cs="仿宋"/>
          <w:iCs/>
          <w:kern w:val="0"/>
          <w:sz w:val="32"/>
          <w:szCs w:val="32"/>
          <w:highlight w:val="none"/>
          <w:lang w:val="en-US" w:eastAsia="zh-CN" w:bidi="ar"/>
        </w:rPr>
        <w:t>双方严格按照合同规定推进项目实施。</w:t>
      </w:r>
    </w:p>
    <w:bookmarkEnd w:id="69"/>
    <w:bookmarkEnd w:id="70"/>
    <w:bookmarkEnd w:id="71"/>
    <w:bookmarkEnd w:id="72"/>
    <w:bookmarkEnd w:id="73"/>
    <w:p w14:paraId="2BBE11F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454148A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20220A2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21824DDC">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5031840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60BD8E2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68BA285F">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3EAF5709">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4BF5E046">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31B1F241">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4D525F3B">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5E0B4202">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p>
    <w:p w14:paraId="50EB569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附件：</w:t>
      </w:r>
    </w:p>
    <w:p w14:paraId="445F4437">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drawing>
          <wp:inline distT="0" distB="0" distL="114300" distR="114300">
            <wp:extent cx="5264785" cy="3947160"/>
            <wp:effectExtent l="0" t="0" r="5715" b="2540"/>
            <wp:docPr id="7" name="图片 7" descr="ca277ca899e50688ca1cb44fa51c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a277ca899e50688ca1cb44fa51c203"/>
                    <pic:cNvPicPr>
                      <a:picLocks noChangeAspect="1"/>
                    </pic:cNvPicPr>
                  </pic:nvPicPr>
                  <pic:blipFill>
                    <a:blip r:embed="rId8"/>
                    <a:stretch>
                      <a:fillRect/>
                    </a:stretch>
                  </pic:blipFill>
                  <pic:spPr>
                    <a:xfrm>
                      <a:off x="0" y="0"/>
                      <a:ext cx="5264785" cy="3947160"/>
                    </a:xfrm>
                    <a:prstGeom prst="rect">
                      <a:avLst/>
                    </a:prstGeom>
                  </pic:spPr>
                </pic:pic>
              </a:graphicData>
            </a:graphic>
          </wp:inline>
        </w:drawing>
      </w:r>
    </w:p>
    <w:p w14:paraId="19A4D100">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drawing>
          <wp:inline distT="0" distB="0" distL="114300" distR="114300">
            <wp:extent cx="5264785" cy="3947160"/>
            <wp:effectExtent l="0" t="0" r="5715" b="2540"/>
            <wp:docPr id="8" name="图片 8" descr="15ecdb8f676840c3b9ce05e844fd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ecdb8f676840c3b9ce05e844fd994"/>
                    <pic:cNvPicPr>
                      <a:picLocks noChangeAspect="1"/>
                    </pic:cNvPicPr>
                  </pic:nvPicPr>
                  <pic:blipFill>
                    <a:blip r:embed="rId9"/>
                    <a:stretch>
                      <a:fillRect/>
                    </a:stretch>
                  </pic:blipFill>
                  <pic:spPr>
                    <a:xfrm>
                      <a:off x="0" y="0"/>
                      <a:ext cx="5264785" cy="3947160"/>
                    </a:xfrm>
                    <a:prstGeom prst="rect">
                      <a:avLst/>
                    </a:prstGeom>
                  </pic:spPr>
                </pic:pic>
              </a:graphicData>
            </a:graphic>
          </wp:inline>
        </w:drawing>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BBE09">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014F">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20"/>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00172A27"/>
    <w:rsid w:val="00B564C1"/>
    <w:rsid w:val="00DF79F4"/>
    <w:rsid w:val="00EB7210"/>
    <w:rsid w:val="01010D0D"/>
    <w:rsid w:val="01EF65C5"/>
    <w:rsid w:val="02EA47FB"/>
    <w:rsid w:val="039A44A3"/>
    <w:rsid w:val="03EE1463"/>
    <w:rsid w:val="04C27AAF"/>
    <w:rsid w:val="050166D6"/>
    <w:rsid w:val="05226BB6"/>
    <w:rsid w:val="07464042"/>
    <w:rsid w:val="077041CD"/>
    <w:rsid w:val="08D13DE0"/>
    <w:rsid w:val="0955056D"/>
    <w:rsid w:val="0A8B1F29"/>
    <w:rsid w:val="0AE272FA"/>
    <w:rsid w:val="0B04046A"/>
    <w:rsid w:val="0B826A74"/>
    <w:rsid w:val="0C7E3FF0"/>
    <w:rsid w:val="0F2435E4"/>
    <w:rsid w:val="0F3F5F47"/>
    <w:rsid w:val="10996F52"/>
    <w:rsid w:val="117B7FA5"/>
    <w:rsid w:val="12120CAF"/>
    <w:rsid w:val="122D3600"/>
    <w:rsid w:val="12B53D67"/>
    <w:rsid w:val="12F43309"/>
    <w:rsid w:val="139C1380"/>
    <w:rsid w:val="14FE1CB2"/>
    <w:rsid w:val="150C6C25"/>
    <w:rsid w:val="1995397F"/>
    <w:rsid w:val="1B080C61"/>
    <w:rsid w:val="1B8C7A5A"/>
    <w:rsid w:val="1C142509"/>
    <w:rsid w:val="1C9B5AFF"/>
    <w:rsid w:val="1CE15374"/>
    <w:rsid w:val="1D5946DF"/>
    <w:rsid w:val="1FAB7D87"/>
    <w:rsid w:val="203164A6"/>
    <w:rsid w:val="20337402"/>
    <w:rsid w:val="2036194C"/>
    <w:rsid w:val="20426CBE"/>
    <w:rsid w:val="22205764"/>
    <w:rsid w:val="2409638A"/>
    <w:rsid w:val="243B624C"/>
    <w:rsid w:val="24BD1CA0"/>
    <w:rsid w:val="26276755"/>
    <w:rsid w:val="26C37006"/>
    <w:rsid w:val="26D46B1D"/>
    <w:rsid w:val="275E173C"/>
    <w:rsid w:val="27F8683B"/>
    <w:rsid w:val="284735FA"/>
    <w:rsid w:val="28874860"/>
    <w:rsid w:val="29475652"/>
    <w:rsid w:val="2A540E61"/>
    <w:rsid w:val="2AB96756"/>
    <w:rsid w:val="2B155405"/>
    <w:rsid w:val="2CFA240C"/>
    <w:rsid w:val="2D6A1F89"/>
    <w:rsid w:val="2EC77360"/>
    <w:rsid w:val="2FA82346"/>
    <w:rsid w:val="30536FCB"/>
    <w:rsid w:val="30860E82"/>
    <w:rsid w:val="30A03957"/>
    <w:rsid w:val="330E33B7"/>
    <w:rsid w:val="33735C67"/>
    <w:rsid w:val="342C246F"/>
    <w:rsid w:val="36592B9B"/>
    <w:rsid w:val="367800BA"/>
    <w:rsid w:val="371242DB"/>
    <w:rsid w:val="3C64329D"/>
    <w:rsid w:val="3DFF4A65"/>
    <w:rsid w:val="3E194A48"/>
    <w:rsid w:val="42763AF0"/>
    <w:rsid w:val="427B5FB5"/>
    <w:rsid w:val="433D607B"/>
    <w:rsid w:val="4423545C"/>
    <w:rsid w:val="44573555"/>
    <w:rsid w:val="45A34BB3"/>
    <w:rsid w:val="46236C78"/>
    <w:rsid w:val="474D3270"/>
    <w:rsid w:val="47525B10"/>
    <w:rsid w:val="47637D1D"/>
    <w:rsid w:val="47A27C6A"/>
    <w:rsid w:val="4A9027AE"/>
    <w:rsid w:val="4A9B1114"/>
    <w:rsid w:val="4B42294E"/>
    <w:rsid w:val="4C5C21A0"/>
    <w:rsid w:val="4C7164DB"/>
    <w:rsid w:val="4D5819A6"/>
    <w:rsid w:val="50A0169A"/>
    <w:rsid w:val="50CF5696"/>
    <w:rsid w:val="50FB5532"/>
    <w:rsid w:val="51A45EE7"/>
    <w:rsid w:val="52010488"/>
    <w:rsid w:val="528F563E"/>
    <w:rsid w:val="53D36511"/>
    <w:rsid w:val="54517A37"/>
    <w:rsid w:val="54AC322C"/>
    <w:rsid w:val="55405743"/>
    <w:rsid w:val="568C75E3"/>
    <w:rsid w:val="57233025"/>
    <w:rsid w:val="57717C86"/>
    <w:rsid w:val="58E76206"/>
    <w:rsid w:val="5A006908"/>
    <w:rsid w:val="5B1A5B9B"/>
    <w:rsid w:val="5B817701"/>
    <w:rsid w:val="5BB95B3C"/>
    <w:rsid w:val="5BBA3991"/>
    <w:rsid w:val="5C6102E6"/>
    <w:rsid w:val="5CCB7A9F"/>
    <w:rsid w:val="5E9940BC"/>
    <w:rsid w:val="5FAE56A8"/>
    <w:rsid w:val="5FC72344"/>
    <w:rsid w:val="622B5C7D"/>
    <w:rsid w:val="62CD5A37"/>
    <w:rsid w:val="63B7003B"/>
    <w:rsid w:val="65AD59CC"/>
    <w:rsid w:val="65D422FE"/>
    <w:rsid w:val="67401DF9"/>
    <w:rsid w:val="67E10ABE"/>
    <w:rsid w:val="68436FB2"/>
    <w:rsid w:val="68F96B7E"/>
    <w:rsid w:val="69BB533F"/>
    <w:rsid w:val="6A5A6E82"/>
    <w:rsid w:val="6A6548B0"/>
    <w:rsid w:val="6B405AFC"/>
    <w:rsid w:val="6C29627E"/>
    <w:rsid w:val="6C947842"/>
    <w:rsid w:val="6CD5229F"/>
    <w:rsid w:val="6CDE55CC"/>
    <w:rsid w:val="6D0C00A4"/>
    <w:rsid w:val="6D384C87"/>
    <w:rsid w:val="6D6261FE"/>
    <w:rsid w:val="6E2977A5"/>
    <w:rsid w:val="6EBE7575"/>
    <w:rsid w:val="6EE074AC"/>
    <w:rsid w:val="703119FC"/>
    <w:rsid w:val="713A4D9B"/>
    <w:rsid w:val="71AD7C63"/>
    <w:rsid w:val="728467F8"/>
    <w:rsid w:val="72B3406E"/>
    <w:rsid w:val="73EB0168"/>
    <w:rsid w:val="73F123AA"/>
    <w:rsid w:val="749256C1"/>
    <w:rsid w:val="74A0585D"/>
    <w:rsid w:val="75E9209A"/>
    <w:rsid w:val="76894986"/>
    <w:rsid w:val="76EE0FA5"/>
    <w:rsid w:val="776963DA"/>
    <w:rsid w:val="77772567"/>
    <w:rsid w:val="782C71AD"/>
    <w:rsid w:val="79FE62EE"/>
    <w:rsid w:val="7AC52115"/>
    <w:rsid w:val="7B4C5889"/>
    <w:rsid w:val="7B7A6DAA"/>
    <w:rsid w:val="7BAF4671"/>
    <w:rsid w:val="7CE20021"/>
    <w:rsid w:val="7CF16680"/>
    <w:rsid w:val="7F1217C6"/>
    <w:rsid w:val="7F772E61"/>
    <w:rsid w:val="7FA2248A"/>
    <w:rsid w:val="7FDC4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360" w:lineRule="auto"/>
      <w:ind w:firstLine="723" w:firstLineChars="200"/>
      <w:jc w:val="both"/>
    </w:pPr>
    <w:rPr>
      <w:rFonts w:ascii="仿宋_GB2312" w:hAnsi="仿宋_GB2312" w:eastAsia="仿宋_GB2312" w:cs="Times New Roman"/>
      <w:kern w:val="2"/>
      <w:sz w:val="32"/>
      <w:szCs w:val="22"/>
      <w:lang w:val="en-US" w:eastAsia="zh-CN" w:bidi="ar-SA"/>
    </w:rPr>
  </w:style>
  <w:style w:type="paragraph" w:styleId="2">
    <w:name w:val="heading 1"/>
    <w:basedOn w:val="1"/>
    <w:next w:val="1"/>
    <w:qFormat/>
    <w:uiPriority w:val="0"/>
    <w:pPr>
      <w:spacing w:before="0" w:beforeAutospacing="0" w:after="0" w:afterAutospacing="0"/>
      <w:ind w:firstLine="0" w:firstLineChars="0"/>
      <w:jc w:val="both"/>
      <w:outlineLvl w:val="0"/>
    </w:pPr>
    <w:rPr>
      <w:rFonts w:hint="default" w:ascii="黑体" w:hAnsi="黑体" w:eastAsia="黑体" w:cs="宋体"/>
      <w:bCs/>
      <w:kern w:val="44"/>
      <w:sz w:val="32"/>
      <w:szCs w:val="48"/>
      <w:lang w:bidi="ar"/>
    </w:rPr>
  </w:style>
  <w:style w:type="paragraph" w:styleId="3">
    <w:name w:val="heading 2"/>
    <w:basedOn w:val="1"/>
    <w:next w:val="1"/>
    <w:autoRedefine/>
    <w:unhideWhenUsed/>
    <w:qFormat/>
    <w:uiPriority w:val="0"/>
    <w:pPr>
      <w:keepNext/>
      <w:keepLines/>
      <w:adjustRightInd w:val="0"/>
      <w:snapToGrid w:val="0"/>
      <w:spacing w:line="360" w:lineRule="auto"/>
      <w:ind w:firstLine="600" w:firstLineChars="200"/>
      <w:outlineLvl w:val="1"/>
    </w:pPr>
    <w:rPr>
      <w:rFonts w:ascii="楷体_GB2312" w:hAnsi="楷体_GB2312" w:eastAsia="楷体_GB2312"/>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spacing w:beforeLines="0" w:beforeAutospacing="0"/>
    </w:pPr>
  </w:style>
  <w:style w:type="paragraph" w:styleId="5">
    <w:name w:val="annotation text"/>
    <w:basedOn w:val="1"/>
    <w:autoRedefine/>
    <w:qFormat/>
    <w:uiPriority w:val="0"/>
    <w:pPr>
      <w:jc w:val="left"/>
    </w:pPr>
  </w:style>
  <w:style w:type="paragraph" w:styleId="6">
    <w:name w:val="Body Text"/>
    <w:basedOn w:val="1"/>
    <w:autoRedefine/>
    <w:qFormat/>
    <w:uiPriority w:val="0"/>
    <w:pPr>
      <w:spacing w:after="120"/>
    </w:pPr>
  </w:style>
  <w:style w:type="paragraph" w:styleId="7">
    <w:name w:val="Body Text Indent"/>
    <w:basedOn w:val="1"/>
    <w:autoRedefine/>
    <w:qFormat/>
    <w:uiPriority w:val="99"/>
    <w:pPr>
      <w:spacing w:after="120"/>
      <w:ind w:left="420" w:leftChars="200"/>
    </w:pPr>
  </w:style>
  <w:style w:type="paragraph" w:styleId="8">
    <w:name w:val="footer"/>
    <w:basedOn w:val="1"/>
    <w:autoRedefine/>
    <w:unhideWhenUsed/>
    <w:qFormat/>
    <w:uiPriority w:val="99"/>
    <w:pPr>
      <w:tabs>
        <w:tab w:val="center" w:pos="4153"/>
        <w:tab w:val="right" w:pos="8306"/>
      </w:tabs>
      <w:snapToGrid w:val="0"/>
      <w:jc w:val="left"/>
    </w:pPr>
    <w:rPr>
      <w:rFonts w:eastAsia="宋体"/>
      <w:kern w:val="0"/>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unhideWhenUsed/>
    <w:qFormat/>
    <w:uiPriority w:val="39"/>
    <w:pPr>
      <w:spacing w:before="120" w:after="120"/>
      <w:jc w:val="left"/>
    </w:pPr>
    <w:rPr>
      <w:rFonts w:ascii="Calibri" w:hAnsi="Calibri" w:cs="Calibri"/>
      <w:b/>
      <w:bCs/>
      <w:caps/>
      <w:sz w:val="20"/>
      <w:szCs w:val="20"/>
    </w:rPr>
  </w:style>
  <w:style w:type="paragraph" w:styleId="11">
    <w:name w:val="toc 2"/>
    <w:basedOn w:val="1"/>
    <w:next w:val="1"/>
    <w:autoRedefine/>
    <w:qFormat/>
    <w:uiPriority w:val="39"/>
    <w:pPr>
      <w:ind w:left="300"/>
      <w:jc w:val="left"/>
    </w:pPr>
    <w:rPr>
      <w:rFonts w:ascii="Calibri" w:hAnsi="Calibri" w:cs="Calibri"/>
      <w:smallCaps/>
      <w:sz w:val="20"/>
      <w:szCs w:val="20"/>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autoRedefine/>
    <w:qFormat/>
    <w:uiPriority w:val="99"/>
    <w:pPr>
      <w:ind w:left="0" w:leftChars="0"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Hyperlink"/>
    <w:basedOn w:val="17"/>
    <w:autoRedefine/>
    <w:qFormat/>
    <w:uiPriority w:val="0"/>
    <w:rPr>
      <w:color w:val="0000FF"/>
      <w:u w:val="single"/>
    </w:rPr>
  </w:style>
  <w:style w:type="character" w:customStyle="1" w:styleId="20">
    <w:name w:val="font21"/>
    <w:basedOn w:val="17"/>
    <w:autoRedefine/>
    <w:qFormat/>
    <w:uiPriority w:val="0"/>
    <w:rPr>
      <w:rFonts w:hint="eastAsia" w:ascii="宋体" w:hAnsi="宋体" w:eastAsia="宋体" w:cs="宋体"/>
      <w:color w:val="000000"/>
      <w:sz w:val="20"/>
      <w:szCs w:val="20"/>
      <w:u w:val="none"/>
    </w:rPr>
  </w:style>
  <w:style w:type="character" w:customStyle="1" w:styleId="21">
    <w:name w:val="font61"/>
    <w:basedOn w:val="17"/>
    <w:autoRedefine/>
    <w:qFormat/>
    <w:uiPriority w:val="0"/>
    <w:rPr>
      <w:rFonts w:hint="default" w:ascii="Calibri" w:hAnsi="Calibri" w:cs="Calibri"/>
      <w:color w:val="000000"/>
      <w:sz w:val="20"/>
      <w:szCs w:val="20"/>
      <w:u w:val="none"/>
    </w:rPr>
  </w:style>
  <w:style w:type="character" w:customStyle="1" w:styleId="22">
    <w:name w:val="font41"/>
    <w:basedOn w:val="17"/>
    <w:autoRedefine/>
    <w:qFormat/>
    <w:uiPriority w:val="0"/>
    <w:rPr>
      <w:rFonts w:hint="eastAsia" w:ascii="宋体" w:hAnsi="宋体" w:eastAsia="宋体" w:cs="宋体"/>
      <w:color w:val="000000"/>
      <w:sz w:val="20"/>
      <w:szCs w:val="20"/>
      <w:u w:val="none"/>
    </w:rPr>
  </w:style>
  <w:style w:type="character" w:customStyle="1" w:styleId="23">
    <w:name w:val="font71"/>
    <w:basedOn w:val="17"/>
    <w:autoRedefine/>
    <w:qFormat/>
    <w:uiPriority w:val="0"/>
    <w:rPr>
      <w:rFonts w:hint="default" w:ascii="Calibri" w:hAnsi="Calibri" w:cs="Calibri"/>
      <w:color w:val="000000"/>
      <w:sz w:val="20"/>
      <w:szCs w:val="20"/>
      <w:u w:val="none"/>
    </w:rPr>
  </w:style>
  <w:style w:type="paragraph" w:customStyle="1" w:styleId="24">
    <w:name w:val="WPSOffice手动目录 1"/>
    <w:autoRedefine/>
    <w:qFormat/>
    <w:uiPriority w:val="0"/>
    <w:pPr>
      <w:ind w:leftChars="0"/>
    </w:pPr>
    <w:rPr>
      <w:rFonts w:ascii="Times New Roman" w:hAnsi="Times New Roman" w:eastAsia="宋体" w:cs="Times New Roman"/>
      <w:sz w:val="20"/>
      <w:szCs w:val="20"/>
    </w:rPr>
  </w:style>
  <w:style w:type="paragraph" w:customStyle="1" w:styleId="25">
    <w:name w:val="WPSOffice手动目录 2"/>
    <w:autoRedefine/>
    <w:qFormat/>
    <w:uiPriority w:val="0"/>
    <w:pPr>
      <w:ind w:leftChars="200"/>
    </w:pPr>
    <w:rPr>
      <w:rFonts w:ascii="Times New Roman" w:hAnsi="Times New Roman" w:eastAsia="宋体" w:cs="Times New Roman"/>
      <w:sz w:val="20"/>
      <w:szCs w:val="20"/>
    </w:rPr>
  </w:style>
  <w:style w:type="paragraph" w:customStyle="1" w:styleId="26">
    <w:name w:val="金凯报告正文"/>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pPr>
    <w:rPr>
      <w:rFonts w:hint="default" w:ascii="仿宋_GB2312" w:hAnsi="宋体" w:eastAsia="仿宋_GB2312" w:cs="Times New Roman"/>
      <w:kern w:val="2"/>
      <w:sz w:val="32"/>
      <w:szCs w:val="32"/>
      <w:lang w:val="en-US" w:eastAsia="zh-CN" w:bidi="ar"/>
    </w:rPr>
  </w:style>
  <w:style w:type="paragraph" w:customStyle="1" w:styleId="27">
    <w:name w:val="金凯二级标题"/>
    <w:basedOn w:val="1"/>
    <w:autoRedefine/>
    <w:qFormat/>
    <w:uiPriority w:val="0"/>
    <w:pPr>
      <w:keepNext w:val="0"/>
      <w:keepLines w:val="0"/>
      <w:widowControl w:val="0"/>
      <w:suppressLineNumbers w:val="0"/>
      <w:adjustRightInd w:val="0"/>
      <w:snapToGrid w:val="0"/>
      <w:spacing w:before="0" w:beforeAutospacing="0" w:after="0" w:afterAutospacing="0" w:line="360" w:lineRule="auto"/>
      <w:ind w:left="0" w:right="0" w:firstLine="640" w:firstLineChars="200"/>
      <w:jc w:val="both"/>
      <w:outlineLvl w:val="1"/>
    </w:pPr>
    <w:rPr>
      <w:rFonts w:hint="default" w:ascii="仿宋_GB2312" w:hAnsi="宋体" w:eastAsia="楷体_GB2312" w:cs="Times New Roman"/>
      <w:kern w:val="2"/>
      <w:sz w:val="32"/>
      <w:szCs w:val="32"/>
      <w:lang w:val="en-US" w:eastAsia="zh-CN" w:bidi="ar"/>
    </w:rPr>
  </w:style>
  <w:style w:type="paragraph" w:customStyle="1" w:styleId="28">
    <w:name w:val="Table Text"/>
    <w:basedOn w:val="1"/>
    <w:semiHidden/>
    <w:qFormat/>
    <w:uiPriority w:val="0"/>
    <w:rPr>
      <w:rFonts w:ascii="宋体" w:hAnsi="宋体" w:eastAsia="宋体" w:cs="宋体"/>
      <w:sz w:val="22"/>
      <w:szCs w:val="22"/>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2587</Words>
  <Characters>2760</Characters>
  <Lines>1</Lines>
  <Paragraphs>1</Paragraphs>
  <TotalTime>20</TotalTime>
  <ScaleCrop>false</ScaleCrop>
  <LinksUpToDate>false</LinksUpToDate>
  <CharactersWithSpaces>2764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2022-07-13T08:03:00Z</dcterms:created>
  <dc:creator>邢闯</dc:creator>
  <cp:lastModifiedBy>杨勇</cp:lastModifiedBy>
  <dcterms:modified xsi:type="dcterms:W3CDTF">2024-08-22T08:47:50Z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1C9D683EA649408EA0314049FA7FF7A6_13</vt:lpwstr>
  </property>
</Properties>
</file>