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48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36"/>
          <w:szCs w:val="36"/>
          <w:lang w:eastAsia="zh-CN"/>
        </w:rPr>
      </w:pPr>
      <w:bookmarkStart w:id="0" w:name="_Toc10910"/>
      <w:bookmarkStart w:id="1" w:name="_Toc12609321"/>
      <w:r>
        <w:rPr>
          <w:rFonts w:hint="eastAsia" w:ascii="方正小标宋简体" w:hAnsi="方正小标宋简体" w:eastAsia="方正小标宋简体" w:cs="方正小标宋简体"/>
          <w:b w:val="0"/>
          <w:bCs/>
          <w:sz w:val="36"/>
          <w:szCs w:val="36"/>
          <w:lang w:eastAsia="zh-CN"/>
        </w:rPr>
        <w:t>敏盖绒山羊原种繁育中心核心种群繁育提升项目</w:t>
      </w:r>
    </w:p>
    <w:p w14:paraId="74B086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绩效评价报告</w:t>
      </w:r>
      <w:r>
        <w:rPr>
          <w:rFonts w:hint="eastAsia" w:ascii="方正小标宋简体" w:hAnsi="方正小标宋简体" w:eastAsia="方正小标宋简体" w:cs="方正小标宋简体"/>
          <w:b w:val="0"/>
          <w:bCs/>
          <w:sz w:val="36"/>
          <w:szCs w:val="36"/>
          <w:lang w:val="en-US" w:eastAsia="zh-CN"/>
        </w:rPr>
        <w:t>简要版</w:t>
      </w:r>
    </w:p>
    <w:p w14:paraId="770A41D6">
      <w:pPr>
        <w:pStyle w:val="3"/>
        <w:ind w:firstLine="640"/>
        <w:rPr>
          <w:rFonts w:hint="default" w:ascii="Times New Roman" w:hAnsi="Times New Roman" w:cs="Times New Roman"/>
        </w:rPr>
      </w:pPr>
      <w:bookmarkStart w:id="2" w:name="_Toc13928"/>
    </w:p>
    <w:p w14:paraId="4344B8A8">
      <w:pPr>
        <w:pStyle w:val="3"/>
        <w:ind w:firstLine="640"/>
        <w:rPr>
          <w:rFonts w:hint="default" w:ascii="Times New Roman" w:hAnsi="Times New Roman" w:cs="Times New Roman"/>
        </w:rPr>
      </w:pPr>
      <w:r>
        <w:rPr>
          <w:rFonts w:hint="default" w:ascii="Times New Roman" w:hAnsi="Times New Roman" w:cs="Times New Roman"/>
        </w:rPr>
        <w:t>一、</w:t>
      </w:r>
      <w:bookmarkEnd w:id="0"/>
      <w:bookmarkEnd w:id="1"/>
      <w:r>
        <w:rPr>
          <w:rFonts w:hint="default" w:ascii="Times New Roman" w:hAnsi="Times New Roman" w:cs="Times New Roman"/>
        </w:rPr>
        <w:t>基本情况</w:t>
      </w:r>
      <w:bookmarkEnd w:id="2"/>
      <w:bookmarkStart w:id="34" w:name="_GoBack"/>
      <w:bookmarkEnd w:id="34"/>
    </w:p>
    <w:p w14:paraId="0484C7B8">
      <w:pPr>
        <w:pStyle w:val="4"/>
        <w:ind w:firstLine="640"/>
        <w:rPr>
          <w:rFonts w:hint="default" w:ascii="Times New Roman" w:hAnsi="Times New Roman" w:cs="Times New Roman"/>
          <w:b/>
          <w:bCs w:val="0"/>
        </w:rPr>
      </w:pPr>
      <w:bookmarkStart w:id="3" w:name="_Toc11875"/>
      <w:r>
        <w:rPr>
          <w:rFonts w:hint="default" w:ascii="Times New Roman" w:hAnsi="Times New Roman" w:cs="Times New Roman"/>
          <w:b/>
          <w:bCs w:val="0"/>
        </w:rPr>
        <w:t>（一）项目概况</w:t>
      </w:r>
      <w:bookmarkEnd w:id="3"/>
    </w:p>
    <w:p w14:paraId="70A9EE61">
      <w:pPr>
        <w:pStyle w:val="5"/>
        <w:ind w:firstLine="640"/>
        <w:rPr>
          <w:rFonts w:hint="eastAsia" w:ascii="仿宋_GB2312" w:hAnsi="仿宋_GB2312" w:eastAsia="仿宋_GB2312" w:cs="仿宋_GB2312"/>
          <w:b/>
          <w:bCs w:val="0"/>
        </w:rPr>
      </w:pPr>
      <w:bookmarkStart w:id="4" w:name="_Toc28114"/>
      <w:bookmarkStart w:id="5" w:name="_Toc15128"/>
      <w:r>
        <w:rPr>
          <w:rFonts w:hint="eastAsia" w:ascii="仿宋_GB2312" w:hAnsi="仿宋_GB2312" w:eastAsia="仿宋_GB2312" w:cs="仿宋_GB2312"/>
          <w:b/>
          <w:bCs w:val="0"/>
        </w:rPr>
        <w:t>1.项目背景</w:t>
      </w:r>
      <w:bookmarkEnd w:id="4"/>
      <w:bookmarkEnd w:id="5"/>
    </w:p>
    <w:p w14:paraId="5B479AC1">
      <w:pPr>
        <w:spacing w:line="640" w:lineRule="exact"/>
        <w:ind w:firstLine="640"/>
        <w:rPr>
          <w:rFonts w:hint="eastAsia" w:ascii="仿宋_GB2312" w:hAnsi="仿宋_GB2312" w:eastAsia="仿宋_GB2312" w:cs="仿宋_GB2312"/>
        </w:rPr>
      </w:pPr>
      <w:bookmarkStart w:id="6" w:name="_Toc14288965"/>
      <w:r>
        <w:rPr>
          <w:rFonts w:hint="eastAsia" w:ascii="仿宋_GB2312" w:hAnsi="仿宋_GB2312" w:eastAsia="仿宋_GB2312" w:cs="仿宋_GB2312"/>
        </w:rPr>
        <w:t>（1）项目实施的客观背景</w:t>
      </w:r>
    </w:p>
    <w:p w14:paraId="0121AADB">
      <w:pPr>
        <w:spacing w:line="640" w:lineRule="exact"/>
        <w:ind w:firstLine="640"/>
        <w:rPr>
          <w:rFonts w:hint="eastAsia" w:ascii="仿宋_GB2312" w:hAnsi="仿宋_GB2312" w:eastAsia="仿宋_GB2312" w:cs="仿宋_GB2312"/>
        </w:rPr>
      </w:pPr>
      <w:r>
        <w:rPr>
          <w:rFonts w:hint="eastAsia" w:ascii="仿宋_GB2312" w:hAnsi="仿宋_GB2312" w:eastAsia="仿宋_GB2312" w:cs="仿宋_GB2312"/>
          <w:lang w:val="en-US" w:eastAsia="zh-CN"/>
        </w:rPr>
        <w:t>内蒙古自治区</w:t>
      </w:r>
      <w:r>
        <w:rPr>
          <w:rFonts w:hint="eastAsia" w:ascii="仿宋_GB2312" w:hAnsi="仿宋_GB2312" w:eastAsia="仿宋_GB2312" w:cs="仿宋_GB2312"/>
        </w:rPr>
        <w:t>是中国乃至世界山羊绒原料的主产区及最大的山羊绒制品深加工和出口省区，羊绒产业是自治区经济发展的特色优势产业和重要的民生产业，在繁荣市场、扩大出口、吸纳就业和增加农牧民收入等方面发挥着重要作用。拥有包括“鄂尔多斯”、“鹿王”、“维信”、“兆君”等国内知名品牌在内的近60个品牌商标。</w:t>
      </w:r>
    </w:p>
    <w:p w14:paraId="598D5941">
      <w:pPr>
        <w:spacing w:line="640" w:lineRule="exact"/>
        <w:ind w:firstLine="640"/>
        <w:rPr>
          <w:rFonts w:hint="eastAsia" w:ascii="仿宋_GB2312" w:hAnsi="仿宋_GB2312" w:eastAsia="仿宋_GB2312" w:cs="仿宋_GB2312"/>
        </w:rPr>
      </w:pPr>
      <w:r>
        <w:rPr>
          <w:rFonts w:hint="eastAsia" w:ascii="仿宋_GB2312" w:hAnsi="仿宋_GB2312" w:eastAsia="仿宋_GB2312" w:cs="仿宋_GB2312"/>
        </w:rPr>
        <w:t>经过三十多年的培育发展，伊金霍洛旗敏盖绒山羊养殖规模已达28.5万只，从事绒山羊养殖户8000多户，初步形成了产绒量高、繁殖率高、肉质优的“两高一优”绒山羊种群。2016 年敏盖商标被认定为鄂尔多斯市知名商标，2019年被国家知识产权局确定为驰名商标。虽然敏盖绒山羊多项指标处于全国领先水平，但由于未进行新品种认定，敏盖绒山羊品牌价值未能全部显现。因此，培育敏盖绒山羊新品种对于提高现有优质绒山羊种羊利用效率，提高农牧民养殖效益有现实的意义，对于形成伊金霍洛旗特色的</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绒</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rPr>
        <w:t>产业具有重要意义。</w:t>
      </w:r>
    </w:p>
    <w:p w14:paraId="35C4BE8A">
      <w:pPr>
        <w:spacing w:line="640" w:lineRule="exact"/>
        <w:ind w:firstLine="640"/>
        <w:rPr>
          <w:rFonts w:hint="eastAsia" w:ascii="仿宋_GB2312" w:hAnsi="仿宋_GB2312" w:eastAsia="仿宋_GB2312" w:cs="仿宋_GB2312"/>
        </w:rPr>
      </w:pPr>
      <w:r>
        <w:rPr>
          <w:rFonts w:hint="eastAsia" w:ascii="仿宋_GB2312" w:hAnsi="仿宋_GB2312" w:eastAsia="仿宋_GB2312" w:cs="仿宋_GB2312"/>
        </w:rPr>
        <w:t>敏盖绒山羊是内蒙古鄂尔多斯市伊金霍洛旗培育出的特有地方品种。伊金霍洛旗独特的气候、水文环境和植被等因素，为敏盖绒山羊舍饲养殖提供了得天独厚的自然条件。敏盖绒山羊经过30多年的精心培育，形成了个体大、产绒量高、绒质优良、适应性强、遗传稳定的优质绒山羊种群，具有繁殖率高、产绒量高、肉质优、适于舍饲养殖等特点。</w:t>
      </w:r>
      <w:bookmarkStart w:id="7" w:name="_Toc4275"/>
    </w:p>
    <w:p w14:paraId="6E64C0A0">
      <w:pPr>
        <w:spacing w:line="64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（2）项目实施的现实背景</w:t>
      </w:r>
      <w:bookmarkEnd w:id="7"/>
    </w:p>
    <w:p w14:paraId="2BF97029">
      <w:pPr>
        <w:spacing w:line="640" w:lineRule="exact"/>
        <w:ind w:left="0" w:leftChars="0"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乡村振兴财政乡村振兴资金主要用于支持巩固拓展脱贫攻坚成果、培育和壮大欠发达地区特色优势产业、支持实施中央、自治区和市委、市政府确定的乡村产业振兴重点任务、支持少数民族特色产业发展项目等方面，本次评价</w:t>
      </w:r>
      <w:r>
        <w:rPr>
          <w:rFonts w:hint="eastAsia" w:ascii="仿宋_GB2312" w:hAnsi="仿宋_GB2312" w:eastAsia="仿宋_GB2312" w:cs="仿宋_GB2312"/>
          <w:szCs w:val="32"/>
          <w:lang w:val="en-US" w:eastAsia="zh-CN"/>
        </w:rPr>
        <w:t>项目总金额200</w:t>
      </w:r>
      <w:r>
        <w:rPr>
          <w:rFonts w:hint="eastAsia" w:ascii="仿宋_GB2312" w:hAnsi="仿宋_GB2312" w:eastAsia="仿宋_GB2312" w:cs="仿宋_GB2312"/>
          <w:szCs w:val="32"/>
          <w:lang w:eastAsia="zh-CN"/>
        </w:rPr>
        <w:t>万元，</w:t>
      </w:r>
      <w:r>
        <w:rPr>
          <w:rFonts w:hint="eastAsia" w:ascii="仿宋_GB2312" w:hAnsi="仿宋_GB2312" w:eastAsia="仿宋_GB2312" w:cs="仿宋_GB2312"/>
          <w:szCs w:val="32"/>
          <w:lang w:val="en-US" w:eastAsia="zh-CN"/>
        </w:rPr>
        <w:t>评价项目为2023年敏盖绒山羊原种繁育中心核心种群繁育提升项目</w:t>
      </w:r>
      <w:r>
        <w:rPr>
          <w:rFonts w:hint="eastAsia" w:ascii="仿宋_GB2312" w:hAnsi="仿宋_GB2312" w:eastAsia="仿宋_GB2312" w:cs="仿宋_GB2312"/>
          <w:szCs w:val="32"/>
        </w:rPr>
        <w:t>。</w:t>
      </w:r>
    </w:p>
    <w:p w14:paraId="3CB80229">
      <w:pPr>
        <w:pStyle w:val="5"/>
        <w:ind w:firstLine="640"/>
        <w:rPr>
          <w:rFonts w:hint="eastAsia" w:ascii="仿宋_GB2312" w:hAnsi="仿宋_GB2312" w:eastAsia="仿宋_GB2312" w:cs="仿宋_GB2312"/>
          <w:b/>
          <w:bCs w:val="0"/>
        </w:rPr>
      </w:pPr>
      <w:bookmarkStart w:id="8" w:name="_Toc28921"/>
      <w:bookmarkStart w:id="9" w:name="_Toc10756"/>
      <w:r>
        <w:rPr>
          <w:rFonts w:hint="eastAsia" w:ascii="仿宋_GB2312" w:hAnsi="仿宋_GB2312" w:eastAsia="仿宋_GB2312" w:cs="仿宋_GB2312"/>
          <w:b/>
          <w:bCs w:val="0"/>
        </w:rPr>
        <w:t>2.</w:t>
      </w:r>
      <w:r>
        <w:rPr>
          <w:rFonts w:hint="eastAsia" w:ascii="仿宋_GB2312" w:hAnsi="仿宋_GB2312" w:eastAsia="仿宋_GB2312" w:cs="仿宋_GB2312"/>
          <w:b/>
          <w:bCs w:val="0"/>
          <w:lang w:val="en-US" w:eastAsia="zh-CN"/>
        </w:rPr>
        <w:t>项目</w:t>
      </w:r>
      <w:r>
        <w:rPr>
          <w:rFonts w:hint="eastAsia" w:ascii="仿宋_GB2312" w:hAnsi="仿宋_GB2312" w:eastAsia="仿宋_GB2312" w:cs="仿宋_GB2312"/>
          <w:b/>
          <w:bCs w:val="0"/>
        </w:rPr>
        <w:t>主要内容及实施情况</w:t>
      </w:r>
      <w:bookmarkEnd w:id="8"/>
      <w:bookmarkEnd w:id="9"/>
    </w:p>
    <w:p w14:paraId="43ACBEB2">
      <w:pPr>
        <w:spacing w:line="640" w:lineRule="exact"/>
        <w:ind w:firstLine="640"/>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kern w:val="0"/>
          <w:szCs w:val="32"/>
        </w:rPr>
        <w:t>本项目主要内容为对</w:t>
      </w:r>
      <w:r>
        <w:rPr>
          <w:rFonts w:hint="eastAsia" w:ascii="仿宋_GB2312" w:hAnsi="仿宋_GB2312" w:eastAsia="仿宋_GB2312" w:cs="仿宋_GB2312"/>
          <w:color w:val="000000"/>
          <w:kern w:val="0"/>
          <w:szCs w:val="32"/>
          <w:lang w:eastAsia="zh-CN"/>
        </w:rPr>
        <w:t>旗</w:t>
      </w:r>
      <w:r>
        <w:rPr>
          <w:rFonts w:hint="eastAsia" w:ascii="仿宋_GB2312" w:hAnsi="仿宋_GB2312" w:eastAsia="仿宋_GB2312" w:cs="仿宋_GB2312"/>
          <w:color w:val="000000"/>
          <w:kern w:val="0"/>
          <w:szCs w:val="32"/>
          <w:lang w:val="en-US" w:eastAsia="zh-CN"/>
        </w:rPr>
        <w:t>乡村振兴统筹发展中心2023</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lang w:val="en-US" w:eastAsia="zh-CN"/>
        </w:rPr>
        <w:t>度</w:t>
      </w:r>
      <w:r>
        <w:rPr>
          <w:rFonts w:hint="eastAsia" w:ascii="仿宋_GB2312" w:hAnsi="仿宋_GB2312" w:eastAsia="仿宋_GB2312" w:cs="仿宋_GB2312"/>
          <w:color w:val="000000"/>
          <w:kern w:val="0"/>
          <w:szCs w:val="32"/>
          <w:lang w:eastAsia="zh-CN"/>
        </w:rPr>
        <w:t>2023年敏盖绒山羊原种繁育中心核心种群繁育提升项目</w:t>
      </w:r>
      <w:r>
        <w:rPr>
          <w:rFonts w:hint="eastAsia" w:ascii="仿宋_GB2312" w:hAnsi="仿宋_GB2312" w:eastAsia="仿宋_GB2312" w:cs="仿宋_GB2312"/>
          <w:color w:val="000000"/>
          <w:kern w:val="0"/>
          <w:szCs w:val="32"/>
        </w:rPr>
        <w:t>支出进行绩效评价。</w:t>
      </w:r>
      <w:r>
        <w:rPr>
          <w:rFonts w:hint="eastAsia" w:ascii="仿宋_GB2312" w:hAnsi="仿宋_GB2312" w:eastAsia="仿宋_GB2312" w:cs="仿宋_GB2312"/>
          <w:highlight w:val="none"/>
          <w:lang w:val="en-US" w:eastAsia="zh-CN"/>
        </w:rPr>
        <w:t>项目经费具体包含4项内容：</w:t>
      </w:r>
    </w:p>
    <w:p w14:paraId="0259DA30">
      <w:pPr>
        <w:numPr>
          <w:ilvl w:val="0"/>
          <w:numId w:val="2"/>
        </w:numPr>
        <w:spacing w:line="640" w:lineRule="exact"/>
        <w:ind w:firstLine="640"/>
        <w:rPr>
          <w:rFonts w:hint="eastAsia" w:ascii="仿宋_GB2312" w:hAnsi="仿宋_GB2312" w:eastAsia="仿宋_GB2312" w:cs="仿宋_GB2312"/>
          <w:color w:val="000000"/>
          <w:kern w:val="0"/>
          <w:szCs w:val="32"/>
          <w:highlight w:val="none"/>
          <w:lang w:eastAsia="zh-CN"/>
        </w:rPr>
      </w:pPr>
      <w:r>
        <w:rPr>
          <w:rFonts w:hint="eastAsia" w:ascii="仿宋_GB2312" w:hAnsi="仿宋_GB2312" w:eastAsia="仿宋_GB2312" w:cs="仿宋_GB2312"/>
          <w:highlight w:val="none"/>
          <w:lang w:val="en-US" w:eastAsia="zh-CN"/>
        </w:rPr>
        <w:t>购买优质种羊。购买优质绒山羊优质种公羊9只，投入资金43.00万元，使用旗本级乡村振兴乡村振兴资金30.00万元</w:t>
      </w:r>
      <w:r>
        <w:rPr>
          <w:rFonts w:hint="eastAsia" w:ascii="仿宋_GB2312" w:hAnsi="仿宋_GB2312" w:eastAsia="仿宋_GB2312" w:cs="仿宋_GB2312"/>
          <w:color w:val="000000"/>
          <w:kern w:val="0"/>
          <w:szCs w:val="32"/>
          <w:highlight w:val="none"/>
          <w:lang w:eastAsia="zh-CN"/>
        </w:rPr>
        <w:t>。</w:t>
      </w:r>
    </w:p>
    <w:p w14:paraId="412B782E">
      <w:pPr>
        <w:numPr>
          <w:ilvl w:val="0"/>
          <w:numId w:val="0"/>
        </w:numPr>
        <w:spacing w:line="640" w:lineRule="exact"/>
        <w:ind w:firstLine="640" w:firstLineChars="200"/>
        <w:rPr>
          <w:rFonts w:hint="eastAsia" w:ascii="仿宋_GB2312" w:hAnsi="仿宋_GB2312" w:eastAsia="仿宋_GB2312" w:cs="仿宋_GB2312"/>
          <w:color w:val="000000"/>
          <w:kern w:val="0"/>
          <w:szCs w:val="32"/>
          <w:highlight w:val="none"/>
          <w:lang w:val="en-US" w:eastAsia="zh-CN"/>
        </w:rPr>
      </w:pPr>
      <w:r>
        <w:rPr>
          <w:rFonts w:hint="eastAsia" w:ascii="仿宋_GB2312" w:hAnsi="仿宋_GB2312" w:eastAsia="仿宋_GB2312" w:cs="仿宋_GB2312"/>
          <w:color w:val="000000"/>
          <w:kern w:val="0"/>
          <w:szCs w:val="32"/>
          <w:highlight w:val="none"/>
          <w:lang w:eastAsia="zh-CN"/>
        </w:rPr>
        <w:t>（</w:t>
      </w:r>
      <w:r>
        <w:rPr>
          <w:rFonts w:hint="eastAsia" w:ascii="仿宋_GB2312" w:hAnsi="仿宋_GB2312" w:eastAsia="仿宋_GB2312" w:cs="仿宋_GB2312"/>
          <w:color w:val="000000"/>
          <w:kern w:val="0"/>
          <w:szCs w:val="32"/>
          <w:highlight w:val="none"/>
          <w:lang w:val="en-US" w:eastAsia="zh-CN"/>
        </w:rPr>
        <w:t>2</w:t>
      </w:r>
      <w:r>
        <w:rPr>
          <w:rFonts w:hint="eastAsia" w:ascii="仿宋_GB2312" w:hAnsi="仿宋_GB2312" w:eastAsia="仿宋_GB2312" w:cs="仿宋_GB2312"/>
          <w:color w:val="000000"/>
          <w:kern w:val="0"/>
          <w:szCs w:val="32"/>
          <w:highlight w:val="none"/>
          <w:lang w:eastAsia="zh-CN"/>
        </w:rPr>
        <w:t>）</w:t>
      </w:r>
      <w:r>
        <w:rPr>
          <w:rFonts w:hint="eastAsia" w:ascii="仿宋_GB2312" w:hAnsi="仿宋_GB2312" w:eastAsia="仿宋_GB2312" w:cs="仿宋_GB2312"/>
          <w:color w:val="000000"/>
          <w:kern w:val="0"/>
          <w:szCs w:val="32"/>
          <w:highlight w:val="none"/>
          <w:lang w:val="en-US" w:eastAsia="zh-CN"/>
        </w:rPr>
        <w:t>购买饲草料。通过询价的方式陆续购买牧草、饲料投入资金76.93万元，使用旗本级乡村振兴乡村振兴资金65.00万元。</w:t>
      </w:r>
    </w:p>
    <w:p w14:paraId="159B28A2">
      <w:pPr>
        <w:numPr>
          <w:ilvl w:val="0"/>
          <w:numId w:val="0"/>
        </w:numPr>
        <w:spacing w:line="640" w:lineRule="exact"/>
        <w:ind w:firstLine="640" w:firstLineChars="200"/>
        <w:rPr>
          <w:rFonts w:hint="eastAsia" w:ascii="仿宋_GB2312" w:hAnsi="仿宋_GB2312" w:eastAsia="仿宋_GB2312" w:cs="仿宋_GB2312"/>
          <w:color w:val="000000"/>
          <w:kern w:val="0"/>
          <w:szCs w:val="32"/>
          <w:highlight w:val="none"/>
          <w:lang w:val="en-US" w:eastAsia="zh-CN"/>
        </w:rPr>
      </w:pPr>
      <w:r>
        <w:rPr>
          <w:rFonts w:hint="eastAsia" w:ascii="仿宋_GB2312" w:hAnsi="仿宋_GB2312" w:eastAsia="仿宋_GB2312" w:cs="仿宋_GB2312"/>
          <w:color w:val="000000"/>
          <w:kern w:val="0"/>
          <w:szCs w:val="32"/>
          <w:highlight w:val="none"/>
          <w:lang w:eastAsia="zh-CN"/>
        </w:rPr>
        <w:t>（</w:t>
      </w:r>
      <w:r>
        <w:rPr>
          <w:rFonts w:hint="eastAsia" w:ascii="仿宋_GB2312" w:hAnsi="仿宋_GB2312" w:eastAsia="仿宋_GB2312" w:cs="仿宋_GB2312"/>
          <w:color w:val="000000"/>
          <w:kern w:val="0"/>
          <w:szCs w:val="32"/>
          <w:highlight w:val="none"/>
          <w:lang w:val="en-US" w:eastAsia="zh-CN"/>
        </w:rPr>
        <w:t>3</w:t>
      </w:r>
      <w:r>
        <w:rPr>
          <w:rFonts w:hint="eastAsia" w:ascii="仿宋_GB2312" w:hAnsi="仿宋_GB2312" w:eastAsia="仿宋_GB2312" w:cs="仿宋_GB2312"/>
          <w:color w:val="000000"/>
          <w:kern w:val="0"/>
          <w:szCs w:val="32"/>
          <w:highlight w:val="none"/>
          <w:lang w:eastAsia="zh-CN"/>
        </w:rPr>
        <w:t>）</w:t>
      </w:r>
      <w:r>
        <w:rPr>
          <w:rFonts w:hint="eastAsia" w:ascii="仿宋_GB2312" w:hAnsi="仿宋_GB2312" w:eastAsia="仿宋_GB2312" w:cs="仿宋_GB2312"/>
          <w:color w:val="000000"/>
          <w:kern w:val="0"/>
          <w:szCs w:val="32"/>
          <w:highlight w:val="none"/>
          <w:lang w:val="en-US" w:eastAsia="zh-CN"/>
        </w:rPr>
        <w:t>其他费用。研究、配种、医药费投入资金8.64万元，使用旗本级乡村振兴乡村振兴资金5万元。</w:t>
      </w:r>
    </w:p>
    <w:p w14:paraId="7332828D">
      <w:pPr>
        <w:numPr>
          <w:ilvl w:val="0"/>
          <w:numId w:val="3"/>
        </w:numPr>
        <w:spacing w:line="640" w:lineRule="exact"/>
        <w:ind w:firstLine="640" w:firstLineChars="200"/>
        <w:rPr>
          <w:rFonts w:hint="eastAsia" w:ascii="仿宋_GB2312" w:hAnsi="仿宋_GB2312" w:eastAsia="仿宋_GB2312" w:cs="仿宋_GB2312"/>
          <w:color w:val="000000"/>
          <w:kern w:val="0"/>
          <w:szCs w:val="32"/>
          <w:highlight w:val="none"/>
          <w:lang w:val="en-US" w:eastAsia="zh-CN"/>
        </w:rPr>
      </w:pPr>
      <w:r>
        <w:rPr>
          <w:rFonts w:hint="eastAsia" w:ascii="仿宋_GB2312" w:hAnsi="仿宋_GB2312" w:eastAsia="仿宋_GB2312" w:cs="仿宋_GB2312"/>
          <w:color w:val="000000"/>
          <w:kern w:val="0"/>
          <w:szCs w:val="32"/>
          <w:highlight w:val="none"/>
          <w:lang w:val="en-US" w:eastAsia="zh-CN"/>
        </w:rPr>
        <w:t>绒山羊代养服务。伊金霍洛旗乡村振兴统筹发展中心与鄂尔多斯市云东依侬种养殖有限责任公司在云东敏盖绒山羊原种繁育中心举行敏盖绒山羊原种繁育中心代养项目助推乡村振兴签约仪式，按照0.45万元/只购买云东依侬公司种羊场优质种母羊400只，合计金额180.00万元，使用旗本级乡村振兴乡村振兴资金100.00万元。</w:t>
      </w:r>
    </w:p>
    <w:p w14:paraId="32FD2049">
      <w:pPr>
        <w:numPr>
          <w:ilvl w:val="0"/>
          <w:numId w:val="0"/>
        </w:numPr>
        <w:spacing w:line="640" w:lineRule="exact"/>
        <w:ind w:firstLine="640" w:firstLineChars="200"/>
        <w:rPr>
          <w:rFonts w:hint="eastAsia" w:ascii="仿宋_GB2312" w:hAnsi="仿宋_GB2312" w:eastAsia="仿宋_GB2312" w:cs="仿宋_GB2312"/>
          <w:color w:val="000000"/>
          <w:kern w:val="0"/>
          <w:szCs w:val="32"/>
          <w:highlight w:val="yellow"/>
          <w:lang w:val="en-US" w:eastAsia="zh-CN"/>
        </w:rPr>
      </w:pPr>
      <w:r>
        <w:rPr>
          <w:rFonts w:hint="eastAsia" w:ascii="仿宋_GB2312" w:hAnsi="仿宋_GB2312" w:eastAsia="仿宋_GB2312" w:cs="仿宋_GB2312"/>
          <w:color w:val="000000"/>
          <w:kern w:val="0"/>
          <w:szCs w:val="32"/>
          <w:highlight w:val="none"/>
          <w:lang w:val="en-US" w:eastAsia="zh-CN"/>
        </w:rPr>
        <w:t>截至现场评价日，以上项目内容均已完成，项目经费已全部支付。</w:t>
      </w:r>
    </w:p>
    <w:bookmarkEnd w:id="6"/>
    <w:p w14:paraId="1911F2B2">
      <w:pPr>
        <w:pStyle w:val="5"/>
        <w:ind w:firstLine="640"/>
        <w:rPr>
          <w:rFonts w:hint="eastAsia" w:ascii="仿宋_GB2312" w:hAnsi="仿宋_GB2312" w:eastAsia="仿宋_GB2312" w:cs="仿宋_GB2312"/>
          <w:b/>
          <w:bCs w:val="0"/>
        </w:rPr>
      </w:pPr>
      <w:bookmarkStart w:id="10" w:name="_Toc5119"/>
      <w:bookmarkStart w:id="11" w:name="_Toc19849"/>
      <w:bookmarkStart w:id="12" w:name="_Toc14288984"/>
      <w:r>
        <w:rPr>
          <w:rFonts w:hint="eastAsia" w:ascii="仿宋_GB2312" w:hAnsi="仿宋_GB2312" w:eastAsia="仿宋_GB2312" w:cs="仿宋_GB2312"/>
          <w:b/>
          <w:bCs w:val="0"/>
          <w:color w:val="000000"/>
        </w:rPr>
        <w:t>3.</w:t>
      </w:r>
      <w:r>
        <w:rPr>
          <w:rFonts w:hint="eastAsia" w:ascii="仿宋_GB2312" w:hAnsi="仿宋_GB2312" w:eastAsia="仿宋_GB2312" w:cs="仿宋_GB2312"/>
          <w:b/>
          <w:bCs w:val="0"/>
          <w:lang w:val="en-US" w:eastAsia="zh-CN"/>
        </w:rPr>
        <w:t>项目</w:t>
      </w:r>
      <w:r>
        <w:rPr>
          <w:rFonts w:hint="eastAsia" w:ascii="仿宋_GB2312" w:hAnsi="仿宋_GB2312" w:eastAsia="仿宋_GB2312" w:cs="仿宋_GB2312"/>
          <w:b/>
          <w:bCs w:val="0"/>
        </w:rPr>
        <w:t>资金投入和使用情况</w:t>
      </w:r>
      <w:bookmarkEnd w:id="10"/>
      <w:bookmarkEnd w:id="11"/>
    </w:p>
    <w:p w14:paraId="0EA034DF">
      <w:pPr>
        <w:spacing w:line="64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（1）资金投入情况</w:t>
      </w:r>
    </w:p>
    <w:p w14:paraId="59714967">
      <w:pPr>
        <w:pBdr>
          <w:top w:val="none" w:color="auto" w:sz="0" w:space="0"/>
          <w:left w:val="none" w:color="auto" w:sz="0" w:space="0"/>
          <w:bottom w:val="none" w:color="auto" w:sz="0" w:space="0"/>
          <w:right w:val="none" w:color="auto" w:sz="0" w:space="0"/>
          <w:between w:val="none" w:color="auto" w:sz="0" w:space="0"/>
        </w:pBdr>
        <w:spacing w:line="64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2023年敏盖绒山羊原种繁育中心核心种群繁育提升项目</w:t>
      </w:r>
      <w:r>
        <w:rPr>
          <w:rFonts w:hint="eastAsia" w:ascii="仿宋_GB2312" w:hAnsi="仿宋_GB2312" w:eastAsia="仿宋_GB2312" w:cs="仿宋_GB2312"/>
          <w:color w:val="000000"/>
          <w:kern w:val="0"/>
          <w:szCs w:val="32"/>
          <w:lang w:val="en-US" w:eastAsia="zh-CN"/>
        </w:rPr>
        <w:t>乡村振兴乡村振兴资金支付200</w:t>
      </w:r>
      <w:r>
        <w:rPr>
          <w:rFonts w:hint="eastAsia" w:ascii="仿宋_GB2312" w:hAnsi="仿宋_GB2312" w:eastAsia="仿宋_GB2312" w:cs="仿宋_GB2312"/>
          <w:color w:val="000000"/>
          <w:kern w:val="0"/>
          <w:szCs w:val="32"/>
        </w:rPr>
        <w:t>万元，资金来源于</w:t>
      </w:r>
      <w:r>
        <w:rPr>
          <w:rFonts w:hint="eastAsia" w:ascii="仿宋_GB2312" w:hAnsi="仿宋_GB2312" w:eastAsia="仿宋_GB2312" w:cs="仿宋_GB2312"/>
          <w:color w:val="000000"/>
          <w:kern w:val="0"/>
          <w:szCs w:val="32"/>
          <w:lang w:val="en-US" w:eastAsia="zh-CN"/>
        </w:rPr>
        <w:t>旗本级</w:t>
      </w:r>
      <w:r>
        <w:rPr>
          <w:rFonts w:hint="eastAsia" w:ascii="仿宋_GB2312" w:hAnsi="仿宋_GB2312" w:eastAsia="仿宋_GB2312" w:cs="仿宋_GB2312"/>
          <w:color w:val="000000"/>
          <w:kern w:val="0"/>
          <w:szCs w:val="32"/>
        </w:rPr>
        <w:t>财政资金。项目具体预算情况见表1：</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58"/>
        <w:gridCol w:w="1818"/>
        <w:gridCol w:w="1317"/>
        <w:gridCol w:w="2519"/>
        <w:gridCol w:w="1854"/>
      </w:tblGrid>
      <w:tr w14:paraId="1229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6"/>
            <w:tcBorders>
              <w:top w:val="nil"/>
              <w:left w:val="nil"/>
              <w:bottom w:val="nil"/>
              <w:right w:val="nil"/>
            </w:tcBorders>
            <w:shd w:val="clear" w:color="auto" w:fill="auto"/>
            <w:vAlign w:val="top"/>
          </w:tcPr>
          <w:p w14:paraId="0C5DFE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项目资金明细表</w:t>
            </w:r>
          </w:p>
        </w:tc>
      </w:tr>
      <w:tr w14:paraId="27F9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AC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序号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5F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月份</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7E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科 目</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29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金额</w:t>
            </w:r>
            <w:r>
              <w:rPr>
                <w:rFonts w:hint="eastAsia" w:ascii="宋体" w:hAnsi="宋体" w:eastAsia="宋体" w:cs="宋体"/>
                <w:b/>
                <w:bCs/>
                <w:i w:val="0"/>
                <w:iCs w:val="0"/>
                <w:color w:val="000000"/>
                <w:kern w:val="0"/>
                <w:sz w:val="20"/>
                <w:szCs w:val="20"/>
                <w:u w:val="none"/>
                <w:lang w:val="en-US" w:eastAsia="zh-CN" w:bidi="ar"/>
              </w:rPr>
              <w:t>（元）</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44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收款</w:t>
            </w:r>
            <w:r>
              <w:rPr>
                <w:rFonts w:ascii="宋体" w:hAnsi="宋体" w:eastAsia="宋体" w:cs="宋体"/>
                <w:b/>
                <w:bCs/>
                <w:i w:val="0"/>
                <w:iCs w:val="0"/>
                <w:color w:val="000000"/>
                <w:kern w:val="0"/>
                <w:sz w:val="20"/>
                <w:szCs w:val="20"/>
                <w:u w:val="none"/>
                <w:lang w:val="en-US" w:eastAsia="zh-CN" w:bidi="ar"/>
              </w:rPr>
              <w:t>公司</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0B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备注</w:t>
            </w:r>
          </w:p>
        </w:tc>
      </w:tr>
      <w:tr w14:paraId="73A2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F8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CF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C9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绒山羊种公羊5只</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B0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172000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F9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盖州市中正绒山羊饲养有限公司</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CB5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种公羊申请</w:t>
            </w:r>
            <w:r>
              <w:rPr>
                <w:rFonts w:hint="eastAsia" w:ascii="宋体" w:hAnsi="宋体" w:eastAsia="宋体" w:cs="宋体"/>
                <w:i w:val="0"/>
                <w:iCs w:val="0"/>
                <w:color w:val="000000"/>
                <w:kern w:val="0"/>
                <w:sz w:val="20"/>
                <w:szCs w:val="20"/>
                <w:u w:val="none"/>
                <w:lang w:val="en-US" w:eastAsia="zh-CN" w:bidi="ar"/>
              </w:rPr>
              <w:t>使用</w:t>
            </w:r>
            <w:r>
              <w:rPr>
                <w:rFonts w:ascii="宋体" w:hAnsi="宋体" w:eastAsia="宋体" w:cs="宋体"/>
                <w:i w:val="0"/>
                <w:iCs w:val="0"/>
                <w:color w:val="000000"/>
                <w:kern w:val="0"/>
                <w:sz w:val="20"/>
                <w:szCs w:val="20"/>
                <w:u w:val="none"/>
                <w:lang w:val="en-US" w:eastAsia="zh-CN" w:bidi="ar"/>
              </w:rPr>
              <w:t>补贴300000元</w:t>
            </w:r>
          </w:p>
        </w:tc>
      </w:tr>
      <w:tr w14:paraId="523C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FD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D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5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3D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绒山羊种公羊3只</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05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208000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07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盖州市中正绒山羊饲养有限公司</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4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47BF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7C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EA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5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7D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绒山羊种公羊1只</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D2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50000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32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李铁良</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FB2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511D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35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AE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76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花生秧</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A0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26600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7D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驻马店市华心生态农牧业有限公司</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701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牧草、饲料采购，</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申请</w:t>
            </w:r>
            <w:r>
              <w:rPr>
                <w:rFonts w:hint="eastAsia" w:ascii="宋体" w:hAnsi="宋体" w:eastAsia="宋体" w:cs="宋体"/>
                <w:i w:val="0"/>
                <w:iCs w:val="0"/>
                <w:color w:val="000000"/>
                <w:kern w:val="0"/>
                <w:sz w:val="20"/>
                <w:szCs w:val="20"/>
                <w:u w:val="none"/>
                <w:lang w:val="en-US" w:eastAsia="zh-CN" w:bidi="ar"/>
              </w:rPr>
              <w:t>使用</w:t>
            </w:r>
            <w:r>
              <w:rPr>
                <w:rFonts w:ascii="宋体" w:hAnsi="宋体" w:eastAsia="宋体" w:cs="宋体"/>
                <w:i w:val="0"/>
                <w:iCs w:val="0"/>
                <w:color w:val="000000"/>
                <w:kern w:val="0"/>
                <w:sz w:val="20"/>
                <w:szCs w:val="20"/>
                <w:u w:val="none"/>
                <w:lang w:val="en-US" w:eastAsia="zh-CN" w:bidi="ar"/>
              </w:rPr>
              <w:t>补贴650000元</w:t>
            </w:r>
          </w:p>
        </w:tc>
      </w:tr>
      <w:tr w14:paraId="6530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29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1F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F7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花生秧</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C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44992</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3E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王文兵</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1C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7F44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15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9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C1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花生秧</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3D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44540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13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王志</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B6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5F11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56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4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F2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苜蓿草</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E0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70000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FF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伊金霍洛旗羊增绒育种专业合作社</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93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3E20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76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83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7D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花生秧</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CE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92304</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BC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王志</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43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26FB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B0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F6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8D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玉米</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FF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148800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40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达拉特旗贵才种养殖农民专业合作社</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71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2B31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2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D9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9C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豆皮</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A4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16632</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A9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丁媛</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64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66C4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89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5E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B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玉米</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31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38304</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E0A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李海霞</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76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3810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57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69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BD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玉米</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6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64344</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95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李海燕</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1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7413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A2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3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6E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饲料</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25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79960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9C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伊金霍洛旗李平小饲料门市</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C9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7A6C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6D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31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D4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玉米、豆皮</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64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34816</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19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丁丽</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70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1E33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60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A9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40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豆粕</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EC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62688.6</w:t>
            </w:r>
            <w:r>
              <w:rPr>
                <w:rFonts w:hint="eastAsia" w:ascii="宋体" w:hAnsi="宋体" w:eastAsia="宋体" w:cs="宋体"/>
                <w:i w:val="0"/>
                <w:iCs w:val="0"/>
                <w:color w:val="000000"/>
                <w:kern w:val="0"/>
                <w:sz w:val="20"/>
                <w:szCs w:val="20"/>
                <w:u w:val="none"/>
                <w:lang w:val="en-US" w:eastAsia="zh-CN" w:bidi="ar"/>
              </w:rPr>
              <w:t>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A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伊金霍洛旗李平小饲料门市</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73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2AC0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FE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DB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A8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豆皮</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86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45360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68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丁丽</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BDB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5E5D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BF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A0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1D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配种药品耗材</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7C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25850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A2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北京新明望科技有限公司</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05F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配种药品、耗材</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申请</w:t>
            </w:r>
            <w:r>
              <w:rPr>
                <w:rFonts w:hint="eastAsia" w:ascii="宋体" w:hAnsi="宋体" w:eastAsia="宋体" w:cs="宋体"/>
                <w:i w:val="0"/>
                <w:iCs w:val="0"/>
                <w:color w:val="000000"/>
                <w:kern w:val="0"/>
                <w:sz w:val="20"/>
                <w:szCs w:val="20"/>
                <w:u w:val="none"/>
                <w:lang w:val="en-US" w:eastAsia="zh-CN" w:bidi="ar"/>
              </w:rPr>
              <w:t>使用</w:t>
            </w:r>
            <w:r>
              <w:rPr>
                <w:rFonts w:ascii="宋体" w:hAnsi="宋体" w:eastAsia="宋体" w:cs="宋体"/>
                <w:i w:val="0"/>
                <w:iCs w:val="0"/>
                <w:color w:val="000000"/>
                <w:kern w:val="0"/>
                <w:sz w:val="20"/>
                <w:szCs w:val="20"/>
                <w:u w:val="none"/>
                <w:lang w:val="en-US" w:eastAsia="zh-CN" w:bidi="ar"/>
              </w:rPr>
              <w:t>补贴50000元</w:t>
            </w:r>
          </w:p>
        </w:tc>
      </w:tr>
      <w:tr w14:paraId="1943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62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4E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16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疫苗</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8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7150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3B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内蒙古众鑫胜动保贸易有限公司</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13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7661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69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0A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5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CC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药品</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45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26433</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FD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伊旗阿镇白梅兽药门市部</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0A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55C3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2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BA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C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配种耗材</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4E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2080</w:t>
            </w:r>
            <w:r>
              <w:rPr>
                <w:rFonts w:hint="eastAsia" w:ascii="宋体" w:hAnsi="宋体" w:eastAsia="宋体" w:cs="宋体"/>
                <w:i w:val="0"/>
                <w:iCs w:val="0"/>
                <w:color w:val="000000"/>
                <w:kern w:val="0"/>
                <w:sz w:val="20"/>
                <w:szCs w:val="20"/>
                <w:u w:val="none"/>
                <w:lang w:val="en-US" w:eastAsia="zh-CN" w:bidi="ar"/>
              </w:rPr>
              <w:t>.00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0F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北京新明望科技有限公司</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C6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178C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23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74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6 月</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FB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药品</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07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24853.5</w:t>
            </w:r>
            <w:r>
              <w:rPr>
                <w:rFonts w:hint="eastAsia" w:ascii="宋体" w:hAnsi="宋体" w:eastAsia="宋体" w:cs="宋体"/>
                <w:i w:val="0"/>
                <w:iCs w:val="0"/>
                <w:color w:val="000000"/>
                <w:kern w:val="0"/>
                <w:sz w:val="20"/>
                <w:szCs w:val="20"/>
                <w:u w:val="none"/>
                <w:lang w:val="en-US" w:eastAsia="zh-CN" w:bidi="ar"/>
              </w:rPr>
              <w:t>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B4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东胜区益康兽药经销部</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5E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0803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DA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top"/>
          </w:tcPr>
          <w:p w14:paraId="3C9003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B2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代养合同</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73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1000000</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7A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伊金霍洛旗乡村振兴统筹发展中心</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6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代养项目</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种羊购买资金1000000元</w:t>
            </w:r>
          </w:p>
        </w:tc>
      </w:tr>
      <w:tr w14:paraId="6540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D4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top"/>
          </w:tcPr>
          <w:p w14:paraId="436A72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7F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21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ascii="宋体" w:hAnsi="宋体" w:eastAsia="宋体" w:cs="宋体"/>
                <w:i w:val="0"/>
                <w:iCs w:val="0"/>
                <w:color w:val="000000"/>
                <w:kern w:val="0"/>
                <w:sz w:val="20"/>
                <w:szCs w:val="20"/>
                <w:u w:val="none"/>
                <w:lang w:val="en-US" w:eastAsia="zh-CN" w:bidi="ar"/>
              </w:rPr>
              <w:t>285707.1</w:t>
            </w:r>
            <w:r>
              <w:rPr>
                <w:rFonts w:hint="eastAsia" w:ascii="宋体" w:hAnsi="宋体" w:eastAsia="宋体" w:cs="宋体"/>
                <w:i w:val="0"/>
                <w:iCs w:val="0"/>
                <w:color w:val="000000"/>
                <w:kern w:val="0"/>
                <w:sz w:val="20"/>
                <w:szCs w:val="20"/>
                <w:u w:val="none"/>
                <w:lang w:val="en-US" w:eastAsia="zh-CN" w:bidi="ar"/>
              </w:rPr>
              <w:t>0</w:t>
            </w:r>
          </w:p>
        </w:tc>
        <w:tc>
          <w:tcPr>
            <w:tcW w:w="24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4EA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申请补贴合计：2000000</w:t>
            </w:r>
            <w:r>
              <w:rPr>
                <w:rFonts w:hint="eastAsia" w:ascii="宋体" w:hAnsi="宋体" w:eastAsia="宋体" w:cs="宋体"/>
                <w:i w:val="0"/>
                <w:iCs w:val="0"/>
                <w:color w:val="000000"/>
                <w:kern w:val="0"/>
                <w:sz w:val="20"/>
                <w:szCs w:val="20"/>
                <w:u w:val="none"/>
                <w:lang w:val="en-US" w:eastAsia="zh-CN" w:bidi="ar"/>
              </w:rPr>
              <w:t>.00</w:t>
            </w:r>
            <w:r>
              <w:rPr>
                <w:rFonts w:ascii="宋体" w:hAnsi="宋体" w:eastAsia="宋体" w:cs="宋体"/>
                <w:i w:val="0"/>
                <w:iCs w:val="0"/>
                <w:color w:val="000000"/>
                <w:kern w:val="0"/>
                <w:sz w:val="20"/>
                <w:szCs w:val="20"/>
                <w:u w:val="none"/>
                <w:lang w:val="en-US" w:eastAsia="zh-CN" w:bidi="ar"/>
              </w:rPr>
              <w:t>元</w:t>
            </w:r>
          </w:p>
        </w:tc>
      </w:tr>
    </w:tbl>
    <w:p w14:paraId="6E8EE3FF">
      <w:pPr>
        <w:spacing w:line="640" w:lineRule="exact"/>
        <w:ind w:firstLine="64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（2）资金使用情况</w:t>
      </w:r>
    </w:p>
    <w:p w14:paraId="1667673C">
      <w:pPr>
        <w:spacing w:line="640" w:lineRule="exact"/>
        <w:ind w:firstLine="640"/>
        <w:rPr>
          <w:rFonts w:hint="default" w:ascii="仿宋_GB2312" w:hAnsi="仿宋_GB2312" w:eastAsia="仿宋_GB2312" w:cs="仿宋_GB2312"/>
          <w:lang w:val="en-US" w:eastAsia="zh-CN"/>
        </w:rPr>
      </w:pPr>
      <w:bookmarkStart w:id="13" w:name="_Toc903"/>
      <w:r>
        <w:rPr>
          <w:rFonts w:hint="default" w:ascii="仿宋_GB2312" w:hAnsi="仿宋_GB2312" w:eastAsia="仿宋_GB2312" w:cs="仿宋_GB2312"/>
          <w:lang w:val="en-US" w:eastAsia="zh-CN"/>
        </w:rPr>
        <w:t>2023年敏盖绒山羊原种繁育中心核心种群繁育提升项目预算为</w:t>
      </w:r>
      <w:r>
        <w:rPr>
          <w:rFonts w:hint="eastAsia" w:ascii="仿宋_GB2312" w:hAnsi="仿宋_GB2312" w:eastAsia="仿宋_GB2312" w:cs="仿宋_GB2312"/>
          <w:lang w:val="en-US" w:eastAsia="zh-CN"/>
        </w:rPr>
        <w:t>200.00</w:t>
      </w:r>
      <w:r>
        <w:rPr>
          <w:rFonts w:hint="default" w:ascii="仿宋_GB2312" w:hAnsi="仿宋_GB2312" w:eastAsia="仿宋_GB2312" w:cs="仿宋_GB2312"/>
          <w:lang w:val="en-US" w:eastAsia="zh-CN"/>
        </w:rPr>
        <w:t>万元，实际支出</w:t>
      </w:r>
      <w:r>
        <w:rPr>
          <w:rFonts w:hint="eastAsia" w:ascii="仿宋_GB2312" w:hAnsi="仿宋_GB2312" w:eastAsia="仿宋_GB2312" w:cs="仿宋_GB2312"/>
          <w:lang w:val="en-US" w:eastAsia="zh-CN"/>
        </w:rPr>
        <w:t>200.00</w:t>
      </w:r>
      <w:r>
        <w:rPr>
          <w:rFonts w:hint="default" w:ascii="仿宋_GB2312" w:hAnsi="仿宋_GB2312" w:eastAsia="仿宋_GB2312" w:cs="仿宋_GB2312"/>
          <w:lang w:val="en-US" w:eastAsia="zh-CN"/>
        </w:rPr>
        <w:t>万元，预算执行率</w:t>
      </w:r>
      <w:r>
        <w:rPr>
          <w:rFonts w:hint="eastAsia" w:ascii="仿宋_GB2312" w:hAnsi="仿宋_GB2312" w:eastAsia="仿宋_GB2312" w:cs="仿宋_GB2312"/>
          <w:lang w:val="en-US" w:eastAsia="zh-CN"/>
        </w:rPr>
        <w:t>100</w:t>
      </w:r>
      <w:r>
        <w:rPr>
          <w:rFonts w:hint="default" w:ascii="仿宋_GB2312" w:hAnsi="仿宋_GB2312" w:eastAsia="仿宋_GB2312" w:cs="仿宋_GB2312"/>
          <w:lang w:val="en-US" w:eastAsia="zh-CN"/>
        </w:rPr>
        <w:t>%。</w:t>
      </w:r>
      <w:bookmarkEnd w:id="13"/>
    </w:p>
    <w:p w14:paraId="1A301FBC">
      <w:pPr>
        <w:pStyle w:val="4"/>
        <w:ind w:firstLine="640"/>
        <w:rPr>
          <w:rFonts w:hint="default" w:ascii="Times New Roman" w:hAnsi="Times New Roman" w:cs="Times New Roman"/>
          <w:b/>
          <w:bCs w:val="0"/>
        </w:rPr>
      </w:pPr>
      <w:bookmarkStart w:id="14" w:name="_Toc18095"/>
      <w:r>
        <w:rPr>
          <w:rFonts w:hint="default" w:ascii="Times New Roman" w:hAnsi="Times New Roman" w:cs="Times New Roman"/>
          <w:b/>
          <w:bCs w:val="0"/>
        </w:rPr>
        <w:t>（二）项目绩效目标</w:t>
      </w:r>
      <w:bookmarkEnd w:id="14"/>
    </w:p>
    <w:bookmarkEnd w:id="12"/>
    <w:p w14:paraId="57102FC6">
      <w:pPr>
        <w:pStyle w:val="5"/>
        <w:bidi w:val="0"/>
        <w:rPr>
          <w:rFonts w:hint="eastAsia" w:ascii="仿宋_GB2312" w:hAnsi="仿宋_GB2312" w:eastAsia="仿宋_GB2312" w:cs="仿宋_GB2312"/>
          <w:highlight w:val="none"/>
        </w:rPr>
      </w:pPr>
      <w:bookmarkStart w:id="15" w:name="_Toc30453"/>
      <w:bookmarkStart w:id="16" w:name="_Toc3996"/>
      <w:bookmarkStart w:id="17" w:name="_Toc21100"/>
      <w:r>
        <w:rPr>
          <w:rFonts w:hint="eastAsia" w:ascii="仿宋_GB2312" w:hAnsi="仿宋_GB2312" w:eastAsia="仿宋_GB2312" w:cs="仿宋_GB2312"/>
          <w:highlight w:val="none"/>
        </w:rPr>
        <w:t>1.总体目标</w:t>
      </w:r>
      <w:bookmarkEnd w:id="15"/>
      <w:bookmarkEnd w:id="16"/>
      <w:bookmarkEnd w:id="17"/>
    </w:p>
    <w:p w14:paraId="4BB17D12">
      <w:pPr>
        <w:spacing w:line="640" w:lineRule="exact"/>
        <w:ind w:firstLine="640"/>
        <w:rPr>
          <w:rFonts w:hint="eastAsia" w:ascii="仿宋_GB2312" w:hAnsi="仿宋_GB2312" w:eastAsia="仿宋_GB2312" w:cs="仿宋_GB2312"/>
        </w:rPr>
      </w:pPr>
      <w:r>
        <w:rPr>
          <w:rFonts w:hint="eastAsia" w:ascii="仿宋_GB2312" w:hAnsi="仿宋_GB2312" w:eastAsia="仿宋_GB2312" w:cs="仿宋_GB2312"/>
        </w:rPr>
        <w:t>通过引入优质</w:t>
      </w:r>
      <w:r>
        <w:rPr>
          <w:rFonts w:hint="eastAsia" w:ascii="仿宋_GB2312" w:hAnsi="仿宋_GB2312" w:eastAsia="仿宋_GB2312" w:cs="仿宋_GB2312"/>
          <w:lang w:val="en-US" w:eastAsia="zh-CN"/>
        </w:rPr>
        <w:t>纯</w:t>
      </w:r>
      <w:r>
        <w:rPr>
          <w:rFonts w:hint="eastAsia" w:ascii="仿宋_GB2312" w:hAnsi="仿宋_GB2312" w:eastAsia="仿宋_GB2312" w:cs="仿宋_GB2312"/>
        </w:rPr>
        <w:t>种</w:t>
      </w:r>
      <w:r>
        <w:rPr>
          <w:rFonts w:hint="eastAsia" w:ascii="仿宋_GB2312" w:hAnsi="仿宋_GB2312" w:eastAsia="仿宋_GB2312" w:cs="仿宋_GB2312"/>
          <w:lang w:val="en-US" w:eastAsia="zh-CN"/>
        </w:rPr>
        <w:t>绒</w:t>
      </w:r>
      <w:r>
        <w:rPr>
          <w:rFonts w:hint="eastAsia" w:ascii="仿宋_GB2312" w:hAnsi="仿宋_GB2312" w:eastAsia="仿宋_GB2312" w:cs="仿宋_GB2312"/>
        </w:rPr>
        <w:t>山羊，进行有计划的纯种繁育，并采用人工</w:t>
      </w:r>
      <w:r>
        <w:rPr>
          <w:rFonts w:hint="eastAsia" w:ascii="仿宋_GB2312" w:hAnsi="仿宋_GB2312" w:eastAsia="仿宋_GB2312" w:cs="仿宋_GB2312"/>
          <w:lang w:val="en-US" w:eastAsia="zh-CN"/>
        </w:rPr>
        <w:t>授精</w:t>
      </w:r>
      <w:r>
        <w:rPr>
          <w:rFonts w:hint="eastAsia" w:ascii="仿宋_GB2312" w:hAnsi="仿宋_GB2312" w:eastAsia="仿宋_GB2312" w:cs="仿宋_GB2312"/>
        </w:rPr>
        <w:t>技术</w:t>
      </w:r>
      <w:r>
        <w:rPr>
          <w:rFonts w:hint="eastAsia" w:ascii="仿宋_GB2312" w:hAnsi="仿宋_GB2312" w:eastAsia="仿宋_GB2312" w:cs="仿宋_GB2312"/>
          <w:lang w:eastAsia="zh-CN"/>
        </w:rPr>
        <w:t>，</w:t>
      </w:r>
      <w:r>
        <w:rPr>
          <w:rFonts w:hint="eastAsia" w:ascii="仿宋_GB2312" w:hAnsi="仿宋_GB2312" w:eastAsia="仿宋_GB2312" w:cs="仿宋_GB2312"/>
        </w:rPr>
        <w:t>对地方品种进行改良，提高</w:t>
      </w:r>
      <w:r>
        <w:rPr>
          <w:rFonts w:hint="eastAsia" w:ascii="仿宋_GB2312" w:hAnsi="仿宋_GB2312" w:eastAsia="仿宋_GB2312" w:cs="仿宋_GB2312"/>
          <w:lang w:val="en-US" w:eastAsia="zh-CN"/>
        </w:rPr>
        <w:t>绒</w:t>
      </w:r>
      <w:r>
        <w:rPr>
          <w:rFonts w:hint="eastAsia" w:ascii="仿宋_GB2312" w:hAnsi="仿宋_GB2312" w:eastAsia="仿宋_GB2312" w:cs="仿宋_GB2312"/>
        </w:rPr>
        <w:t>山羊的质量和产绒量。引进优质牧草品种，运用科学</w:t>
      </w:r>
      <w:r>
        <w:rPr>
          <w:rFonts w:hint="eastAsia" w:ascii="仿宋_GB2312" w:hAnsi="仿宋_GB2312" w:eastAsia="仿宋_GB2312" w:cs="仿宋_GB2312"/>
          <w:lang w:val="en-US" w:eastAsia="zh-CN"/>
        </w:rPr>
        <w:t>培训</w:t>
      </w:r>
      <w:r>
        <w:rPr>
          <w:rFonts w:hint="eastAsia" w:ascii="仿宋_GB2312" w:hAnsi="仿宋_GB2312" w:eastAsia="仿宋_GB2312" w:cs="仿宋_GB2312"/>
        </w:rPr>
        <w:t>技术，配套</w:t>
      </w:r>
      <w:r>
        <w:rPr>
          <w:rFonts w:hint="eastAsia" w:ascii="仿宋_GB2312" w:hAnsi="仿宋_GB2312" w:eastAsia="仿宋_GB2312" w:cs="仿宋_GB2312"/>
          <w:lang w:val="en-US" w:eastAsia="zh-CN"/>
        </w:rPr>
        <w:t>种</w:t>
      </w:r>
      <w:r>
        <w:rPr>
          <w:rFonts w:hint="eastAsia" w:ascii="仿宋_GB2312" w:hAnsi="仿宋_GB2312" w:eastAsia="仿宋_GB2312" w:cs="仿宋_GB2312"/>
        </w:rPr>
        <w:t>植基地的喷灌、防护林，实现牧草优质稳产、高产的目的。辐射带动项</w:t>
      </w:r>
      <w:r>
        <w:rPr>
          <w:rFonts w:hint="eastAsia" w:ascii="仿宋_GB2312" w:hAnsi="仿宋_GB2312" w:eastAsia="仿宋_GB2312" w:cs="仿宋_GB2312"/>
          <w:lang w:val="en-US" w:eastAsia="zh-CN"/>
        </w:rPr>
        <w:t>目</w:t>
      </w:r>
      <w:r>
        <w:rPr>
          <w:rFonts w:hint="eastAsia" w:ascii="仿宋_GB2312" w:hAnsi="仿宋_GB2312" w:eastAsia="仿宋_GB2312" w:cs="仿宋_GB2312"/>
        </w:rPr>
        <w:t>旗县及周边</w:t>
      </w:r>
      <w:r>
        <w:rPr>
          <w:rFonts w:hint="eastAsia" w:ascii="仿宋_GB2312" w:hAnsi="仿宋_GB2312" w:eastAsia="仿宋_GB2312" w:cs="仿宋_GB2312"/>
          <w:lang w:val="en-US" w:eastAsia="zh-CN"/>
        </w:rPr>
        <w:t>绒</w:t>
      </w:r>
      <w:r>
        <w:rPr>
          <w:rFonts w:hint="eastAsia" w:ascii="仿宋_GB2312" w:hAnsi="仿宋_GB2312" w:eastAsia="仿宋_GB2312" w:cs="仿宋_GB2312"/>
        </w:rPr>
        <w:t>山羊养殖户，促进敏盖绒山羊的发展，带动农牧民增收，促进</w:t>
      </w:r>
      <w:r>
        <w:rPr>
          <w:rFonts w:hint="eastAsia" w:ascii="仿宋_GB2312" w:hAnsi="仿宋_GB2312" w:eastAsia="仿宋_GB2312" w:cs="仿宋_GB2312"/>
          <w:highlight w:val="none"/>
        </w:rPr>
        <w:t>农业</w:t>
      </w:r>
      <w:r>
        <w:rPr>
          <w:rFonts w:hint="eastAsia" w:ascii="仿宋_GB2312" w:hAnsi="仿宋_GB2312" w:eastAsia="仿宋_GB2312" w:cs="仿宋_GB2312"/>
        </w:rPr>
        <w:t>的高效、可持续发展。</w:t>
      </w:r>
      <w:bookmarkStart w:id="18" w:name="_Toc18843"/>
      <w:bookmarkStart w:id="19" w:name="_Toc11466"/>
    </w:p>
    <w:p w14:paraId="128139B3">
      <w:pPr>
        <w:pStyle w:val="5"/>
        <w:bidi w:val="0"/>
        <w:rPr>
          <w:rFonts w:hint="eastAsia" w:ascii="仿宋_GB2312" w:hAnsi="仿宋_GB2312" w:eastAsia="仿宋_GB2312" w:cs="仿宋_GB2312"/>
          <w:highlight w:val="none"/>
          <w:lang w:val="en-US" w:eastAsia="zh-CN"/>
        </w:rPr>
      </w:pPr>
      <w:bookmarkStart w:id="20" w:name="_Toc7829"/>
      <w:r>
        <w:rPr>
          <w:rFonts w:hint="eastAsia" w:ascii="仿宋_GB2312" w:hAnsi="仿宋_GB2312" w:eastAsia="仿宋_GB2312" w:cs="仿宋_GB2312"/>
          <w:highlight w:val="none"/>
          <w:lang w:val="en-US" w:eastAsia="zh-CN"/>
        </w:rPr>
        <w:t>2.阶段性目标</w:t>
      </w:r>
      <w:bookmarkEnd w:id="18"/>
      <w:bookmarkEnd w:id="19"/>
      <w:bookmarkEnd w:id="20"/>
    </w:p>
    <w:p w14:paraId="76A89D77">
      <w:pPr>
        <w:numPr>
          <w:ilvl w:val="0"/>
          <w:numId w:val="0"/>
        </w:numPr>
        <w:spacing w:line="640" w:lineRule="exact"/>
        <w:ind w:firstLine="640" w:firstLineChars="200"/>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形成“饲草料种植-饲料科学配方-饲料加工-科学繁育-保种育种-粪便还田”的绒山羊高效、生态、可持续循环生产模式。组建舍饲条件下绒山羊“育繁推”一体化与标准化养殖技术支撑服务团队，开展高繁高产型绒山羊，繁殖技术、分群饲养、两年三产、生产性能测定等标准化养殖技术服务，促进绒山羊养殖标准化示范区建设。</w:t>
      </w:r>
    </w:p>
    <w:p w14:paraId="745200A2">
      <w:pPr>
        <w:pStyle w:val="3"/>
        <w:ind w:firstLine="640"/>
        <w:rPr>
          <w:rFonts w:hint="default" w:ascii="Times New Roman" w:hAnsi="Times New Roman" w:cs="Times New Roman"/>
        </w:rPr>
      </w:pPr>
      <w:r>
        <w:rPr>
          <w:rFonts w:hint="default" w:ascii="Times New Roman" w:hAnsi="Times New Roman" w:cs="Times New Roman"/>
        </w:rPr>
        <w:t xml:space="preserve"> </w:t>
      </w:r>
      <w:bookmarkStart w:id="21" w:name="_Toc11565"/>
      <w:r>
        <w:rPr>
          <w:rFonts w:hint="default" w:ascii="Times New Roman" w:hAnsi="Times New Roman" w:cs="Times New Roman"/>
        </w:rPr>
        <w:t>二、</w:t>
      </w:r>
      <w:bookmarkEnd w:id="21"/>
      <w:bookmarkStart w:id="22" w:name="_Toc5151"/>
      <w:r>
        <w:rPr>
          <w:rFonts w:hint="default" w:ascii="Times New Roman" w:hAnsi="Times New Roman" w:cs="Times New Roman"/>
        </w:rPr>
        <w:t>综合评价分析情况及评价结论</w:t>
      </w:r>
      <w:bookmarkEnd w:id="22"/>
    </w:p>
    <w:p w14:paraId="3E829751">
      <w:pPr>
        <w:spacing w:line="360" w:lineRule="auto"/>
        <w:ind w:firstLine="640"/>
        <w:rPr>
          <w:rFonts w:hint="default" w:ascii="Times New Roman" w:hAnsi="Times New Roman" w:eastAsia="仿宋_GB2312" w:cs="Times New Roman"/>
          <w:color w:val="000000"/>
          <w:kern w:val="0"/>
          <w:szCs w:val="32"/>
        </w:rPr>
      </w:pPr>
      <w:r>
        <w:rPr>
          <w:rFonts w:hint="eastAsia" w:ascii="仿宋_GB2312" w:hAnsi="仿宋_GB2312" w:eastAsia="仿宋_GB2312" w:cs="仿宋_GB2312"/>
          <w:color w:val="000000"/>
          <w:kern w:val="0"/>
          <w:szCs w:val="32"/>
          <w:highlight w:val="none"/>
          <w:lang w:eastAsia="zh-CN"/>
        </w:rPr>
        <w:t>绩效评价小组通过数据采集、实地调研、问卷调查及访谈，对</w:t>
      </w:r>
      <w:r>
        <w:rPr>
          <w:rFonts w:hint="eastAsia" w:ascii="仿宋_GB2312" w:hAnsi="仿宋_GB2312" w:eastAsia="仿宋_GB2312" w:cs="仿宋_GB2312"/>
          <w:color w:val="000000"/>
          <w:kern w:val="0"/>
          <w:szCs w:val="32"/>
          <w:highlight w:val="none"/>
          <w:lang w:val="en-US" w:eastAsia="zh-CN"/>
        </w:rPr>
        <w:t>旗</w:t>
      </w:r>
      <w:r>
        <w:rPr>
          <w:rFonts w:hint="eastAsia" w:ascii="仿宋_GB2312" w:hAnsi="仿宋_GB2312" w:eastAsia="仿宋_GB2312" w:cs="仿宋_GB2312"/>
          <w:color w:val="000000"/>
          <w:kern w:val="0"/>
          <w:szCs w:val="32"/>
          <w:highlight w:val="none"/>
        </w:rPr>
        <w:t>乡村振兴统筹</w:t>
      </w:r>
      <w:r>
        <w:rPr>
          <w:rFonts w:hint="eastAsia" w:ascii="仿宋_GB2312" w:hAnsi="仿宋_GB2312" w:eastAsia="仿宋_GB2312" w:cs="仿宋_GB2312"/>
          <w:b w:val="0"/>
          <w:bCs w:val="0"/>
          <w:color w:val="000000"/>
          <w:kern w:val="0"/>
          <w:szCs w:val="32"/>
          <w:highlight w:val="none"/>
          <w:u w:val="none"/>
        </w:rPr>
        <w:t>发展中心</w:t>
      </w:r>
      <w:r>
        <w:rPr>
          <w:rFonts w:hint="eastAsia" w:ascii="仿宋_GB2312" w:hAnsi="仿宋_GB2312" w:eastAsia="仿宋_GB2312" w:cs="仿宋_GB2312"/>
          <w:b w:val="0"/>
          <w:bCs w:val="0"/>
          <w:color w:val="000000"/>
          <w:kern w:val="0"/>
          <w:szCs w:val="32"/>
          <w:highlight w:val="none"/>
          <w:u w:val="none"/>
          <w:lang w:val="en-US" w:eastAsia="zh-CN"/>
        </w:rPr>
        <w:t>2023年敏盖绒山羊原种繁育中心核心种群繁育提升项目</w:t>
      </w:r>
      <w:r>
        <w:rPr>
          <w:rFonts w:hint="eastAsia" w:ascii="仿宋_GB2312" w:hAnsi="仿宋_GB2312" w:eastAsia="仿宋_GB2312" w:cs="仿宋_GB2312"/>
          <w:b w:val="0"/>
          <w:bCs w:val="0"/>
          <w:color w:val="000000"/>
          <w:kern w:val="0"/>
          <w:szCs w:val="32"/>
          <w:highlight w:val="none"/>
          <w:u w:val="none"/>
        </w:rPr>
        <w:t>进行了客观</w:t>
      </w:r>
      <w:r>
        <w:rPr>
          <w:rFonts w:hint="eastAsia" w:ascii="仿宋_GB2312" w:hAnsi="仿宋_GB2312" w:eastAsia="仿宋_GB2312" w:cs="仿宋_GB2312"/>
          <w:b w:val="0"/>
          <w:bCs w:val="0"/>
          <w:color w:val="000000"/>
          <w:kern w:val="0"/>
          <w:szCs w:val="32"/>
          <w:highlight w:val="none"/>
          <w:u w:val="none"/>
          <w:lang w:val="en-US" w:eastAsia="zh-CN"/>
        </w:rPr>
        <w:t>绩效</w:t>
      </w:r>
      <w:r>
        <w:rPr>
          <w:rFonts w:hint="eastAsia" w:ascii="仿宋_GB2312" w:hAnsi="仿宋_GB2312" w:eastAsia="仿宋_GB2312" w:cs="仿宋_GB2312"/>
          <w:b w:val="0"/>
          <w:bCs w:val="0"/>
          <w:color w:val="000000"/>
          <w:kern w:val="0"/>
          <w:szCs w:val="32"/>
          <w:highlight w:val="none"/>
          <w:u w:val="none"/>
        </w:rPr>
        <w:t>评价，最终评分结果：总分</w:t>
      </w:r>
      <w:r>
        <w:rPr>
          <w:rFonts w:hint="eastAsia" w:ascii="仿宋_GB2312" w:hAnsi="仿宋_GB2312" w:eastAsia="仿宋_GB2312" w:cs="仿宋_GB2312"/>
          <w:b w:val="0"/>
          <w:bCs w:val="0"/>
          <w:color w:val="000000"/>
          <w:kern w:val="0"/>
          <w:szCs w:val="32"/>
          <w:highlight w:val="none"/>
          <w:u w:val="none"/>
          <w:lang w:val="en-US" w:eastAsia="zh-CN"/>
        </w:rPr>
        <w:t>95</w:t>
      </w:r>
      <w:r>
        <w:rPr>
          <w:rFonts w:hint="eastAsia" w:ascii="仿宋_GB2312" w:hAnsi="仿宋_GB2312" w:eastAsia="仿宋_GB2312" w:cs="仿宋_GB2312"/>
          <w:b w:val="0"/>
          <w:bCs w:val="0"/>
          <w:color w:val="000000"/>
          <w:kern w:val="0"/>
          <w:szCs w:val="32"/>
          <w:highlight w:val="none"/>
          <w:u w:val="none"/>
        </w:rPr>
        <w:t>分，绩效评价为“优”。</w:t>
      </w:r>
    </w:p>
    <w:p w14:paraId="0744D079">
      <w:pPr>
        <w:pStyle w:val="3"/>
        <w:ind w:firstLine="640"/>
        <w:rPr>
          <w:rFonts w:hint="default" w:ascii="Times New Roman" w:hAnsi="Times New Roman" w:cs="Times New Roman"/>
          <w:highlight w:val="yellow"/>
        </w:rPr>
      </w:pPr>
      <w:bookmarkStart w:id="23" w:name="_Toc11145"/>
      <w:r>
        <w:rPr>
          <w:rFonts w:hint="eastAsia" w:ascii="Times New Roman" w:hAnsi="Times New Roman" w:cs="Times New Roman"/>
          <w:b/>
          <w:bCs/>
          <w:lang w:val="en-US" w:eastAsia="zh-CN"/>
        </w:rPr>
        <w:t>三</w:t>
      </w:r>
      <w:r>
        <w:rPr>
          <w:rFonts w:hint="default" w:ascii="Times New Roman" w:hAnsi="Times New Roman" w:cs="Times New Roman"/>
          <w:highlight w:val="none"/>
        </w:rPr>
        <w:t>、主要经验及做法、存在的问题及原因分析</w:t>
      </w:r>
      <w:bookmarkEnd w:id="23"/>
    </w:p>
    <w:p w14:paraId="2C1DB08C">
      <w:pPr>
        <w:pStyle w:val="4"/>
        <w:ind w:firstLine="640"/>
        <w:rPr>
          <w:rFonts w:hint="default" w:ascii="Times New Roman" w:hAnsi="Times New Roman" w:cs="Times New Roman"/>
        </w:rPr>
      </w:pPr>
      <w:bookmarkStart w:id="24" w:name="_Toc21450"/>
      <w:bookmarkStart w:id="25" w:name="_Toc44403645"/>
      <w:r>
        <w:rPr>
          <w:rFonts w:hint="default" w:ascii="Times New Roman" w:hAnsi="Times New Roman" w:cs="Times New Roman"/>
        </w:rPr>
        <w:t>（一）主要经验及做法</w:t>
      </w:r>
      <w:bookmarkEnd w:id="24"/>
      <w:bookmarkEnd w:id="25"/>
    </w:p>
    <w:p w14:paraId="163EAC07">
      <w:pPr>
        <w:spacing w:line="640" w:lineRule="exact"/>
        <w:ind w:firstLine="640"/>
        <w:rPr>
          <w:rFonts w:hint="eastAsia" w:ascii="Times New Roman" w:hAnsi="Times New Roman" w:eastAsia="仿宋_GB2312" w:cs="Times New Roman"/>
          <w:color w:val="000000"/>
          <w:kern w:val="0"/>
          <w:szCs w:val="32"/>
          <w:highlight w:val="none"/>
          <w:lang w:val="en-US" w:eastAsia="zh-CN"/>
        </w:rPr>
      </w:pPr>
      <w:bookmarkStart w:id="26" w:name="_Toc44403646"/>
      <w:r>
        <w:rPr>
          <w:rFonts w:hint="eastAsia" w:ascii="仿宋_GB2312" w:hAnsi="仿宋_GB2312" w:eastAsia="仿宋_GB2312" w:cs="仿宋_GB2312"/>
          <w:b/>
          <w:bCs/>
          <w:color w:val="000000"/>
          <w:kern w:val="0"/>
          <w:szCs w:val="32"/>
          <w:lang w:val="en-US" w:eastAsia="zh-CN"/>
        </w:rPr>
        <w:t>做好资产后续管护工作。一是</w:t>
      </w:r>
      <w:r>
        <w:rPr>
          <w:rFonts w:hint="eastAsia" w:ascii="仿宋_GB2312" w:hAnsi="仿宋_GB2312" w:eastAsia="仿宋_GB2312" w:cs="仿宋_GB2312"/>
          <w:szCs w:val="32"/>
          <w:highlight w:val="none"/>
        </w:rPr>
        <w:t>合理界定帮扶项目资产权属，按照实事求是、合法合规、优先受益、兼顾效率的原则，充分考虑项目资产形成过程、资金构成和实施方式，明确帮扶项目资产所有权人</w:t>
      </w:r>
      <w:r>
        <w:rPr>
          <w:rFonts w:hint="eastAsia" w:ascii="仿宋_GB2312" w:hAnsi="仿宋_GB2312" w:eastAsia="仿宋_GB2312" w:cs="仿宋_GB2312"/>
          <w:color w:val="000000"/>
          <w:kern w:val="0"/>
          <w:szCs w:val="32"/>
          <w:highlight w:val="none"/>
        </w:rPr>
        <w:t>。</w:t>
      </w:r>
      <w:r>
        <w:rPr>
          <w:rFonts w:hint="eastAsia" w:ascii="仿宋_GB2312" w:hAnsi="仿宋_GB2312" w:eastAsia="仿宋_GB2312" w:cs="仿宋_GB2312"/>
          <w:b/>
          <w:bCs/>
          <w:color w:val="000000"/>
          <w:kern w:val="0"/>
          <w:szCs w:val="32"/>
          <w:highlight w:val="none"/>
          <w:lang w:val="en-US" w:eastAsia="zh-CN"/>
        </w:rPr>
        <w:t>二是</w:t>
      </w:r>
      <w:r>
        <w:rPr>
          <w:rFonts w:hint="eastAsia" w:ascii="仿宋_GB2312" w:hAnsi="仿宋_GB2312" w:eastAsia="仿宋_GB2312" w:cs="仿宋_GB2312"/>
          <w:color w:val="000000"/>
          <w:kern w:val="0"/>
          <w:szCs w:val="32"/>
          <w:highlight w:val="none"/>
        </w:rPr>
        <w:t>按照“受益权与管护权相结合”原则，落实帮扶项目资产管护主体，明确管护责任，制定管护运营方案，积极引导受益群众参与管护，确保帮扶项目资产持续发挥效益。</w:t>
      </w:r>
      <w:r>
        <w:rPr>
          <w:rFonts w:hint="eastAsia" w:ascii="仿宋_GB2312" w:hAnsi="仿宋_GB2312" w:eastAsia="仿宋_GB2312" w:cs="仿宋_GB2312"/>
          <w:b/>
          <w:bCs/>
          <w:color w:val="000000"/>
          <w:kern w:val="0"/>
          <w:szCs w:val="32"/>
          <w:highlight w:val="none"/>
          <w:lang w:val="en-US" w:eastAsia="zh-CN"/>
        </w:rPr>
        <w:t>三是</w:t>
      </w:r>
      <w:r>
        <w:rPr>
          <w:rFonts w:hint="eastAsia" w:ascii="仿宋_GB2312" w:hAnsi="仿宋_GB2312" w:eastAsia="仿宋_GB2312" w:cs="仿宋_GB2312"/>
          <w:color w:val="000000"/>
          <w:kern w:val="0"/>
          <w:szCs w:val="32"/>
          <w:highlight w:val="none"/>
          <w:lang w:val="en-US" w:eastAsia="zh-CN"/>
        </w:rPr>
        <w:t>强化风险防控，帮扶项目资产后续管护运营应明确绩效目标、规范经营程序、有效防范风险，确保发挥经济效益、生态效益和社会效益。健全完善帮扶项目资产风险防范机制，建立经营性资产日常监控台账，做好日常跟踪监测，确保帮扶项目资产安全。</w:t>
      </w:r>
    </w:p>
    <w:p w14:paraId="238FF50E">
      <w:pPr>
        <w:pStyle w:val="4"/>
        <w:ind w:firstLine="640"/>
        <w:rPr>
          <w:rFonts w:hint="default" w:ascii="Times New Roman" w:hAnsi="Times New Roman" w:cs="Times New Roman"/>
        </w:rPr>
      </w:pPr>
      <w:bookmarkStart w:id="27" w:name="_Toc10304"/>
      <w:r>
        <w:rPr>
          <w:rFonts w:hint="default" w:ascii="Times New Roman" w:hAnsi="Times New Roman" w:cs="Times New Roman"/>
        </w:rPr>
        <w:t>（二）存在的问题及原因分析</w:t>
      </w:r>
      <w:bookmarkEnd w:id="26"/>
      <w:bookmarkEnd w:id="27"/>
    </w:p>
    <w:p w14:paraId="59C73B3C">
      <w:pPr>
        <w:spacing w:line="640" w:lineRule="exact"/>
        <w:ind w:firstLine="640"/>
        <w:rPr>
          <w:rFonts w:hint="eastAsia" w:ascii="仿宋_GB2312" w:hAnsi="仿宋_GB2312" w:eastAsia="仿宋_GB2312" w:cs="仿宋_GB2312"/>
          <w:b/>
          <w:bCs/>
          <w:color w:val="000000"/>
          <w:kern w:val="0"/>
          <w:szCs w:val="32"/>
          <w:highlight w:val="none"/>
          <w:lang w:val="en-US" w:eastAsia="zh-CN"/>
        </w:rPr>
      </w:pPr>
      <w:r>
        <w:rPr>
          <w:rFonts w:hint="eastAsia" w:ascii="仿宋_GB2312" w:hAnsi="仿宋_GB2312" w:eastAsia="仿宋_GB2312" w:cs="仿宋_GB2312"/>
          <w:b/>
          <w:bCs/>
          <w:color w:val="000000"/>
          <w:kern w:val="0"/>
          <w:szCs w:val="32"/>
          <w:highlight w:val="none"/>
          <w:lang w:val="en-US" w:eastAsia="zh-CN"/>
        </w:rPr>
        <w:t>1.未建立联农带农机制</w:t>
      </w:r>
    </w:p>
    <w:p w14:paraId="2F90A6FA">
      <w:pPr>
        <w:spacing w:line="640" w:lineRule="exact"/>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实施过程中未建立联农带农机制，不符合《内蒙古自治区巩固拓展脱贫攻坚成果同乡村振兴有效衔接帮扶项目资产后续管理办法（试行）》第十二条“强化联农带农机制，纳入帮扶项目资产管理的经营性项目资产原则上都要建立联农带农机制，经营主体要落实联农带农责任”。</w:t>
      </w:r>
    </w:p>
    <w:p w14:paraId="20DBF0C3">
      <w:pPr>
        <w:spacing w:line="640" w:lineRule="exact"/>
        <w:ind w:firstLine="640"/>
        <w:rPr>
          <w:rFonts w:hint="eastAsia" w:ascii="仿宋_GB2312" w:hAnsi="仿宋_GB2312" w:eastAsia="仿宋_GB2312" w:cs="仿宋_GB2312"/>
          <w:b/>
          <w:bCs/>
          <w:color w:val="000000"/>
          <w:kern w:val="0"/>
          <w:szCs w:val="32"/>
          <w:highlight w:val="none"/>
          <w:lang w:val="en-US" w:eastAsia="zh-CN"/>
        </w:rPr>
      </w:pPr>
      <w:r>
        <w:rPr>
          <w:rFonts w:hint="eastAsia" w:ascii="仿宋_GB2312" w:hAnsi="仿宋_GB2312" w:eastAsia="仿宋_GB2312" w:cs="仿宋_GB2312"/>
          <w:b/>
          <w:bCs/>
          <w:color w:val="000000"/>
          <w:kern w:val="0"/>
          <w:szCs w:val="32"/>
          <w:highlight w:val="none"/>
          <w:lang w:val="en-US" w:eastAsia="zh-CN"/>
        </w:rPr>
        <w:t>2.绩效管理水平有待提升</w:t>
      </w:r>
    </w:p>
    <w:p w14:paraId="35E2994C">
      <w:pPr>
        <w:numPr>
          <w:ilvl w:val="0"/>
          <w:numId w:val="0"/>
        </w:numPr>
        <w:spacing w:line="64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Cs w:val="32"/>
          <w:highlight w:val="none"/>
          <w:lang w:val="en-US" w:eastAsia="zh-CN"/>
        </w:rPr>
        <w:t>一是</w:t>
      </w:r>
      <w:r>
        <w:rPr>
          <w:rFonts w:hint="eastAsia" w:ascii="仿宋_GB2312" w:hAnsi="仿宋_GB2312" w:eastAsia="仿宋_GB2312" w:cs="仿宋_GB2312"/>
          <w:color w:val="000000"/>
          <w:kern w:val="0"/>
          <w:szCs w:val="32"/>
          <w:highlight w:val="none"/>
        </w:rPr>
        <w:t>项目部分绩效目标</w:t>
      </w:r>
      <w:r>
        <w:rPr>
          <w:rFonts w:hint="eastAsia" w:ascii="仿宋_GB2312" w:hAnsi="仿宋_GB2312" w:eastAsia="仿宋_GB2312" w:cs="仿宋_GB2312"/>
          <w:color w:val="000000"/>
          <w:kern w:val="0"/>
          <w:szCs w:val="32"/>
          <w:highlight w:val="none"/>
          <w:lang w:val="en-US" w:eastAsia="zh-CN"/>
        </w:rPr>
        <w:t>设置</w:t>
      </w:r>
      <w:r>
        <w:rPr>
          <w:rFonts w:hint="eastAsia" w:ascii="仿宋_GB2312" w:hAnsi="仿宋_GB2312" w:eastAsia="仿宋_GB2312" w:cs="仿宋_GB2312"/>
          <w:color w:val="000000"/>
          <w:kern w:val="0"/>
          <w:szCs w:val="32"/>
          <w:highlight w:val="none"/>
        </w:rPr>
        <w:t>不完整，</w:t>
      </w:r>
      <w:r>
        <w:rPr>
          <w:rFonts w:hint="eastAsia" w:ascii="仿宋_GB2312" w:hAnsi="仿宋_GB2312" w:eastAsia="仿宋_GB2312" w:cs="仿宋_GB2312"/>
          <w:color w:val="000000"/>
          <w:kern w:val="0"/>
          <w:szCs w:val="32"/>
          <w:highlight w:val="none"/>
          <w:lang w:val="en-US" w:eastAsia="zh-CN"/>
        </w:rPr>
        <w:t>其中</w:t>
      </w:r>
      <w:r>
        <w:rPr>
          <w:rFonts w:hint="eastAsia" w:ascii="仿宋_GB2312" w:hAnsi="仿宋_GB2312" w:eastAsia="仿宋_GB2312" w:cs="仿宋_GB2312"/>
          <w:color w:val="000000"/>
          <w:kern w:val="0"/>
          <w:szCs w:val="32"/>
          <w:highlight w:val="none"/>
        </w:rPr>
        <w:t>质量指标</w:t>
      </w:r>
      <w:r>
        <w:rPr>
          <w:rFonts w:hint="eastAsia" w:ascii="仿宋_GB2312" w:hAnsi="仿宋_GB2312" w:eastAsia="仿宋_GB2312" w:cs="仿宋_GB2312"/>
          <w:color w:val="000000"/>
          <w:kern w:val="0"/>
          <w:szCs w:val="32"/>
          <w:highlight w:val="none"/>
          <w:lang w:val="en-US" w:eastAsia="zh-CN"/>
        </w:rPr>
        <w:t>和时效</w:t>
      </w:r>
      <w:r>
        <w:rPr>
          <w:rFonts w:hint="eastAsia" w:ascii="仿宋_GB2312" w:hAnsi="仿宋_GB2312" w:eastAsia="仿宋_GB2312" w:cs="仿宋_GB2312"/>
          <w:color w:val="000000"/>
          <w:kern w:val="0"/>
          <w:szCs w:val="32"/>
          <w:highlight w:val="none"/>
        </w:rPr>
        <w:t>指标未设置代养绒山羊验收合格及完成时间，绩效目标设置不够完整</w:t>
      </w:r>
      <w:r>
        <w:rPr>
          <w:rFonts w:hint="eastAsia" w:ascii="仿宋_GB2312" w:hAnsi="仿宋_GB2312" w:eastAsia="仿宋_GB2312" w:cs="仿宋_GB2312"/>
          <w:color w:val="000000"/>
          <w:kern w:val="0"/>
          <w:szCs w:val="32"/>
          <w:highlight w:val="none"/>
          <w:lang w:eastAsia="zh-CN"/>
        </w:rPr>
        <w:t>；二是项目绩效目标表资金规模填写错误，项目本次投入资金200</w:t>
      </w:r>
      <w:r>
        <w:rPr>
          <w:rFonts w:hint="eastAsia" w:ascii="仿宋_GB2312" w:hAnsi="仿宋_GB2312" w:eastAsia="仿宋_GB2312" w:cs="仿宋_GB2312"/>
          <w:color w:val="000000"/>
          <w:kern w:val="0"/>
          <w:szCs w:val="32"/>
          <w:highlight w:val="none"/>
          <w:lang w:val="en-US" w:eastAsia="zh-CN"/>
        </w:rPr>
        <w:t>.00</w:t>
      </w:r>
      <w:r>
        <w:rPr>
          <w:rFonts w:hint="eastAsia" w:ascii="仿宋_GB2312" w:hAnsi="仿宋_GB2312" w:eastAsia="仿宋_GB2312" w:cs="仿宋_GB2312"/>
          <w:color w:val="000000"/>
          <w:kern w:val="0"/>
          <w:szCs w:val="32"/>
          <w:highlight w:val="none"/>
          <w:lang w:eastAsia="zh-CN"/>
        </w:rPr>
        <w:t>万元，填写金额与实际拨款金额不符</w:t>
      </w:r>
      <w:r>
        <w:rPr>
          <w:rFonts w:hint="eastAsia" w:ascii="仿宋_GB2312" w:hAnsi="仿宋_GB2312" w:eastAsia="仿宋_GB2312" w:cs="仿宋_GB2312"/>
          <w:lang w:val="en-US" w:eastAsia="zh-CN"/>
        </w:rPr>
        <w:t>。</w:t>
      </w:r>
    </w:p>
    <w:p w14:paraId="774B9B94">
      <w:pPr>
        <w:numPr>
          <w:ilvl w:val="0"/>
          <w:numId w:val="0"/>
        </w:numPr>
        <w:spacing w:line="640" w:lineRule="exact"/>
        <w:ind w:firstLine="643" w:firstLineChars="200"/>
        <w:rPr>
          <w:rFonts w:hint="eastAsia" w:ascii="仿宋_GB2312" w:hAnsi="仿宋_GB2312" w:eastAsia="仿宋_GB2312" w:cs="仿宋_GB2312"/>
          <w:b/>
          <w:bCs/>
          <w:color w:val="000000"/>
          <w:kern w:val="0"/>
          <w:szCs w:val="32"/>
          <w:highlight w:val="none"/>
          <w:lang w:val="en-US" w:eastAsia="zh-CN"/>
        </w:rPr>
      </w:pPr>
      <w:r>
        <w:rPr>
          <w:rFonts w:hint="eastAsia" w:ascii="仿宋_GB2312" w:hAnsi="仿宋_GB2312" w:eastAsia="仿宋_GB2312" w:cs="仿宋_GB2312"/>
          <w:b/>
          <w:bCs/>
          <w:color w:val="000000"/>
          <w:kern w:val="0"/>
          <w:szCs w:val="32"/>
          <w:highlight w:val="none"/>
          <w:lang w:val="en-US" w:eastAsia="zh-CN"/>
        </w:rPr>
        <w:t>3.公告公示制度落实不到位</w:t>
      </w:r>
    </w:p>
    <w:p w14:paraId="0F79E36A">
      <w:pPr>
        <w:numPr>
          <w:ilvl w:val="0"/>
          <w:numId w:val="0"/>
        </w:numPr>
        <w:spacing w:line="640" w:lineRule="exact"/>
        <w:ind w:firstLine="640" w:firstLineChars="200"/>
        <w:rPr>
          <w:rFonts w:hint="eastAsia" w:ascii="仿宋_GB2312" w:hAnsi="仿宋_GB2312" w:eastAsia="仿宋_GB2312" w:cs="仿宋_GB2312"/>
          <w:color w:val="000000"/>
          <w:kern w:val="0"/>
          <w:szCs w:val="32"/>
          <w:highlight w:val="none"/>
          <w:lang w:val="en-US" w:eastAsia="zh-CN"/>
        </w:rPr>
      </w:pPr>
      <w:r>
        <w:rPr>
          <w:rFonts w:hint="eastAsia" w:ascii="仿宋_GB2312" w:hAnsi="仿宋_GB2312" w:eastAsia="仿宋_GB2312" w:cs="仿宋_GB2312"/>
          <w:color w:val="000000"/>
          <w:kern w:val="0"/>
          <w:szCs w:val="32"/>
          <w:highlight w:val="none"/>
          <w:lang w:val="en-US" w:eastAsia="zh-CN"/>
        </w:rPr>
        <w:t>项目在实施过程中未对资金分配、竣工情况、资金项目计划完成情况等内容进行公告，不符合《内蒙古自治区扶贫资金项目公告公示实施办法（修订）》（内扶办发〔2018〕75号）第五条、第十一条、第十二条和第十六条规定。</w:t>
      </w:r>
    </w:p>
    <w:p w14:paraId="1DD97398">
      <w:pPr>
        <w:numPr>
          <w:ilvl w:val="0"/>
          <w:numId w:val="0"/>
        </w:numPr>
        <w:spacing w:line="640" w:lineRule="exact"/>
        <w:ind w:firstLine="643" w:firstLineChars="200"/>
        <w:rPr>
          <w:rFonts w:hint="eastAsia" w:ascii="仿宋_GB2312" w:hAnsi="仿宋_GB2312" w:eastAsia="仿宋_GB2312" w:cs="仿宋_GB2312"/>
          <w:b/>
          <w:bCs/>
          <w:color w:val="000000"/>
          <w:kern w:val="0"/>
          <w:szCs w:val="32"/>
          <w:highlight w:val="none"/>
          <w:lang w:val="en-US" w:eastAsia="zh-CN"/>
        </w:rPr>
      </w:pPr>
      <w:r>
        <w:rPr>
          <w:rFonts w:hint="eastAsia" w:ascii="仿宋_GB2312" w:hAnsi="仿宋_GB2312" w:eastAsia="仿宋_GB2312" w:cs="仿宋_GB2312"/>
          <w:b/>
          <w:bCs/>
          <w:color w:val="000000"/>
          <w:kern w:val="0"/>
          <w:szCs w:val="32"/>
          <w:highlight w:val="none"/>
          <w:lang w:val="en-US" w:eastAsia="zh-CN"/>
        </w:rPr>
        <w:t>4.项目验收不规范</w:t>
      </w:r>
    </w:p>
    <w:p w14:paraId="7CF2BF16">
      <w:pPr>
        <w:numPr>
          <w:ilvl w:val="0"/>
          <w:numId w:val="0"/>
        </w:numPr>
        <w:spacing w:line="640" w:lineRule="exact"/>
        <w:ind w:firstLine="640" w:firstLineChars="200"/>
        <w:rPr>
          <w:rFonts w:hint="eastAsia" w:ascii="Times New Roman" w:hAnsi="Times New Roman" w:eastAsia="仿宋_GB2312" w:cs="Times New Roman"/>
          <w:color w:val="000000"/>
          <w:kern w:val="0"/>
          <w:szCs w:val="32"/>
          <w:highlight w:val="none"/>
          <w:lang w:val="en-US" w:eastAsia="zh-CN"/>
        </w:rPr>
      </w:pPr>
      <w:r>
        <w:rPr>
          <w:rFonts w:hint="eastAsia" w:ascii="仿宋_GB2312" w:hAnsi="仿宋_GB2312" w:eastAsia="仿宋_GB2312" w:cs="仿宋_GB2312"/>
          <w:color w:val="000000"/>
          <w:kern w:val="0"/>
          <w:szCs w:val="32"/>
          <w:highlight w:val="none"/>
          <w:lang w:val="en-US" w:eastAsia="zh-CN"/>
        </w:rPr>
        <w:t>购买东胜区益康兽药经销部鱼腥草注射液等药品金额合计2.49万元，验收单无验收合格情况和验收时间等要素。</w:t>
      </w:r>
    </w:p>
    <w:p w14:paraId="785D8CAB">
      <w:pPr>
        <w:pStyle w:val="3"/>
        <w:ind w:left="0" w:leftChars="0" w:firstLine="643" w:firstLineChars="200"/>
        <w:rPr>
          <w:rFonts w:hint="default" w:ascii="Times New Roman" w:hAnsi="Times New Roman" w:cs="Times New Roman"/>
          <w:highlight w:val="none"/>
        </w:rPr>
      </w:pPr>
      <w:bookmarkStart w:id="28" w:name="_Toc3682"/>
      <w:r>
        <w:rPr>
          <w:rFonts w:hint="eastAsia" w:ascii="Times New Roman" w:hAnsi="Times New Roman" w:cs="Times New Roman"/>
          <w:highlight w:val="none"/>
          <w:lang w:val="en-US" w:eastAsia="zh-CN"/>
        </w:rPr>
        <w:t>四</w:t>
      </w:r>
      <w:r>
        <w:rPr>
          <w:rFonts w:hint="default" w:ascii="Times New Roman" w:hAnsi="Times New Roman" w:cs="Times New Roman"/>
          <w:highlight w:val="none"/>
        </w:rPr>
        <w:t>、有关建议</w:t>
      </w:r>
      <w:bookmarkEnd w:id="28"/>
    </w:p>
    <w:p w14:paraId="39AD888F">
      <w:pPr>
        <w:spacing w:line="640" w:lineRule="exact"/>
        <w:ind w:firstLine="640"/>
        <w:rPr>
          <w:rFonts w:hint="default" w:ascii="Cambria" w:hAnsi="Cambria" w:eastAsia="楷体" w:cs="Times New Roman"/>
          <w:b/>
          <w:bCs/>
          <w:kern w:val="0"/>
          <w:sz w:val="32"/>
          <w:szCs w:val="32"/>
          <w:lang w:val="en-US" w:eastAsia="zh-CN" w:bidi="ar-SA"/>
        </w:rPr>
      </w:pPr>
      <w:r>
        <w:rPr>
          <w:rFonts w:hint="default" w:ascii="Cambria" w:hAnsi="Cambria" w:eastAsia="楷体" w:cs="Times New Roman"/>
          <w:b/>
          <w:bCs/>
          <w:kern w:val="0"/>
          <w:sz w:val="32"/>
          <w:szCs w:val="32"/>
          <w:lang w:val="en-US" w:eastAsia="zh-CN" w:bidi="ar-SA"/>
        </w:rPr>
        <w:t>（一）进一步强化联农带农机制</w:t>
      </w:r>
    </w:p>
    <w:p w14:paraId="01817F8B">
      <w:pPr>
        <w:spacing w:line="640" w:lineRule="exact"/>
        <w:ind w:firstLine="64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纳入帮扶项目资产管理的经营性项目资产要建立联农带农机制，经营主体要落实联农带农责任。经营主体可通过吸纳就业、设置公益岗、订单生产、托管代养、代耕代种、产品代销、保护价收购、技术服务（种养殖技术及品种改良）、股份合作、土地流转、房屋租赁等方式优化联农带农机制</w:t>
      </w:r>
      <w:r>
        <w:rPr>
          <w:rFonts w:hint="eastAsia" w:ascii="Times New Roman" w:hAnsi="Times New Roman" w:eastAsia="仿宋_GB2312" w:cs="Times New Roman"/>
          <w:color w:val="000000"/>
          <w:kern w:val="0"/>
          <w:szCs w:val="32"/>
          <w:lang w:eastAsia="zh-CN"/>
        </w:rPr>
        <w:t>，</w:t>
      </w:r>
      <w:r>
        <w:rPr>
          <w:rFonts w:hint="eastAsia" w:ascii="Times New Roman" w:hAnsi="Times New Roman" w:eastAsia="仿宋_GB2312" w:cs="Times New Roman"/>
          <w:color w:val="000000"/>
          <w:kern w:val="0"/>
          <w:szCs w:val="32"/>
          <w:lang w:val="en-US" w:eastAsia="zh-CN"/>
        </w:rPr>
        <w:t>从而进一步扩大带动辐射范围</w:t>
      </w:r>
      <w:r>
        <w:rPr>
          <w:rFonts w:hint="default" w:ascii="Times New Roman" w:hAnsi="Times New Roman" w:eastAsia="仿宋_GB2312" w:cs="Times New Roman"/>
          <w:color w:val="000000"/>
          <w:kern w:val="0"/>
          <w:szCs w:val="32"/>
        </w:rPr>
        <w:t>。</w:t>
      </w:r>
    </w:p>
    <w:p w14:paraId="6F8E245C">
      <w:pPr>
        <w:pStyle w:val="4"/>
        <w:bidi w:val="0"/>
        <w:rPr>
          <w:rFonts w:hint="default"/>
        </w:rPr>
      </w:pPr>
      <w:bookmarkStart w:id="29" w:name="_Toc26871"/>
      <w:bookmarkStart w:id="30" w:name="_Toc4059"/>
      <w:bookmarkStart w:id="31" w:name="_Toc32026"/>
      <w:r>
        <w:rPr>
          <w:rFonts w:hint="eastAsia"/>
          <w:lang w:eastAsia="zh-CN"/>
        </w:rPr>
        <w:t>（</w:t>
      </w:r>
      <w:r>
        <w:rPr>
          <w:rFonts w:hint="eastAsia"/>
          <w:lang w:val="en-US" w:eastAsia="zh-CN"/>
        </w:rPr>
        <w:t>二</w:t>
      </w:r>
      <w:r>
        <w:rPr>
          <w:rFonts w:hint="eastAsia"/>
          <w:lang w:eastAsia="zh-CN"/>
        </w:rPr>
        <w:t>）</w:t>
      </w:r>
      <w:r>
        <w:rPr>
          <w:rFonts w:hint="eastAsia"/>
          <w:lang w:val="en-US" w:eastAsia="zh-CN"/>
        </w:rPr>
        <w:t>根据实际情况</w:t>
      </w:r>
      <w:r>
        <w:rPr>
          <w:rFonts w:hint="default"/>
        </w:rPr>
        <w:t>科学填写绩效目标申报表</w:t>
      </w:r>
      <w:bookmarkEnd w:id="29"/>
      <w:bookmarkEnd w:id="30"/>
      <w:bookmarkEnd w:id="31"/>
    </w:p>
    <w:p w14:paraId="4661BA46">
      <w:pPr>
        <w:spacing w:line="640" w:lineRule="exact"/>
        <w:ind w:firstLine="64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根据项目内容和项目特</w:t>
      </w:r>
      <w:r>
        <w:rPr>
          <w:rFonts w:hint="eastAsia" w:ascii="Times New Roman" w:hAnsi="Times New Roman" w:eastAsia="仿宋_GB2312" w:cs="Times New Roman"/>
          <w:color w:val="000000"/>
          <w:kern w:val="0"/>
          <w:szCs w:val="32"/>
          <w:lang w:val="en-US" w:eastAsia="zh-CN"/>
        </w:rPr>
        <w:t>点</w:t>
      </w:r>
      <w:r>
        <w:rPr>
          <w:rFonts w:hint="default" w:ascii="Times New Roman" w:hAnsi="Times New Roman" w:eastAsia="仿宋_GB2312" w:cs="Times New Roman"/>
          <w:color w:val="000000"/>
          <w:kern w:val="0"/>
          <w:szCs w:val="32"/>
        </w:rPr>
        <w:t>，</w:t>
      </w:r>
      <w:r>
        <w:rPr>
          <w:rFonts w:hint="eastAsia" w:ascii="Times New Roman" w:hAnsi="Times New Roman" w:eastAsia="仿宋_GB2312" w:cs="Times New Roman"/>
          <w:color w:val="000000"/>
          <w:kern w:val="0"/>
          <w:szCs w:val="32"/>
          <w:lang w:val="en-US" w:eastAsia="zh-CN"/>
        </w:rPr>
        <w:t>提前调研筹划，</w:t>
      </w:r>
      <w:r>
        <w:rPr>
          <w:rFonts w:hint="default" w:ascii="Times New Roman" w:hAnsi="Times New Roman" w:eastAsia="仿宋_GB2312" w:cs="Times New Roman"/>
          <w:color w:val="000000"/>
          <w:kern w:val="0"/>
          <w:szCs w:val="32"/>
        </w:rPr>
        <w:t>充分考虑</w:t>
      </w:r>
      <w:r>
        <w:rPr>
          <w:rFonts w:hint="eastAsia" w:ascii="Times New Roman" w:hAnsi="Times New Roman" w:eastAsia="仿宋_GB2312" w:cs="Times New Roman"/>
          <w:color w:val="000000"/>
          <w:kern w:val="0"/>
          <w:szCs w:val="32"/>
          <w:lang w:val="en-US" w:eastAsia="zh-CN"/>
        </w:rPr>
        <w:t>项目工作任务</w:t>
      </w:r>
      <w:r>
        <w:rPr>
          <w:rFonts w:hint="default" w:ascii="Times New Roman" w:hAnsi="Times New Roman" w:eastAsia="仿宋_GB2312" w:cs="Times New Roman"/>
          <w:color w:val="000000"/>
          <w:kern w:val="0"/>
          <w:szCs w:val="32"/>
        </w:rPr>
        <w:t>情况，设置绩效指标目标值，以更好的反映和考核项目绩效目标与项目实施的相符情况，提高预算管理水平。</w:t>
      </w:r>
    </w:p>
    <w:p w14:paraId="5CAAEEEE">
      <w:pPr>
        <w:spacing w:line="640" w:lineRule="exact"/>
        <w:ind w:firstLine="640"/>
        <w:rPr>
          <w:rFonts w:hint="default" w:ascii="Cambria" w:hAnsi="Cambria" w:eastAsia="楷体" w:cs="Times New Roman"/>
          <w:b/>
          <w:bCs/>
          <w:kern w:val="0"/>
          <w:sz w:val="32"/>
          <w:szCs w:val="32"/>
          <w:lang w:val="en-US" w:eastAsia="zh-CN" w:bidi="ar-SA"/>
        </w:rPr>
      </w:pPr>
      <w:r>
        <w:rPr>
          <w:rFonts w:hint="eastAsia" w:ascii="Cambria" w:hAnsi="Cambria" w:eastAsia="楷体" w:cs="Times New Roman"/>
          <w:b/>
          <w:bCs/>
          <w:kern w:val="0"/>
          <w:sz w:val="32"/>
          <w:szCs w:val="32"/>
          <w:lang w:val="en-US" w:eastAsia="zh-CN" w:bidi="ar-SA"/>
        </w:rPr>
        <w:t>（三）全面落实公示公告制度</w:t>
      </w:r>
    </w:p>
    <w:p w14:paraId="69DA402E">
      <w:pPr>
        <w:spacing w:line="640" w:lineRule="exact"/>
        <w:ind w:firstLine="640"/>
        <w:rPr>
          <w:rFonts w:hint="default" w:ascii="Times New Roman" w:hAnsi="Times New Roman" w:eastAsia="仿宋_GB2312" w:cs="Times New Roman"/>
          <w:color w:val="000000"/>
          <w:kern w:val="0"/>
          <w:szCs w:val="32"/>
          <w:lang w:val="en-US" w:eastAsia="zh-CN"/>
        </w:rPr>
      </w:pPr>
      <w:r>
        <w:rPr>
          <w:rFonts w:hint="eastAsia" w:ascii="Times New Roman" w:hAnsi="Times New Roman" w:eastAsia="仿宋_GB2312" w:cs="Times New Roman"/>
          <w:color w:val="000000"/>
          <w:kern w:val="0"/>
          <w:szCs w:val="32"/>
          <w:lang w:val="en-US" w:eastAsia="zh-CN"/>
        </w:rPr>
        <w:t>乡村振兴</w:t>
      </w:r>
      <w:r>
        <w:rPr>
          <w:rFonts w:hint="default" w:ascii="Times New Roman" w:hAnsi="Times New Roman" w:eastAsia="仿宋_GB2312" w:cs="Times New Roman"/>
          <w:color w:val="000000"/>
          <w:kern w:val="0"/>
          <w:szCs w:val="32"/>
          <w:lang w:val="en-US" w:eastAsia="zh-CN"/>
        </w:rPr>
        <w:t>资金项目公示公告工作是规范</w:t>
      </w:r>
      <w:r>
        <w:rPr>
          <w:rFonts w:hint="eastAsia" w:ascii="Times New Roman" w:hAnsi="Times New Roman" w:eastAsia="仿宋_GB2312" w:cs="Times New Roman"/>
          <w:color w:val="000000"/>
          <w:kern w:val="0"/>
          <w:szCs w:val="32"/>
          <w:lang w:val="en-US" w:eastAsia="zh-CN"/>
        </w:rPr>
        <w:t>乡村振兴资金</w:t>
      </w:r>
      <w:r>
        <w:rPr>
          <w:rFonts w:hint="default" w:ascii="Times New Roman" w:hAnsi="Times New Roman" w:eastAsia="仿宋_GB2312" w:cs="Times New Roman"/>
          <w:color w:val="000000"/>
          <w:kern w:val="0"/>
          <w:szCs w:val="32"/>
          <w:lang w:val="en-US" w:eastAsia="zh-CN"/>
        </w:rPr>
        <w:t>项目管理，提高项目安排、实施、管理的透明度，确保</w:t>
      </w:r>
      <w:r>
        <w:rPr>
          <w:rFonts w:hint="eastAsia" w:ascii="Times New Roman" w:hAnsi="Times New Roman" w:eastAsia="仿宋_GB2312" w:cs="Times New Roman"/>
          <w:color w:val="000000"/>
          <w:kern w:val="0"/>
          <w:szCs w:val="32"/>
          <w:lang w:val="en-US" w:eastAsia="zh-CN"/>
        </w:rPr>
        <w:t>乡村振兴资金</w:t>
      </w:r>
      <w:r>
        <w:rPr>
          <w:rFonts w:hint="default" w:ascii="Times New Roman" w:hAnsi="Times New Roman" w:eastAsia="仿宋_GB2312" w:cs="Times New Roman"/>
          <w:color w:val="000000"/>
          <w:kern w:val="0"/>
          <w:szCs w:val="32"/>
          <w:lang w:val="en-US" w:eastAsia="zh-CN"/>
        </w:rPr>
        <w:t>运行安全高效的有力保障。建议项目实施及管理部门（单位）全面落实</w:t>
      </w:r>
      <w:r>
        <w:rPr>
          <w:rFonts w:hint="eastAsia" w:ascii="Times New Roman" w:hAnsi="Times New Roman" w:eastAsia="仿宋_GB2312" w:cs="Times New Roman"/>
          <w:color w:val="000000"/>
          <w:kern w:val="0"/>
          <w:szCs w:val="32"/>
          <w:lang w:val="en-US" w:eastAsia="zh-CN"/>
        </w:rPr>
        <w:t>乡村振兴资金</w:t>
      </w:r>
      <w:r>
        <w:rPr>
          <w:rFonts w:hint="default" w:ascii="Times New Roman" w:hAnsi="Times New Roman" w:eastAsia="仿宋_GB2312" w:cs="Times New Roman"/>
          <w:color w:val="000000"/>
          <w:kern w:val="0"/>
          <w:szCs w:val="32"/>
          <w:lang w:val="en-US" w:eastAsia="zh-CN"/>
        </w:rPr>
        <w:t>项目公示公告制度，按照“谁分配、谁使用、谁公开”的原则，明确公示公告内容、按照公示公告期限要求，体现公告公示要素。</w:t>
      </w:r>
    </w:p>
    <w:p w14:paraId="4465EDE5">
      <w:pPr>
        <w:spacing w:line="640" w:lineRule="exact"/>
        <w:ind w:firstLine="640"/>
        <w:rPr>
          <w:rFonts w:hint="default" w:ascii="Cambria" w:hAnsi="Cambria" w:eastAsia="楷体" w:cs="Times New Roman"/>
          <w:b/>
          <w:bCs/>
          <w:kern w:val="0"/>
          <w:sz w:val="32"/>
          <w:szCs w:val="32"/>
          <w:lang w:val="en-US" w:eastAsia="zh-CN" w:bidi="ar-SA"/>
        </w:rPr>
      </w:pPr>
      <w:r>
        <w:rPr>
          <w:rFonts w:hint="default" w:ascii="Cambria" w:hAnsi="Cambria" w:eastAsia="楷体" w:cs="Times New Roman"/>
          <w:b/>
          <w:bCs/>
          <w:kern w:val="0"/>
          <w:sz w:val="32"/>
          <w:szCs w:val="32"/>
          <w:lang w:val="en-US" w:eastAsia="zh-CN" w:bidi="ar-SA"/>
        </w:rPr>
        <w:t>（</w:t>
      </w:r>
      <w:r>
        <w:rPr>
          <w:rFonts w:hint="eastAsia" w:ascii="Cambria" w:hAnsi="Cambria" w:eastAsia="楷体" w:cs="Times New Roman"/>
          <w:b/>
          <w:bCs/>
          <w:kern w:val="0"/>
          <w:sz w:val="32"/>
          <w:szCs w:val="32"/>
          <w:lang w:val="en-US" w:eastAsia="zh-CN" w:bidi="ar-SA"/>
        </w:rPr>
        <w:t>四</w:t>
      </w:r>
      <w:r>
        <w:rPr>
          <w:rFonts w:hint="default" w:ascii="Cambria" w:hAnsi="Cambria" w:eastAsia="楷体" w:cs="Times New Roman"/>
          <w:b/>
          <w:bCs/>
          <w:kern w:val="0"/>
          <w:sz w:val="32"/>
          <w:szCs w:val="32"/>
          <w:lang w:val="en-US" w:eastAsia="zh-CN" w:bidi="ar-SA"/>
        </w:rPr>
        <w:t>）</w:t>
      </w:r>
      <w:r>
        <w:rPr>
          <w:rFonts w:hint="eastAsia" w:ascii="Cambria" w:hAnsi="Cambria" w:eastAsia="楷体" w:cs="Times New Roman"/>
          <w:b/>
          <w:bCs/>
          <w:kern w:val="0"/>
          <w:sz w:val="32"/>
          <w:szCs w:val="32"/>
          <w:lang w:val="en-US" w:eastAsia="zh-CN" w:bidi="ar-SA"/>
        </w:rPr>
        <w:t>加强项目管理</w:t>
      </w:r>
    </w:p>
    <w:p w14:paraId="01E1C0F4">
      <w:pPr>
        <w:spacing w:line="640" w:lineRule="exact"/>
        <w:ind w:firstLine="640"/>
        <w:rPr>
          <w:rFonts w:hint="default" w:ascii="Times New Roman" w:hAnsi="Times New Roman" w:eastAsia="仿宋_GB2312" w:cs="Times New Roman"/>
          <w:color w:val="000000"/>
          <w:kern w:val="0"/>
          <w:szCs w:val="32"/>
          <w:lang w:val="en-US" w:eastAsia="zh-CN"/>
        </w:rPr>
      </w:pPr>
      <w:r>
        <w:rPr>
          <w:rFonts w:hint="default" w:ascii="Times New Roman" w:hAnsi="Times New Roman" w:eastAsia="仿宋_GB2312" w:cs="Times New Roman"/>
          <w:color w:val="000000"/>
          <w:kern w:val="0"/>
          <w:szCs w:val="32"/>
          <w:lang w:val="en-US" w:eastAsia="zh-CN"/>
        </w:rPr>
        <w:t>项目管理工作应从项目计划报备、编制实施方案、项目组织实施、项目评估验收、项目后续管护、项目档案收集整理等方面加强，进而提高</w:t>
      </w:r>
      <w:r>
        <w:rPr>
          <w:rFonts w:hint="eastAsia" w:ascii="Times New Roman" w:hAnsi="Times New Roman" w:eastAsia="仿宋_GB2312" w:cs="Times New Roman"/>
          <w:color w:val="000000"/>
          <w:kern w:val="0"/>
          <w:szCs w:val="32"/>
          <w:lang w:val="en-US" w:eastAsia="zh-CN"/>
        </w:rPr>
        <w:t>乡村振兴资金</w:t>
      </w:r>
      <w:r>
        <w:rPr>
          <w:rFonts w:hint="default" w:ascii="Times New Roman" w:hAnsi="Times New Roman" w:eastAsia="仿宋_GB2312" w:cs="Times New Roman"/>
          <w:color w:val="000000"/>
          <w:kern w:val="0"/>
          <w:szCs w:val="32"/>
          <w:lang w:val="en-US" w:eastAsia="zh-CN"/>
        </w:rPr>
        <w:t>使用效率，保障</w:t>
      </w:r>
      <w:r>
        <w:rPr>
          <w:rFonts w:hint="eastAsia" w:ascii="Times New Roman" w:hAnsi="Times New Roman" w:eastAsia="仿宋_GB2312" w:cs="Times New Roman"/>
          <w:color w:val="000000"/>
          <w:kern w:val="0"/>
          <w:szCs w:val="32"/>
          <w:lang w:val="en-US" w:eastAsia="zh-CN"/>
        </w:rPr>
        <w:t>乡村振兴资金</w:t>
      </w:r>
      <w:r>
        <w:rPr>
          <w:rFonts w:hint="default" w:ascii="Times New Roman" w:hAnsi="Times New Roman" w:eastAsia="仿宋_GB2312" w:cs="Times New Roman"/>
          <w:color w:val="000000"/>
          <w:kern w:val="0"/>
          <w:szCs w:val="32"/>
          <w:lang w:val="en-US" w:eastAsia="zh-CN"/>
        </w:rPr>
        <w:t>发挥应有效益。</w:t>
      </w:r>
    </w:p>
    <w:p w14:paraId="0CAEE8B5">
      <w:pPr>
        <w:pStyle w:val="3"/>
        <w:spacing w:line="240" w:lineRule="auto"/>
        <w:ind w:firstLine="0" w:firstLineChars="0"/>
        <w:rPr>
          <w:rStyle w:val="23"/>
          <w:rFonts w:hint="eastAsia" w:ascii="Times New Roman" w:hAnsi="Times New Roman" w:cs="Times New Roman"/>
          <w:b/>
          <w:bCs w:val="0"/>
          <w:lang w:val="en-US" w:eastAsia="zh-CN"/>
        </w:rPr>
      </w:pPr>
      <w:bookmarkStart w:id="32" w:name="_Toc32326"/>
      <w:bookmarkStart w:id="33" w:name="_Toc4762"/>
      <w:r>
        <w:rPr>
          <w:rStyle w:val="23"/>
          <w:rFonts w:hint="eastAsia" w:ascii="Times New Roman" w:hAnsi="Times New Roman" w:cs="Times New Roman"/>
          <w:b/>
          <w:bCs w:val="0"/>
          <w:lang w:val="en-US" w:eastAsia="zh-CN"/>
        </w:rPr>
        <w:drawing>
          <wp:inline distT="0" distB="0" distL="114300" distR="114300">
            <wp:extent cx="5476240" cy="3524885"/>
            <wp:effectExtent l="0" t="0" r="10160" b="18415"/>
            <wp:docPr id="37" name="图片 37" descr="71e6aa07e604d1d2b1542c219f7d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1e6aa07e604d1d2b1542c219f7df0a"/>
                    <pic:cNvPicPr>
                      <a:picLocks noChangeAspect="1"/>
                    </pic:cNvPicPr>
                  </pic:nvPicPr>
                  <pic:blipFill>
                    <a:blip r:embed="rId8"/>
                    <a:stretch>
                      <a:fillRect/>
                    </a:stretch>
                  </pic:blipFill>
                  <pic:spPr>
                    <a:xfrm>
                      <a:off x="0" y="0"/>
                      <a:ext cx="5476240" cy="3524885"/>
                    </a:xfrm>
                    <a:prstGeom prst="rect">
                      <a:avLst/>
                    </a:prstGeom>
                  </pic:spPr>
                </pic:pic>
              </a:graphicData>
            </a:graphic>
          </wp:inline>
        </w:drawing>
      </w:r>
      <w:r>
        <w:rPr>
          <w:rStyle w:val="23"/>
          <w:rFonts w:hint="eastAsia" w:ascii="Times New Roman" w:hAnsi="Times New Roman" w:cs="Times New Roman"/>
          <w:b/>
          <w:bCs w:val="0"/>
          <w:lang w:val="en-US" w:eastAsia="zh-CN"/>
        </w:rPr>
        <w:drawing>
          <wp:inline distT="0" distB="0" distL="114300" distR="114300">
            <wp:extent cx="5485765" cy="4114165"/>
            <wp:effectExtent l="0" t="0" r="635" b="635"/>
            <wp:docPr id="36" name="图片 36" descr="401d120e1db8a9a3cda7f83b0ad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401d120e1db8a9a3cda7f83b0ad1984"/>
                    <pic:cNvPicPr>
                      <a:picLocks noChangeAspect="1"/>
                    </pic:cNvPicPr>
                  </pic:nvPicPr>
                  <pic:blipFill>
                    <a:blip r:embed="rId9"/>
                    <a:stretch>
                      <a:fillRect/>
                    </a:stretch>
                  </pic:blipFill>
                  <pic:spPr>
                    <a:xfrm>
                      <a:off x="0" y="0"/>
                      <a:ext cx="5485765" cy="4114165"/>
                    </a:xfrm>
                    <a:prstGeom prst="rect">
                      <a:avLst/>
                    </a:prstGeom>
                  </pic:spPr>
                </pic:pic>
              </a:graphicData>
            </a:graphic>
          </wp:inline>
        </w:drawing>
      </w:r>
      <w:r>
        <w:rPr>
          <w:rStyle w:val="23"/>
          <w:rFonts w:hint="eastAsia" w:ascii="Times New Roman" w:hAnsi="Times New Roman" w:cs="Times New Roman"/>
          <w:b/>
          <w:bCs w:val="0"/>
          <w:lang w:val="en-US" w:eastAsia="zh-CN"/>
        </w:rPr>
        <w:drawing>
          <wp:inline distT="0" distB="0" distL="114300" distR="114300">
            <wp:extent cx="5476240" cy="3553460"/>
            <wp:effectExtent l="0" t="0" r="10160" b="8890"/>
            <wp:docPr id="35" name="图片 35" descr="eec8ea4c149949615654b737da84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ec8ea4c149949615654b737da84d7d"/>
                    <pic:cNvPicPr>
                      <a:picLocks noChangeAspect="1"/>
                    </pic:cNvPicPr>
                  </pic:nvPicPr>
                  <pic:blipFill>
                    <a:blip r:embed="rId10"/>
                    <a:stretch>
                      <a:fillRect/>
                    </a:stretch>
                  </pic:blipFill>
                  <pic:spPr>
                    <a:xfrm>
                      <a:off x="0" y="0"/>
                      <a:ext cx="5476240" cy="3553460"/>
                    </a:xfrm>
                    <a:prstGeom prst="rect">
                      <a:avLst/>
                    </a:prstGeom>
                  </pic:spPr>
                </pic:pic>
              </a:graphicData>
            </a:graphic>
          </wp:inline>
        </w:drawing>
      </w:r>
      <w:r>
        <w:rPr>
          <w:rStyle w:val="23"/>
          <w:rFonts w:hint="eastAsia" w:ascii="Times New Roman" w:hAnsi="Times New Roman" w:cs="Times New Roman"/>
          <w:b/>
          <w:bCs w:val="0"/>
          <w:lang w:val="en-US" w:eastAsia="zh-CN"/>
        </w:rPr>
        <w:drawing>
          <wp:inline distT="0" distB="0" distL="114300" distR="114300">
            <wp:extent cx="5485765" cy="4114165"/>
            <wp:effectExtent l="0" t="0" r="635" b="635"/>
            <wp:docPr id="34" name="图片 34" descr="f174df484b15c064f078669b0d7f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f174df484b15c064f078669b0d7fc44"/>
                    <pic:cNvPicPr>
                      <a:picLocks noChangeAspect="1"/>
                    </pic:cNvPicPr>
                  </pic:nvPicPr>
                  <pic:blipFill>
                    <a:blip r:embed="rId11"/>
                    <a:stretch>
                      <a:fillRect/>
                    </a:stretch>
                  </pic:blipFill>
                  <pic:spPr>
                    <a:xfrm>
                      <a:off x="0" y="0"/>
                      <a:ext cx="5485765" cy="4114165"/>
                    </a:xfrm>
                    <a:prstGeom prst="rect">
                      <a:avLst/>
                    </a:prstGeom>
                  </pic:spPr>
                </pic:pic>
              </a:graphicData>
            </a:graphic>
          </wp:inline>
        </w:drawing>
      </w:r>
      <w:r>
        <w:rPr>
          <w:rStyle w:val="23"/>
          <w:rFonts w:hint="eastAsia" w:ascii="Times New Roman" w:hAnsi="Times New Roman" w:cs="Times New Roman"/>
          <w:b/>
          <w:bCs w:val="0"/>
          <w:lang w:val="en-US" w:eastAsia="zh-CN"/>
        </w:rPr>
        <w:drawing>
          <wp:inline distT="0" distB="0" distL="114300" distR="114300">
            <wp:extent cx="5476240" cy="4105275"/>
            <wp:effectExtent l="0" t="0" r="10160" b="9525"/>
            <wp:docPr id="33" name="图片 33" descr="f0768eb47772b99af4e0201ad95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f0768eb47772b99af4e0201ad956265"/>
                    <pic:cNvPicPr>
                      <a:picLocks noChangeAspect="1"/>
                    </pic:cNvPicPr>
                  </pic:nvPicPr>
                  <pic:blipFill>
                    <a:blip r:embed="rId12"/>
                    <a:stretch>
                      <a:fillRect/>
                    </a:stretch>
                  </pic:blipFill>
                  <pic:spPr>
                    <a:xfrm>
                      <a:off x="0" y="0"/>
                      <a:ext cx="5476240" cy="4105275"/>
                    </a:xfrm>
                    <a:prstGeom prst="rect">
                      <a:avLst/>
                    </a:prstGeom>
                  </pic:spPr>
                </pic:pic>
              </a:graphicData>
            </a:graphic>
          </wp:inline>
        </w:drawing>
      </w:r>
      <w:bookmarkEnd w:id="32"/>
    </w:p>
    <w:p w14:paraId="45AD6C67">
      <w:pPr>
        <w:pStyle w:val="3"/>
        <w:ind w:firstLine="0" w:firstLineChars="0"/>
        <w:rPr>
          <w:rStyle w:val="23"/>
          <w:rFonts w:hint="eastAsia" w:ascii="Times New Roman" w:hAnsi="Times New Roman" w:cs="Times New Roman"/>
          <w:b/>
          <w:bCs w:val="0"/>
          <w:lang w:val="en-US" w:eastAsia="zh-CN"/>
        </w:rPr>
      </w:pPr>
    </w:p>
    <w:p w14:paraId="26CC6B08">
      <w:pPr>
        <w:pStyle w:val="3"/>
        <w:ind w:firstLine="0" w:firstLineChars="0"/>
        <w:rPr>
          <w:rStyle w:val="23"/>
          <w:rFonts w:hint="eastAsia" w:ascii="Times New Roman" w:hAnsi="Times New Roman" w:cs="Times New Roman"/>
          <w:b/>
          <w:bCs w:val="0"/>
          <w:lang w:val="en-US" w:eastAsia="zh-CN"/>
        </w:rPr>
      </w:pPr>
    </w:p>
    <w:p w14:paraId="0361E554">
      <w:pPr>
        <w:pStyle w:val="3"/>
        <w:ind w:firstLine="0" w:firstLineChars="0"/>
        <w:rPr>
          <w:rStyle w:val="23"/>
          <w:rFonts w:hint="eastAsia" w:ascii="Times New Roman" w:hAnsi="Times New Roman" w:cs="Times New Roman"/>
          <w:b/>
          <w:bCs w:val="0"/>
          <w:lang w:val="en-US" w:eastAsia="zh-CN"/>
        </w:rPr>
      </w:pPr>
    </w:p>
    <w:bookmarkEnd w:id="33"/>
    <w:p w14:paraId="38481271">
      <w:pPr>
        <w:spacing w:line="240" w:lineRule="auto"/>
        <w:ind w:firstLine="0" w:firstLineChars="0"/>
        <w:rPr>
          <w:rFonts w:hint="eastAsia" w:ascii="Times New Roman" w:hAnsi="Times New Roman" w:eastAsia="仿宋" w:cs="Times New Roman"/>
          <w:lang w:eastAsia="zh-CN"/>
        </w:rPr>
      </w:pPr>
    </w:p>
    <w:sectPr>
      <w:headerReference r:id="rId5" w:type="default"/>
      <w:footerReference r:id="rId6" w:type="default"/>
      <w:pgSz w:w="12240" w:h="15840"/>
      <w:pgMar w:top="1417" w:right="1797" w:bottom="1440" w:left="1797" w:header="720" w:footer="720" w:gutter="0"/>
      <w:pgBorders>
        <w:top w:val="none" w:sz="0" w:space="0"/>
        <w:left w:val="none" w:sz="0" w:space="0"/>
        <w:bottom w:val="none" w:sz="0" w:space="0"/>
        <w:right w:val="none" w:sz="0" w:space="0"/>
      </w:pgBorders>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2D22">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9740">
    <w:pPr>
      <w:pStyle w:val="13"/>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B061"/>
    <w:multiLevelType w:val="singleLevel"/>
    <w:tmpl w:val="88BDB061"/>
    <w:lvl w:ilvl="0" w:tentative="0">
      <w:start w:val="1"/>
      <w:numFmt w:val="decimal"/>
      <w:suff w:val="nothing"/>
      <w:lvlText w:val="（%1）"/>
      <w:lvlJc w:val="left"/>
    </w:lvl>
  </w:abstractNum>
  <w:abstractNum w:abstractNumId="1">
    <w:nsid w:val="403F8A5E"/>
    <w:multiLevelType w:val="singleLevel"/>
    <w:tmpl w:val="403F8A5E"/>
    <w:lvl w:ilvl="0" w:tentative="0">
      <w:start w:val="4"/>
      <w:numFmt w:val="decimal"/>
      <w:suff w:val="nothing"/>
      <w:lvlText w:val="（%1）"/>
      <w:lvlJc w:val="left"/>
    </w:lvl>
  </w:abstractNum>
  <w:abstractNum w:abstractNumId="2">
    <w:nsid w:val="77B10ABC"/>
    <w:multiLevelType w:val="multilevel"/>
    <w:tmpl w:val="77B10ABC"/>
    <w:lvl w:ilvl="0" w:tentative="0">
      <w:start w:val="1"/>
      <w:numFmt w:val="chineseCountingThousand"/>
      <w:pStyle w:val="6"/>
      <w:lvlText w:val="第%1节"/>
      <w:lvlJc w:val="left"/>
      <w:pPr>
        <w:ind w:left="420" w:hanging="420"/>
      </w:pPr>
      <w:rPr>
        <w:rFonts w:hint="default"/>
        <w:lang w:val="en-US"/>
      </w:rPr>
    </w:lvl>
    <w:lvl w:ilvl="1" w:tentative="0">
      <w:start w:val="1"/>
      <w:numFmt w:val="japaneseCounting"/>
      <w:lvlText w:val="第%2节"/>
      <w:lvlJc w:val="left"/>
      <w:pPr>
        <w:ind w:left="1410" w:hanging="990"/>
      </w:pPr>
      <w:rPr>
        <w:rFonts w:hint="default" w:cs="宋体"/>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50BC7A30"/>
    <w:rsid w:val="00000139"/>
    <w:rsid w:val="00000E17"/>
    <w:rsid w:val="00002F5E"/>
    <w:rsid w:val="00033F7C"/>
    <w:rsid w:val="0003553F"/>
    <w:rsid w:val="00036F8F"/>
    <w:rsid w:val="00041722"/>
    <w:rsid w:val="0004638C"/>
    <w:rsid w:val="000549B7"/>
    <w:rsid w:val="00061A1F"/>
    <w:rsid w:val="00061E6E"/>
    <w:rsid w:val="000C1521"/>
    <w:rsid w:val="000C50F7"/>
    <w:rsid w:val="000D672A"/>
    <w:rsid w:val="000E43A3"/>
    <w:rsid w:val="000F31F2"/>
    <w:rsid w:val="00102D6C"/>
    <w:rsid w:val="00112AAB"/>
    <w:rsid w:val="00127CF9"/>
    <w:rsid w:val="00172D83"/>
    <w:rsid w:val="00181539"/>
    <w:rsid w:val="0019425C"/>
    <w:rsid w:val="001A073F"/>
    <w:rsid w:val="001B384E"/>
    <w:rsid w:val="001B7138"/>
    <w:rsid w:val="001C622F"/>
    <w:rsid w:val="001D7534"/>
    <w:rsid w:val="002030C0"/>
    <w:rsid w:val="00204EA9"/>
    <w:rsid w:val="0021208A"/>
    <w:rsid w:val="0025708F"/>
    <w:rsid w:val="00266254"/>
    <w:rsid w:val="00275FB8"/>
    <w:rsid w:val="00276FBF"/>
    <w:rsid w:val="002B0A5D"/>
    <w:rsid w:val="002F4983"/>
    <w:rsid w:val="0030227D"/>
    <w:rsid w:val="00324733"/>
    <w:rsid w:val="00326198"/>
    <w:rsid w:val="003328B9"/>
    <w:rsid w:val="003459E0"/>
    <w:rsid w:val="00351244"/>
    <w:rsid w:val="003600E9"/>
    <w:rsid w:val="00360CCF"/>
    <w:rsid w:val="003B1A2A"/>
    <w:rsid w:val="003B44EB"/>
    <w:rsid w:val="003B5AE2"/>
    <w:rsid w:val="003C71AB"/>
    <w:rsid w:val="003D2B86"/>
    <w:rsid w:val="003E6B5F"/>
    <w:rsid w:val="003F3811"/>
    <w:rsid w:val="004171C6"/>
    <w:rsid w:val="004210F3"/>
    <w:rsid w:val="00423144"/>
    <w:rsid w:val="00427DA0"/>
    <w:rsid w:val="00454844"/>
    <w:rsid w:val="00471324"/>
    <w:rsid w:val="0049136A"/>
    <w:rsid w:val="0049719E"/>
    <w:rsid w:val="004B18D1"/>
    <w:rsid w:val="004C18EE"/>
    <w:rsid w:val="004C2A38"/>
    <w:rsid w:val="004D37F5"/>
    <w:rsid w:val="004F14E7"/>
    <w:rsid w:val="004F57DE"/>
    <w:rsid w:val="00505DB6"/>
    <w:rsid w:val="005072CD"/>
    <w:rsid w:val="00545819"/>
    <w:rsid w:val="00564EBB"/>
    <w:rsid w:val="00575810"/>
    <w:rsid w:val="005916FB"/>
    <w:rsid w:val="0059583C"/>
    <w:rsid w:val="005A0148"/>
    <w:rsid w:val="005A26FF"/>
    <w:rsid w:val="005A33EB"/>
    <w:rsid w:val="005B24D0"/>
    <w:rsid w:val="005C177A"/>
    <w:rsid w:val="005D4DC2"/>
    <w:rsid w:val="005E4794"/>
    <w:rsid w:val="005F1CFC"/>
    <w:rsid w:val="005F7200"/>
    <w:rsid w:val="0060292A"/>
    <w:rsid w:val="0060550E"/>
    <w:rsid w:val="006078B2"/>
    <w:rsid w:val="00633495"/>
    <w:rsid w:val="00635034"/>
    <w:rsid w:val="00635238"/>
    <w:rsid w:val="00636EC3"/>
    <w:rsid w:val="00672745"/>
    <w:rsid w:val="006829CC"/>
    <w:rsid w:val="00687554"/>
    <w:rsid w:val="00695071"/>
    <w:rsid w:val="00695DDF"/>
    <w:rsid w:val="006A187F"/>
    <w:rsid w:val="006B61A0"/>
    <w:rsid w:val="006D37BC"/>
    <w:rsid w:val="006D50D7"/>
    <w:rsid w:val="006D6958"/>
    <w:rsid w:val="006E40A9"/>
    <w:rsid w:val="006F2E3A"/>
    <w:rsid w:val="006F7E95"/>
    <w:rsid w:val="007046E3"/>
    <w:rsid w:val="007238F5"/>
    <w:rsid w:val="00726455"/>
    <w:rsid w:val="00744858"/>
    <w:rsid w:val="00751186"/>
    <w:rsid w:val="00755137"/>
    <w:rsid w:val="00755C9D"/>
    <w:rsid w:val="007565BA"/>
    <w:rsid w:val="00762D14"/>
    <w:rsid w:val="007928F9"/>
    <w:rsid w:val="007E15CD"/>
    <w:rsid w:val="007F09C6"/>
    <w:rsid w:val="007F6CC2"/>
    <w:rsid w:val="007F6E5D"/>
    <w:rsid w:val="008139F6"/>
    <w:rsid w:val="00851C6B"/>
    <w:rsid w:val="008703EB"/>
    <w:rsid w:val="008766E6"/>
    <w:rsid w:val="00897B8B"/>
    <w:rsid w:val="008A6B29"/>
    <w:rsid w:val="008A774E"/>
    <w:rsid w:val="008B1593"/>
    <w:rsid w:val="008B1C75"/>
    <w:rsid w:val="008E40DD"/>
    <w:rsid w:val="008E55C8"/>
    <w:rsid w:val="008F278B"/>
    <w:rsid w:val="008F6544"/>
    <w:rsid w:val="00904E9C"/>
    <w:rsid w:val="00906694"/>
    <w:rsid w:val="00910B96"/>
    <w:rsid w:val="00913B62"/>
    <w:rsid w:val="0092338B"/>
    <w:rsid w:val="00930EB3"/>
    <w:rsid w:val="00931619"/>
    <w:rsid w:val="00932439"/>
    <w:rsid w:val="009403B6"/>
    <w:rsid w:val="00945233"/>
    <w:rsid w:val="0095311D"/>
    <w:rsid w:val="009758FE"/>
    <w:rsid w:val="009E5438"/>
    <w:rsid w:val="009E61BA"/>
    <w:rsid w:val="00A005B6"/>
    <w:rsid w:val="00A00727"/>
    <w:rsid w:val="00A0425C"/>
    <w:rsid w:val="00A05D82"/>
    <w:rsid w:val="00A256B6"/>
    <w:rsid w:val="00A2587D"/>
    <w:rsid w:val="00A25CA3"/>
    <w:rsid w:val="00A42649"/>
    <w:rsid w:val="00A574FE"/>
    <w:rsid w:val="00A6448F"/>
    <w:rsid w:val="00A75376"/>
    <w:rsid w:val="00A87C08"/>
    <w:rsid w:val="00A92D42"/>
    <w:rsid w:val="00A95FF6"/>
    <w:rsid w:val="00A97C8B"/>
    <w:rsid w:val="00AB03BB"/>
    <w:rsid w:val="00AB4922"/>
    <w:rsid w:val="00AC333A"/>
    <w:rsid w:val="00AE1C3A"/>
    <w:rsid w:val="00AF1228"/>
    <w:rsid w:val="00B01946"/>
    <w:rsid w:val="00B05BFB"/>
    <w:rsid w:val="00B100A0"/>
    <w:rsid w:val="00B36D28"/>
    <w:rsid w:val="00B62CF2"/>
    <w:rsid w:val="00BC57A6"/>
    <w:rsid w:val="00BE101C"/>
    <w:rsid w:val="00C15F46"/>
    <w:rsid w:val="00C203E1"/>
    <w:rsid w:val="00C318B0"/>
    <w:rsid w:val="00C373B0"/>
    <w:rsid w:val="00C57148"/>
    <w:rsid w:val="00C6581D"/>
    <w:rsid w:val="00C6776C"/>
    <w:rsid w:val="00C70A6D"/>
    <w:rsid w:val="00CA273E"/>
    <w:rsid w:val="00CC2B79"/>
    <w:rsid w:val="00CF538F"/>
    <w:rsid w:val="00D04174"/>
    <w:rsid w:val="00D14E6F"/>
    <w:rsid w:val="00D32321"/>
    <w:rsid w:val="00D37FB3"/>
    <w:rsid w:val="00D41CE2"/>
    <w:rsid w:val="00D43005"/>
    <w:rsid w:val="00D437B7"/>
    <w:rsid w:val="00D56774"/>
    <w:rsid w:val="00D60035"/>
    <w:rsid w:val="00D77A5B"/>
    <w:rsid w:val="00D9221A"/>
    <w:rsid w:val="00D96BFA"/>
    <w:rsid w:val="00DB22A9"/>
    <w:rsid w:val="00DB364E"/>
    <w:rsid w:val="00DC0D7E"/>
    <w:rsid w:val="00DF6390"/>
    <w:rsid w:val="00DF7F2C"/>
    <w:rsid w:val="00E01BA4"/>
    <w:rsid w:val="00E16E4C"/>
    <w:rsid w:val="00E2042C"/>
    <w:rsid w:val="00E267CB"/>
    <w:rsid w:val="00E60E99"/>
    <w:rsid w:val="00E62D43"/>
    <w:rsid w:val="00E63C4B"/>
    <w:rsid w:val="00E87649"/>
    <w:rsid w:val="00EA42D9"/>
    <w:rsid w:val="00EA73B4"/>
    <w:rsid w:val="00EB5FC0"/>
    <w:rsid w:val="00EE2F3A"/>
    <w:rsid w:val="00EF6766"/>
    <w:rsid w:val="00F02484"/>
    <w:rsid w:val="00F235D0"/>
    <w:rsid w:val="00F5473D"/>
    <w:rsid w:val="00F567E0"/>
    <w:rsid w:val="00F92D5F"/>
    <w:rsid w:val="00FF29E1"/>
    <w:rsid w:val="00FF7463"/>
    <w:rsid w:val="01964270"/>
    <w:rsid w:val="01C047EF"/>
    <w:rsid w:val="01EC7F19"/>
    <w:rsid w:val="04E60D4B"/>
    <w:rsid w:val="051E4541"/>
    <w:rsid w:val="0664496B"/>
    <w:rsid w:val="068C7441"/>
    <w:rsid w:val="0730021F"/>
    <w:rsid w:val="084E0FD5"/>
    <w:rsid w:val="087D1B82"/>
    <w:rsid w:val="0884601B"/>
    <w:rsid w:val="08B22716"/>
    <w:rsid w:val="0A426D43"/>
    <w:rsid w:val="0A7329D8"/>
    <w:rsid w:val="0AAF2E41"/>
    <w:rsid w:val="0B2261F8"/>
    <w:rsid w:val="0B8E5200"/>
    <w:rsid w:val="0BA32ADA"/>
    <w:rsid w:val="0C960A6B"/>
    <w:rsid w:val="0D246BD4"/>
    <w:rsid w:val="0D394F3B"/>
    <w:rsid w:val="0DA63E3C"/>
    <w:rsid w:val="0DD27A9C"/>
    <w:rsid w:val="0E160BA7"/>
    <w:rsid w:val="0EA325B7"/>
    <w:rsid w:val="0EF675C6"/>
    <w:rsid w:val="10ED3A79"/>
    <w:rsid w:val="114F71B1"/>
    <w:rsid w:val="116E02A1"/>
    <w:rsid w:val="11C81A35"/>
    <w:rsid w:val="14BA1FD9"/>
    <w:rsid w:val="15602309"/>
    <w:rsid w:val="171E02FE"/>
    <w:rsid w:val="1752202F"/>
    <w:rsid w:val="175C710B"/>
    <w:rsid w:val="179400D7"/>
    <w:rsid w:val="18273A1C"/>
    <w:rsid w:val="18462F3F"/>
    <w:rsid w:val="18DC0363"/>
    <w:rsid w:val="19D41E8E"/>
    <w:rsid w:val="1B40447E"/>
    <w:rsid w:val="1BC0589D"/>
    <w:rsid w:val="1D34795C"/>
    <w:rsid w:val="1D5A2F55"/>
    <w:rsid w:val="1E474D49"/>
    <w:rsid w:val="1FE133D9"/>
    <w:rsid w:val="21C027AD"/>
    <w:rsid w:val="2361368C"/>
    <w:rsid w:val="23A245C8"/>
    <w:rsid w:val="24337765"/>
    <w:rsid w:val="25061E11"/>
    <w:rsid w:val="260651BC"/>
    <w:rsid w:val="26185305"/>
    <w:rsid w:val="27A44741"/>
    <w:rsid w:val="287D4856"/>
    <w:rsid w:val="28F21A08"/>
    <w:rsid w:val="2939355D"/>
    <w:rsid w:val="29CC06CF"/>
    <w:rsid w:val="2A8D770F"/>
    <w:rsid w:val="2AA649C8"/>
    <w:rsid w:val="2AA90BCB"/>
    <w:rsid w:val="2B634D2A"/>
    <w:rsid w:val="2C23444D"/>
    <w:rsid w:val="2C3F20FB"/>
    <w:rsid w:val="2C40451A"/>
    <w:rsid w:val="2C6A7D6E"/>
    <w:rsid w:val="2D6D7CCB"/>
    <w:rsid w:val="2E252E06"/>
    <w:rsid w:val="2E6072CE"/>
    <w:rsid w:val="2E965BE6"/>
    <w:rsid w:val="2EEE5B86"/>
    <w:rsid w:val="2F1D637D"/>
    <w:rsid w:val="2FB77156"/>
    <w:rsid w:val="2FDC7B46"/>
    <w:rsid w:val="302F1F60"/>
    <w:rsid w:val="304B201A"/>
    <w:rsid w:val="314630E4"/>
    <w:rsid w:val="32704439"/>
    <w:rsid w:val="334E0D57"/>
    <w:rsid w:val="337A3E1C"/>
    <w:rsid w:val="340964AC"/>
    <w:rsid w:val="355C06C4"/>
    <w:rsid w:val="36423297"/>
    <w:rsid w:val="370D41E5"/>
    <w:rsid w:val="393865C1"/>
    <w:rsid w:val="3BE97B98"/>
    <w:rsid w:val="3C356F7B"/>
    <w:rsid w:val="3CC50C25"/>
    <w:rsid w:val="3D1607FC"/>
    <w:rsid w:val="3D684D95"/>
    <w:rsid w:val="3DEC53DB"/>
    <w:rsid w:val="3E0B01ED"/>
    <w:rsid w:val="3E866A31"/>
    <w:rsid w:val="3F1E5870"/>
    <w:rsid w:val="3FA77DA8"/>
    <w:rsid w:val="41A24EDB"/>
    <w:rsid w:val="43372284"/>
    <w:rsid w:val="43F4090A"/>
    <w:rsid w:val="446E1F07"/>
    <w:rsid w:val="4574354D"/>
    <w:rsid w:val="457A05EB"/>
    <w:rsid w:val="45976DEF"/>
    <w:rsid w:val="461F5BAF"/>
    <w:rsid w:val="46327DA4"/>
    <w:rsid w:val="47B45271"/>
    <w:rsid w:val="4810147D"/>
    <w:rsid w:val="48CE0702"/>
    <w:rsid w:val="497D6020"/>
    <w:rsid w:val="4B1B1042"/>
    <w:rsid w:val="4BC101FD"/>
    <w:rsid w:val="4BC444A2"/>
    <w:rsid w:val="4CE30467"/>
    <w:rsid w:val="4E6B057D"/>
    <w:rsid w:val="50591045"/>
    <w:rsid w:val="50BC7A30"/>
    <w:rsid w:val="50C55866"/>
    <w:rsid w:val="51360251"/>
    <w:rsid w:val="527C52E3"/>
    <w:rsid w:val="52D50D7F"/>
    <w:rsid w:val="53593D52"/>
    <w:rsid w:val="53C3289A"/>
    <w:rsid w:val="54A75C14"/>
    <w:rsid w:val="55AC3EEC"/>
    <w:rsid w:val="56995C63"/>
    <w:rsid w:val="575C516E"/>
    <w:rsid w:val="596A1020"/>
    <w:rsid w:val="5979765C"/>
    <w:rsid w:val="5B197A0B"/>
    <w:rsid w:val="5D1C479E"/>
    <w:rsid w:val="5D2A0195"/>
    <w:rsid w:val="5D8B7BB2"/>
    <w:rsid w:val="5D9461B1"/>
    <w:rsid w:val="5F3019D9"/>
    <w:rsid w:val="5F713CC6"/>
    <w:rsid w:val="5FDA6A75"/>
    <w:rsid w:val="60936A98"/>
    <w:rsid w:val="609A4CD6"/>
    <w:rsid w:val="60D70747"/>
    <w:rsid w:val="61401A08"/>
    <w:rsid w:val="620E0DDC"/>
    <w:rsid w:val="62B151EA"/>
    <w:rsid w:val="631270C5"/>
    <w:rsid w:val="64536830"/>
    <w:rsid w:val="64904958"/>
    <w:rsid w:val="66991301"/>
    <w:rsid w:val="66D62890"/>
    <w:rsid w:val="67446FD5"/>
    <w:rsid w:val="686A495D"/>
    <w:rsid w:val="69142CB9"/>
    <w:rsid w:val="697A47E0"/>
    <w:rsid w:val="6C283C92"/>
    <w:rsid w:val="6D4831FB"/>
    <w:rsid w:val="6EC26567"/>
    <w:rsid w:val="6ECF1FFF"/>
    <w:rsid w:val="6EE40112"/>
    <w:rsid w:val="6F4454BB"/>
    <w:rsid w:val="704112B3"/>
    <w:rsid w:val="706525D4"/>
    <w:rsid w:val="708D11B5"/>
    <w:rsid w:val="70AB0461"/>
    <w:rsid w:val="7255178D"/>
    <w:rsid w:val="74A373F9"/>
    <w:rsid w:val="7638288F"/>
    <w:rsid w:val="765179F0"/>
    <w:rsid w:val="77A0506F"/>
    <w:rsid w:val="77A97E7B"/>
    <w:rsid w:val="78780E41"/>
    <w:rsid w:val="7C157EB0"/>
    <w:rsid w:val="7C297FD6"/>
    <w:rsid w:val="7E014D45"/>
    <w:rsid w:val="7FFA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200" w:firstLineChars="200"/>
      <w:jc w:val="both"/>
    </w:pPr>
    <w:rPr>
      <w:rFonts w:ascii="Calibri" w:hAnsi="Calibri" w:eastAsia="仿宋" w:cs="Times New Roman"/>
      <w:kern w:val="2"/>
      <w:sz w:val="32"/>
      <w:szCs w:val="22"/>
      <w:lang w:val="en-US" w:eastAsia="zh-CN" w:bidi="ar-SA"/>
    </w:rPr>
  </w:style>
  <w:style w:type="paragraph" w:styleId="3">
    <w:name w:val="heading 1"/>
    <w:basedOn w:val="1"/>
    <w:next w:val="1"/>
    <w:link w:val="23"/>
    <w:qFormat/>
    <w:uiPriority w:val="9"/>
    <w:pPr>
      <w:keepNext/>
      <w:keepLines/>
      <w:spacing w:line="640" w:lineRule="exact"/>
      <w:outlineLvl w:val="0"/>
    </w:pPr>
    <w:rPr>
      <w:rFonts w:eastAsia="黑体"/>
      <w:b/>
      <w:bCs/>
      <w:kern w:val="44"/>
      <w:szCs w:val="44"/>
    </w:rPr>
  </w:style>
  <w:style w:type="paragraph" w:styleId="4">
    <w:name w:val="heading 2"/>
    <w:basedOn w:val="1"/>
    <w:next w:val="1"/>
    <w:qFormat/>
    <w:uiPriority w:val="9"/>
    <w:pPr>
      <w:keepNext/>
      <w:keepLines/>
      <w:spacing w:line="640" w:lineRule="exact"/>
      <w:outlineLvl w:val="1"/>
    </w:pPr>
    <w:rPr>
      <w:rFonts w:ascii="Cambria" w:hAnsi="Cambria" w:eastAsia="楷体"/>
      <w:b/>
      <w:bCs/>
      <w:kern w:val="0"/>
      <w:szCs w:val="32"/>
    </w:rPr>
  </w:style>
  <w:style w:type="paragraph" w:styleId="5">
    <w:name w:val="heading 3"/>
    <w:basedOn w:val="1"/>
    <w:next w:val="1"/>
    <w:autoRedefine/>
    <w:qFormat/>
    <w:uiPriority w:val="9"/>
    <w:pPr>
      <w:keepNext/>
      <w:keepLines/>
      <w:spacing w:line="640" w:lineRule="exact"/>
      <w:outlineLvl w:val="2"/>
    </w:pPr>
    <w:rPr>
      <w:rFonts w:eastAsia="仿宋_GB2312"/>
      <w:b/>
      <w:bCs/>
      <w:kern w:val="0"/>
      <w:szCs w:val="32"/>
    </w:rPr>
  </w:style>
  <w:style w:type="paragraph" w:styleId="6">
    <w:name w:val="heading 5"/>
    <w:basedOn w:val="1"/>
    <w:next w:val="1"/>
    <w:unhideWhenUsed/>
    <w:qFormat/>
    <w:uiPriority w:val="0"/>
    <w:pPr>
      <w:keepNext/>
      <w:keepLines/>
      <w:numPr>
        <w:ilvl w:val="0"/>
        <w:numId w:val="1"/>
      </w:numPr>
      <w:spacing w:after="290" w:line="377" w:lineRule="auto"/>
      <w:ind w:firstLine="0"/>
      <w:outlineLvl w:val="4"/>
    </w:pPr>
    <w:rPr>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sz w:val="21"/>
    </w:rPr>
  </w:style>
  <w:style w:type="paragraph" w:styleId="7">
    <w:name w:val="annotation text"/>
    <w:basedOn w:val="1"/>
    <w:link w:val="32"/>
    <w:autoRedefine/>
    <w:qFormat/>
    <w:uiPriority w:val="0"/>
    <w:pPr>
      <w:jc w:val="left"/>
    </w:pPr>
  </w:style>
  <w:style w:type="paragraph" w:styleId="8">
    <w:name w:val="Body Text"/>
    <w:basedOn w:val="1"/>
    <w:qFormat/>
    <w:uiPriority w:val="0"/>
    <w:pPr>
      <w:spacing w:after="120"/>
    </w:pPr>
  </w:style>
  <w:style w:type="paragraph" w:styleId="9">
    <w:name w:val="List 2"/>
    <w:basedOn w:val="1"/>
    <w:next w:val="1"/>
    <w:qFormat/>
    <w:uiPriority w:val="0"/>
    <w:pPr>
      <w:ind w:left="100" w:leftChars="200" w:hanging="200" w:hangingChars="200"/>
    </w:pPr>
    <w:rPr>
      <w:szCs w:val="24"/>
    </w:rPr>
  </w:style>
  <w:style w:type="paragraph" w:styleId="10">
    <w:name w:val="toc 3"/>
    <w:basedOn w:val="1"/>
    <w:next w:val="1"/>
    <w:autoRedefine/>
    <w:qFormat/>
    <w:uiPriority w:val="39"/>
    <w:pPr>
      <w:ind w:left="840" w:leftChars="400"/>
    </w:pPr>
  </w:style>
  <w:style w:type="paragraph" w:styleId="11">
    <w:name w:val="Balloon Text"/>
    <w:basedOn w:val="1"/>
    <w:link w:val="24"/>
    <w:autoRedefine/>
    <w:qFormat/>
    <w:uiPriority w:val="0"/>
    <w:pPr>
      <w:spacing w:line="240" w:lineRule="auto"/>
    </w:pPr>
    <w:rPr>
      <w:sz w:val="18"/>
      <w:szCs w:val="18"/>
    </w:rPr>
  </w:style>
  <w:style w:type="paragraph" w:styleId="12">
    <w:name w:val="footer"/>
    <w:basedOn w:val="1"/>
    <w:autoRedefine/>
    <w:qFormat/>
    <w:uiPriority w:val="99"/>
    <w:pPr>
      <w:tabs>
        <w:tab w:val="center" w:pos="4153"/>
        <w:tab w:val="right" w:pos="8306"/>
      </w:tabs>
      <w:snapToGrid w:val="0"/>
      <w:jc w:val="left"/>
    </w:pPr>
    <w:rPr>
      <w:rFonts w:eastAsia="宋体"/>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annotation subject"/>
    <w:basedOn w:val="7"/>
    <w:next w:val="7"/>
    <w:link w:val="33"/>
    <w:autoRedefine/>
    <w:qFormat/>
    <w:uiPriority w:val="0"/>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autoRedefine/>
    <w:unhideWhenUsed/>
    <w:qFormat/>
    <w:uiPriority w:val="99"/>
    <w:rPr>
      <w:color w:val="0000FF"/>
      <w:u w:val="single"/>
    </w:rPr>
  </w:style>
  <w:style w:type="character" w:styleId="21">
    <w:name w:val="annotation reference"/>
    <w:basedOn w:val="19"/>
    <w:autoRedefine/>
    <w:qFormat/>
    <w:uiPriority w:val="0"/>
    <w:rPr>
      <w:sz w:val="21"/>
      <w:szCs w:val="21"/>
    </w:rPr>
  </w:style>
  <w:style w:type="character" w:customStyle="1" w:styleId="22">
    <w:name w:val="明显参考1"/>
    <w:autoRedefine/>
    <w:qFormat/>
    <w:uiPriority w:val="99"/>
    <w:rPr>
      <w:b/>
      <w:smallCaps/>
      <w:color w:val="C0504D"/>
      <w:spacing w:val="5"/>
      <w:u w:val="single"/>
    </w:rPr>
  </w:style>
  <w:style w:type="character" w:customStyle="1" w:styleId="23">
    <w:name w:val="标题 1 Char"/>
    <w:link w:val="3"/>
    <w:autoRedefine/>
    <w:qFormat/>
    <w:uiPriority w:val="9"/>
    <w:rPr>
      <w:rFonts w:eastAsia="黑体"/>
      <w:b/>
      <w:bCs/>
      <w:kern w:val="44"/>
      <w:sz w:val="32"/>
      <w:szCs w:val="44"/>
    </w:rPr>
  </w:style>
  <w:style w:type="character" w:customStyle="1" w:styleId="24">
    <w:name w:val="批注框文本 Char"/>
    <w:basedOn w:val="19"/>
    <w:link w:val="11"/>
    <w:autoRedefine/>
    <w:qFormat/>
    <w:uiPriority w:val="0"/>
    <w:rPr>
      <w:rFonts w:eastAsia="仿宋"/>
      <w:kern w:val="2"/>
      <w:sz w:val="18"/>
      <w:szCs w:val="18"/>
    </w:rPr>
  </w:style>
  <w:style w:type="paragraph" w:customStyle="1" w:styleId="25">
    <w:name w:val="列出段落1"/>
    <w:basedOn w:val="1"/>
    <w:autoRedefine/>
    <w:qFormat/>
    <w:uiPriority w:val="0"/>
    <w:pPr>
      <w:ind w:firstLine="420"/>
    </w:pPr>
    <w:rPr>
      <w:rFonts w:ascii="Times New Roman" w:hAnsi="Times New Roman" w:eastAsia="宋体"/>
      <w:szCs w:val="24"/>
    </w:rPr>
  </w:style>
  <w:style w:type="character" w:customStyle="1" w:styleId="26">
    <w:name w:val="font01"/>
    <w:basedOn w:val="19"/>
    <w:autoRedefine/>
    <w:qFormat/>
    <w:uiPriority w:val="0"/>
    <w:rPr>
      <w:rFonts w:hint="default" w:ascii="仿宋_GB2312" w:eastAsia="仿宋_GB2312" w:cs="仿宋_GB2312"/>
      <w:color w:val="000000"/>
      <w:sz w:val="24"/>
      <w:szCs w:val="24"/>
      <w:u w:val="none"/>
    </w:rPr>
  </w:style>
  <w:style w:type="character" w:customStyle="1" w:styleId="27">
    <w:name w:val="font31"/>
    <w:basedOn w:val="19"/>
    <w:autoRedefine/>
    <w:qFormat/>
    <w:uiPriority w:val="0"/>
    <w:rPr>
      <w:rFonts w:ascii="仿宋" w:hAnsi="仿宋" w:eastAsia="仿宋" w:cs="仿宋"/>
      <w:color w:val="000000"/>
      <w:sz w:val="22"/>
      <w:szCs w:val="22"/>
      <w:u w:val="none"/>
    </w:rPr>
  </w:style>
  <w:style w:type="character" w:customStyle="1" w:styleId="28">
    <w:name w:val="font21"/>
    <w:basedOn w:val="19"/>
    <w:autoRedefine/>
    <w:qFormat/>
    <w:uiPriority w:val="0"/>
    <w:rPr>
      <w:rFonts w:hint="default" w:ascii="MingLiU" w:hAnsi="MingLiU" w:eastAsia="MingLiU" w:cs="MingLiU"/>
      <w:color w:val="000000"/>
      <w:sz w:val="20"/>
      <w:szCs w:val="20"/>
      <w:u w:val="none"/>
    </w:rPr>
  </w:style>
  <w:style w:type="character" w:customStyle="1" w:styleId="29">
    <w:name w:val="font11"/>
    <w:basedOn w:val="19"/>
    <w:autoRedefine/>
    <w:qFormat/>
    <w:uiPriority w:val="0"/>
    <w:rPr>
      <w:rFonts w:hint="default" w:ascii="Times New Roman" w:hAnsi="Times New Roman" w:cs="Times New Roman"/>
      <w:b/>
      <w:color w:val="000000"/>
      <w:sz w:val="18"/>
      <w:szCs w:val="18"/>
      <w:u w:val="none"/>
    </w:rPr>
  </w:style>
  <w:style w:type="character" w:customStyle="1" w:styleId="30">
    <w:name w:val="font41"/>
    <w:basedOn w:val="19"/>
    <w:autoRedefine/>
    <w:qFormat/>
    <w:uiPriority w:val="0"/>
    <w:rPr>
      <w:rFonts w:hint="eastAsia" w:ascii="宋体" w:hAnsi="宋体" w:eastAsia="宋体" w:cs="宋体"/>
      <w:b/>
      <w:color w:val="000000"/>
      <w:sz w:val="20"/>
      <w:szCs w:val="20"/>
      <w:u w:val="none"/>
    </w:rPr>
  </w:style>
  <w:style w:type="character" w:customStyle="1" w:styleId="31">
    <w:name w:val="font51"/>
    <w:basedOn w:val="19"/>
    <w:autoRedefine/>
    <w:qFormat/>
    <w:uiPriority w:val="0"/>
    <w:rPr>
      <w:rFonts w:hint="eastAsia" w:ascii="宋体" w:hAnsi="宋体" w:eastAsia="宋体" w:cs="宋体"/>
      <w:b/>
      <w:color w:val="000000"/>
      <w:sz w:val="20"/>
      <w:szCs w:val="20"/>
      <w:u w:val="none"/>
    </w:rPr>
  </w:style>
  <w:style w:type="character" w:customStyle="1" w:styleId="32">
    <w:name w:val="批注文字 Char"/>
    <w:basedOn w:val="19"/>
    <w:link w:val="7"/>
    <w:autoRedefine/>
    <w:qFormat/>
    <w:uiPriority w:val="0"/>
    <w:rPr>
      <w:rFonts w:ascii="Calibri" w:hAnsi="Calibri" w:eastAsia="仿宋"/>
      <w:kern w:val="2"/>
      <w:sz w:val="32"/>
      <w:szCs w:val="22"/>
    </w:rPr>
  </w:style>
  <w:style w:type="character" w:customStyle="1" w:styleId="33">
    <w:name w:val="批注主题 Char"/>
    <w:basedOn w:val="32"/>
    <w:link w:val="16"/>
    <w:autoRedefine/>
    <w:qFormat/>
    <w:uiPriority w:val="0"/>
    <w:rPr>
      <w:rFonts w:ascii="Calibri" w:hAnsi="Calibri" w:eastAsia="仿宋"/>
      <w:b/>
      <w:bCs/>
      <w:kern w:val="2"/>
      <w:sz w:val="32"/>
      <w:szCs w:val="22"/>
    </w:rPr>
  </w:style>
  <w:style w:type="paragraph" w:customStyle="1" w:styleId="34">
    <w:name w:val="无间隔2"/>
    <w:basedOn w:val="1"/>
    <w:next w:val="1"/>
    <w:autoRedefine/>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2254-39A6-4AF0-8440-97A16520C741}">
  <ds:schemaRefs/>
</ds:datastoreItem>
</file>

<file path=docProps/app.xml><?xml version="1.0" encoding="utf-8"?>
<Properties xmlns="http://schemas.openxmlformats.org/officeDocument/2006/extended-properties" xmlns:vt="http://schemas.openxmlformats.org/officeDocument/2006/docPropsVTypes">
  <Template>Normal</Template>
  <Pages>11</Pages>
  <Words>3391</Words>
  <Characters>3702</Characters>
  <Lines>177</Lines>
  <Paragraphs>50</Paragraphs>
  <TotalTime>11</TotalTime>
  <ScaleCrop>false</ScaleCrop>
  <LinksUpToDate>false</LinksUpToDate>
  <CharactersWithSpaces>3726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2021-10-08T03:06:00Z</dcterms:created>
  <dc:creator>飞行日记</dc:creator>
  <cp:lastModifiedBy>杨勇</cp:lastModifiedBy>
  <cp:lastPrinted>2021-10-08T03:10:00Z</cp:lastPrinted>
  <dcterms:modified xsi:type="dcterms:W3CDTF">2024-08-22T07:17:15Z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3E9888D87B9B47B98B739C63A7D9C77A_13</vt:lpwstr>
  </property>
</Properties>
</file>