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AF610B">
      <w:pPr>
        <w:pStyle w:val="26"/>
        <w:widowControl/>
        <w:adjustRightInd w:val="0"/>
        <w:snapToGrid w:val="0"/>
        <w:spacing w:line="360" w:lineRule="auto"/>
        <w:ind w:left="0" w:leftChars="0" w:firstLine="0" w:firstLineChars="0"/>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红庆河镇人民政府财政运行绩效评价报告简要版</w:t>
      </w:r>
    </w:p>
    <w:p w14:paraId="02140310">
      <w:pPr>
        <w:adjustRightInd w:val="0"/>
        <w:snapToGrid w:val="0"/>
        <w:spacing w:line="360" w:lineRule="auto"/>
        <w:ind w:left="0" w:firstLine="640" w:firstLineChars="200"/>
        <w:outlineLvl w:val="0"/>
        <w:rPr>
          <w:rFonts w:hint="eastAsia" w:ascii="黑体" w:hAnsi="黑体" w:eastAsia="黑体"/>
          <w:sz w:val="32"/>
        </w:rPr>
      </w:pPr>
      <w:bookmarkStart w:id="0" w:name="_Toc18262"/>
    </w:p>
    <w:p w14:paraId="09C83E2B">
      <w:pPr>
        <w:adjustRightInd w:val="0"/>
        <w:snapToGrid w:val="0"/>
        <w:spacing w:line="360" w:lineRule="auto"/>
        <w:ind w:left="0" w:firstLine="640" w:firstLineChars="200"/>
        <w:outlineLvl w:val="0"/>
        <w:rPr>
          <w:rFonts w:ascii="黑体" w:hAnsi="黑体" w:eastAsia="黑体"/>
          <w:sz w:val="32"/>
        </w:rPr>
      </w:pPr>
      <w:r>
        <w:rPr>
          <w:rFonts w:hint="eastAsia" w:ascii="黑体" w:hAnsi="黑体" w:eastAsia="黑体"/>
          <w:sz w:val="32"/>
        </w:rPr>
        <w:t>一、基本情况</w:t>
      </w:r>
      <w:bookmarkEnd w:id="0"/>
    </w:p>
    <w:p w14:paraId="00AB2D7F">
      <w:pPr>
        <w:adjustRightInd w:val="0"/>
        <w:snapToGrid w:val="0"/>
        <w:spacing w:line="360" w:lineRule="auto"/>
        <w:ind w:firstLine="640" w:firstLineChars="200"/>
        <w:outlineLvl w:val="1"/>
        <w:rPr>
          <w:rFonts w:hint="eastAsia" w:ascii="黑体" w:hAnsi="黑体" w:eastAsia="黑体" w:cstheme="minorBidi"/>
          <w:kern w:val="2"/>
          <w:sz w:val="32"/>
          <w:szCs w:val="22"/>
          <w:lang w:val="en-US" w:eastAsia="zh-CN" w:bidi="ar-SA"/>
        </w:rPr>
      </w:pPr>
      <w:bookmarkStart w:id="1" w:name="_Toc7371"/>
      <w:r>
        <w:rPr>
          <w:rFonts w:hint="eastAsia" w:ascii="楷体" w:eastAsia="楷体"/>
          <w:sz w:val="32"/>
        </w:rPr>
        <w:t>（一）区位概况</w:t>
      </w:r>
      <w:bookmarkEnd w:id="1"/>
    </w:p>
    <w:p w14:paraId="12C5AEB7">
      <w:pPr>
        <w:pStyle w:val="26"/>
        <w:adjustRightInd w:val="0"/>
        <w:snapToGrid w:val="0"/>
        <w:spacing w:line="360" w:lineRule="auto"/>
        <w:ind w:firstLine="640"/>
        <w:rPr>
          <w:rFonts w:ascii="仿宋" w:hAnsi="仿宋" w:eastAsia="仿宋" w:cs="仿宋"/>
          <w:sz w:val="32"/>
          <w:szCs w:val="32"/>
        </w:rPr>
      </w:pPr>
      <w:r>
        <w:rPr>
          <w:rFonts w:hint="eastAsia" w:ascii="仿宋" w:hAnsi="仿宋" w:eastAsia="仿宋" w:cs="仿宋"/>
          <w:sz w:val="32"/>
          <w:szCs w:val="32"/>
        </w:rPr>
        <w:t>红庆河镇位于伊金霍洛旗</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以下简称“伊旗”）</w:t>
      </w:r>
      <w:r>
        <w:rPr>
          <w:rFonts w:hint="eastAsia" w:ascii="仿宋" w:hAnsi="仿宋" w:eastAsia="仿宋" w:cs="仿宋"/>
          <w:sz w:val="32"/>
          <w:szCs w:val="32"/>
        </w:rPr>
        <w:t>西部，是伊旗的农牧业大镇。全镇总面积1000平方公里，全镇总耕地面积16.9327万亩，下辖28个行政村、1个社区、185个村民小组，总人口30178人。近年来，先后荣获“全市普查先进集体”、自治区级“脱贫攻坚先进集体”“全国五四红旗团委”等荣誉称号。红庆河镇着力延链、补链、</w:t>
      </w:r>
      <w:bookmarkStart w:id="14" w:name="_GoBack"/>
      <w:bookmarkEnd w:id="14"/>
      <w:r>
        <w:rPr>
          <w:rFonts w:hint="eastAsia" w:ascii="仿宋" w:hAnsi="仿宋" w:eastAsia="仿宋" w:cs="仿宋"/>
          <w:sz w:val="32"/>
          <w:szCs w:val="32"/>
        </w:rPr>
        <w:t>强链，建成肉联一体化一</w:t>
      </w:r>
      <w:r>
        <w:rPr>
          <w:rFonts w:hint="eastAsia" w:ascii="仿宋" w:hAnsi="仿宋" w:eastAsia="仿宋" w:cs="仿宋"/>
          <w:sz w:val="32"/>
          <w:szCs w:val="32"/>
          <w:lang w:val="en-US" w:eastAsia="zh-CN"/>
        </w:rPr>
        <w:t>期</w:t>
      </w:r>
      <w:r>
        <w:rPr>
          <w:rFonts w:hint="eastAsia" w:ascii="仿宋" w:hAnsi="仿宋" w:eastAsia="仿宋" w:cs="仿宋"/>
          <w:sz w:val="32"/>
          <w:szCs w:val="32"/>
        </w:rPr>
        <w:t>、二期项目</w:t>
      </w:r>
      <w:r>
        <w:rPr>
          <w:rFonts w:hint="eastAsia" w:ascii="仿宋" w:hAnsi="仿宋" w:eastAsia="仿宋" w:cs="仿宋"/>
          <w:sz w:val="32"/>
          <w:szCs w:val="32"/>
          <w:lang w:val="en-US" w:eastAsia="zh-CN"/>
        </w:rPr>
        <w:t>以及</w:t>
      </w:r>
      <w:r>
        <w:rPr>
          <w:rFonts w:hint="eastAsia" w:ascii="仿宋" w:hAnsi="仿宋" w:eastAsia="仿宋" w:cs="仿宋"/>
          <w:sz w:val="32"/>
          <w:szCs w:val="32"/>
        </w:rPr>
        <w:t>地产食品加工园区等一批有竞争力</w:t>
      </w:r>
      <w:r>
        <w:rPr>
          <w:rFonts w:hint="eastAsia" w:ascii="仿宋" w:hAnsi="仿宋" w:eastAsia="仿宋" w:cs="仿宋"/>
          <w:sz w:val="32"/>
          <w:szCs w:val="32"/>
          <w:lang w:eastAsia="zh-CN"/>
        </w:rPr>
        <w:t>、有</w:t>
      </w:r>
      <w:r>
        <w:rPr>
          <w:rFonts w:hint="eastAsia" w:ascii="仿宋" w:hAnsi="仿宋" w:eastAsia="仿宋" w:cs="仿宋"/>
          <w:sz w:val="32"/>
          <w:szCs w:val="32"/>
        </w:rPr>
        <w:t>影响力的农牧业发展重点项目，形成了种、养、加，产、供、销一体化生产供应体系。红庆河镇建成高标准农田10.2万亩、大豆玉米带状复合种植1800亩、高粱2500亩、小杂粮2000亩、果蔬6000亩。肉羊存栏达19.5万只、家禽10万羽、生猪4万头、肉牛1.2万头。培育规模以上家庭农场达280家，示范性专业合作社达30家，龙头企业8家，小微企业25家。近年来，红庆河镇立足区位、交通和资源优势，紧紧围绕“西部精品农牧业聚集区”的发展定位，着力构建“四区五园十基地”发展格局，努力打造成为乡村振兴样板镇，共富发展先行区。</w:t>
      </w:r>
    </w:p>
    <w:p w14:paraId="3A0F70C1">
      <w:pPr>
        <w:pStyle w:val="26"/>
        <w:adjustRightInd w:val="0"/>
        <w:snapToGrid w:val="0"/>
        <w:spacing w:line="360" w:lineRule="auto"/>
        <w:ind w:left="640" w:firstLine="0" w:firstLineChars="0"/>
        <w:outlineLvl w:val="1"/>
        <w:rPr>
          <w:rFonts w:hint="eastAsia" w:ascii="楷体" w:eastAsia="楷体" w:hAnsiTheme="minorHAnsi" w:cstheme="minorBidi"/>
          <w:kern w:val="2"/>
          <w:sz w:val="32"/>
          <w:szCs w:val="22"/>
          <w:lang w:val="en-US" w:eastAsia="zh-CN" w:bidi="ar-SA"/>
        </w:rPr>
      </w:pPr>
      <w:bookmarkStart w:id="2" w:name="_Toc17551"/>
      <w:r>
        <w:rPr>
          <w:rFonts w:hint="eastAsia" w:ascii="楷体" w:eastAsia="楷体" w:hAnsiTheme="minorHAnsi" w:cstheme="minorBidi"/>
          <w:kern w:val="2"/>
          <w:sz w:val="32"/>
          <w:szCs w:val="22"/>
          <w:lang w:val="en-US" w:eastAsia="zh-CN" w:bidi="ar-SA"/>
        </w:rPr>
        <w:t>（二）镇财政运行基本情况</w:t>
      </w:r>
      <w:bookmarkEnd w:id="2"/>
    </w:p>
    <w:p w14:paraId="0A7CED62">
      <w:pPr>
        <w:pStyle w:val="26"/>
        <w:adjustRightInd w:val="0"/>
        <w:snapToGrid w:val="0"/>
        <w:spacing w:line="360" w:lineRule="auto"/>
        <w:ind w:firstLine="64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年度</w:t>
      </w:r>
      <w:r>
        <w:rPr>
          <w:rFonts w:hint="eastAsia" w:ascii="仿宋" w:hAnsi="仿宋" w:eastAsia="仿宋" w:cs="仿宋"/>
          <w:sz w:val="32"/>
          <w:szCs w:val="32"/>
          <w:lang w:val="en-US" w:eastAsia="zh-CN"/>
        </w:rPr>
        <w:t>红庆河</w:t>
      </w:r>
      <w:r>
        <w:rPr>
          <w:rFonts w:hint="eastAsia" w:ascii="仿宋" w:hAnsi="仿宋" w:eastAsia="仿宋" w:cs="仿宋"/>
          <w:sz w:val="32"/>
          <w:szCs w:val="32"/>
        </w:rPr>
        <w:t>镇财政拨款收入18007</w:t>
      </w:r>
      <w:r>
        <w:rPr>
          <w:rFonts w:hint="eastAsia" w:ascii="仿宋" w:hAnsi="仿宋" w:eastAsia="仿宋" w:cs="仿宋"/>
          <w:sz w:val="32"/>
          <w:szCs w:val="32"/>
          <w:lang w:val="en-US" w:eastAsia="zh-CN"/>
        </w:rPr>
        <w:t>.</w:t>
      </w:r>
      <w:r>
        <w:rPr>
          <w:rFonts w:hint="eastAsia" w:ascii="仿宋" w:hAnsi="仿宋" w:eastAsia="仿宋" w:cs="仿宋"/>
          <w:sz w:val="32"/>
          <w:szCs w:val="32"/>
        </w:rPr>
        <w:t>05万元，包括一般公共预算财政拨款</w:t>
      </w:r>
      <w:r>
        <w:rPr>
          <w:rFonts w:hint="eastAsia" w:ascii="仿宋" w:hAnsi="仿宋" w:eastAsia="仿宋" w:cs="仿宋"/>
          <w:sz w:val="32"/>
          <w:szCs w:val="32"/>
          <w:lang w:val="en-US" w:eastAsia="zh-CN"/>
        </w:rPr>
        <w:t>收入</w:t>
      </w:r>
      <w:r>
        <w:rPr>
          <w:rFonts w:hint="eastAsia" w:ascii="仿宋" w:hAnsi="仿宋" w:eastAsia="仿宋" w:cs="仿宋"/>
          <w:sz w:val="32"/>
          <w:szCs w:val="32"/>
        </w:rPr>
        <w:t>13634</w:t>
      </w:r>
      <w:r>
        <w:rPr>
          <w:rFonts w:hint="eastAsia" w:ascii="仿宋" w:hAnsi="仿宋" w:eastAsia="仿宋" w:cs="仿宋"/>
          <w:sz w:val="32"/>
          <w:szCs w:val="32"/>
          <w:lang w:val="en-US" w:eastAsia="zh-CN"/>
        </w:rPr>
        <w:t>.50</w:t>
      </w:r>
      <w:r>
        <w:rPr>
          <w:rFonts w:hint="eastAsia" w:ascii="仿宋" w:hAnsi="仿宋" w:eastAsia="仿宋" w:cs="仿宋"/>
          <w:sz w:val="32"/>
          <w:szCs w:val="32"/>
        </w:rPr>
        <w:t>万元，政府性基金预算财政拨款</w:t>
      </w:r>
      <w:r>
        <w:rPr>
          <w:rFonts w:hint="eastAsia" w:ascii="仿宋" w:hAnsi="仿宋" w:eastAsia="仿宋" w:cs="仿宋"/>
          <w:sz w:val="32"/>
          <w:szCs w:val="32"/>
          <w:lang w:val="en-US" w:eastAsia="zh-CN"/>
        </w:rPr>
        <w:t>收入</w:t>
      </w:r>
      <w:r>
        <w:rPr>
          <w:rFonts w:hint="eastAsia" w:ascii="仿宋" w:hAnsi="仿宋" w:eastAsia="仿宋" w:cs="仿宋"/>
          <w:sz w:val="32"/>
          <w:szCs w:val="32"/>
        </w:rPr>
        <w:t>3195</w:t>
      </w:r>
      <w:r>
        <w:rPr>
          <w:rFonts w:hint="eastAsia" w:ascii="仿宋" w:hAnsi="仿宋" w:eastAsia="仿宋" w:cs="仿宋"/>
          <w:sz w:val="32"/>
          <w:szCs w:val="32"/>
          <w:lang w:val="en-US" w:eastAsia="zh-CN"/>
        </w:rPr>
        <w:t>.</w:t>
      </w:r>
      <w:r>
        <w:rPr>
          <w:rFonts w:hint="eastAsia" w:ascii="仿宋" w:hAnsi="仿宋" w:eastAsia="仿宋" w:cs="仿宋"/>
          <w:sz w:val="32"/>
          <w:szCs w:val="32"/>
        </w:rPr>
        <w:t>04万元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年初财政拨款结转和结余1177.51万元</w:t>
      </w:r>
      <w:r>
        <w:rPr>
          <w:rFonts w:hint="eastAsia" w:ascii="仿宋" w:hAnsi="仿宋" w:eastAsia="仿宋" w:cs="仿宋"/>
          <w:sz w:val="32"/>
          <w:szCs w:val="32"/>
        </w:rPr>
        <w:t>。截至202</w:t>
      </w:r>
      <w:r>
        <w:rPr>
          <w:rFonts w:hint="eastAsia" w:ascii="仿宋" w:hAnsi="仿宋" w:eastAsia="仿宋" w:cs="仿宋"/>
          <w:sz w:val="32"/>
          <w:szCs w:val="32"/>
          <w:lang w:val="en-US" w:eastAsia="zh-CN"/>
        </w:rPr>
        <w:t>3</w:t>
      </w:r>
      <w:r>
        <w:rPr>
          <w:rFonts w:hint="eastAsia" w:ascii="仿宋" w:hAnsi="仿宋" w:eastAsia="仿宋" w:cs="仿宋"/>
          <w:sz w:val="32"/>
          <w:szCs w:val="32"/>
        </w:rPr>
        <w:t>年12月31日，</w:t>
      </w:r>
      <w:r>
        <w:rPr>
          <w:rFonts w:hint="eastAsia" w:ascii="仿宋" w:hAnsi="仿宋" w:eastAsia="仿宋" w:cs="仿宋"/>
          <w:sz w:val="32"/>
          <w:szCs w:val="32"/>
          <w:lang w:val="en-US" w:eastAsia="zh-CN"/>
        </w:rPr>
        <w:t>红庆河</w:t>
      </w:r>
      <w:r>
        <w:rPr>
          <w:rFonts w:hint="eastAsia" w:ascii="仿宋" w:hAnsi="仿宋" w:eastAsia="仿宋" w:cs="仿宋"/>
          <w:sz w:val="32"/>
          <w:szCs w:val="32"/>
        </w:rPr>
        <w:t>镇</w:t>
      </w:r>
      <w:r>
        <w:rPr>
          <w:rFonts w:hint="eastAsia" w:ascii="仿宋" w:hAnsi="仿宋" w:eastAsia="仿宋" w:cs="仿宋"/>
          <w:sz w:val="32"/>
          <w:szCs w:val="32"/>
          <w:lang w:val="en-US" w:eastAsia="zh-CN"/>
        </w:rPr>
        <w:t>财政拨款支出合计18005.95</w:t>
      </w:r>
      <w:r>
        <w:rPr>
          <w:rFonts w:hint="eastAsia" w:ascii="仿宋" w:hAnsi="仿宋" w:eastAsia="仿宋" w:cs="仿宋"/>
          <w:sz w:val="32"/>
          <w:szCs w:val="32"/>
        </w:rPr>
        <w:t>万元，预算执行率</w:t>
      </w:r>
      <w:r>
        <w:rPr>
          <w:rFonts w:hint="eastAsia" w:ascii="仿宋" w:hAnsi="仿宋" w:eastAsia="仿宋" w:cs="仿宋"/>
          <w:sz w:val="32"/>
          <w:szCs w:val="32"/>
          <w:lang w:val="en-US" w:eastAsia="zh-CN"/>
        </w:rPr>
        <w:t>99.99</w:t>
      </w: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w:t>
      </w:r>
      <w:r>
        <w:rPr>
          <w:rFonts w:hint="eastAsia" w:ascii="仿宋" w:hAnsi="仿宋" w:eastAsia="仿宋" w:cs="仿宋"/>
          <w:sz w:val="32"/>
          <w:szCs w:val="32"/>
          <w:lang w:eastAsia="zh-CN"/>
        </w:rPr>
        <w:t>—</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年财政拨款收支情况见表1。</w:t>
      </w:r>
    </w:p>
    <w:p w14:paraId="0D9582B0">
      <w:pPr>
        <w:pStyle w:val="26"/>
        <w:adjustRightInd w:val="0"/>
        <w:snapToGrid w:val="0"/>
        <w:spacing w:line="360" w:lineRule="auto"/>
        <w:ind w:firstLine="480"/>
        <w:jc w:val="center"/>
        <w:rPr>
          <w:rFonts w:ascii="仿宋_GB2312" w:hAnsi="仿宋_GB2312" w:eastAsia="仿宋_GB2312" w:cs="仿宋_GB2312"/>
          <w:sz w:val="32"/>
          <w:szCs w:val="32"/>
        </w:rPr>
      </w:pPr>
      <w:r>
        <w:rPr>
          <w:rFonts w:hint="eastAsia" w:ascii="黑体" w:hAnsi="黑体" w:eastAsia="黑体"/>
          <w:sz w:val="24"/>
          <w:szCs w:val="24"/>
        </w:rPr>
        <w:t>表1 202</w:t>
      </w:r>
      <w:r>
        <w:rPr>
          <w:rFonts w:hint="eastAsia" w:ascii="黑体" w:hAnsi="黑体" w:eastAsia="黑体"/>
          <w:sz w:val="24"/>
          <w:szCs w:val="24"/>
          <w:lang w:val="en-US" w:eastAsia="zh-CN"/>
        </w:rPr>
        <w:t>1</w:t>
      </w:r>
      <w:r>
        <w:rPr>
          <w:rFonts w:hint="eastAsia" w:ascii="黑体" w:hAnsi="黑体" w:eastAsia="黑体"/>
          <w:sz w:val="24"/>
          <w:szCs w:val="24"/>
        </w:rPr>
        <w:t>年</w:t>
      </w:r>
      <w:r>
        <w:rPr>
          <w:rFonts w:hint="eastAsia" w:ascii="黑体" w:hAnsi="黑体" w:eastAsia="黑体"/>
          <w:sz w:val="24"/>
          <w:szCs w:val="24"/>
          <w:lang w:eastAsia="zh-CN"/>
        </w:rPr>
        <w:t>—</w:t>
      </w:r>
      <w:r>
        <w:rPr>
          <w:rFonts w:hint="eastAsia" w:ascii="黑体" w:hAnsi="黑体" w:eastAsia="黑体"/>
          <w:sz w:val="24"/>
          <w:szCs w:val="24"/>
        </w:rPr>
        <w:t>202</w:t>
      </w:r>
      <w:r>
        <w:rPr>
          <w:rFonts w:hint="eastAsia" w:ascii="黑体" w:hAnsi="黑体" w:eastAsia="黑体"/>
          <w:sz w:val="24"/>
          <w:szCs w:val="24"/>
          <w:lang w:val="en-US" w:eastAsia="zh-CN"/>
        </w:rPr>
        <w:t>3</w:t>
      </w:r>
      <w:r>
        <w:rPr>
          <w:rFonts w:hint="eastAsia" w:ascii="黑体" w:hAnsi="黑体" w:eastAsia="黑体"/>
          <w:sz w:val="24"/>
          <w:szCs w:val="24"/>
        </w:rPr>
        <w:t>年财政收支情况表</w:t>
      </w:r>
    </w:p>
    <w:p w14:paraId="24F09B2D">
      <w:pPr>
        <w:pStyle w:val="17"/>
        <w:adjustRightInd w:val="0"/>
        <w:snapToGrid w:val="0"/>
        <w:spacing w:after="0" w:line="360" w:lineRule="auto"/>
        <w:jc w:val="right"/>
        <w:rPr>
          <w:rFonts w:ascii="宋体" w:hAnsi="宋体" w:eastAsia="宋体" w:cs="宋体"/>
          <w:szCs w:val="24"/>
        </w:rPr>
      </w:pPr>
      <w:r>
        <w:rPr>
          <w:rFonts w:hint="eastAsia" w:ascii="宋体" w:hAnsi="宋体" w:eastAsia="宋体" w:cs="宋体"/>
          <w:szCs w:val="24"/>
        </w:rPr>
        <w:t>单位：万元</w:t>
      </w:r>
    </w:p>
    <w:tbl>
      <w:tblPr>
        <w:tblStyle w:val="18"/>
        <w:tblW w:w="8736" w:type="dxa"/>
        <w:jc w:val="center"/>
        <w:tblLayout w:type="fixed"/>
        <w:tblCellMar>
          <w:top w:w="0" w:type="dxa"/>
          <w:left w:w="108" w:type="dxa"/>
          <w:bottom w:w="0" w:type="dxa"/>
          <w:right w:w="108" w:type="dxa"/>
        </w:tblCellMar>
      </w:tblPr>
      <w:tblGrid>
        <w:gridCol w:w="808"/>
        <w:gridCol w:w="3253"/>
        <w:gridCol w:w="1179"/>
        <w:gridCol w:w="1153"/>
        <w:gridCol w:w="1134"/>
        <w:gridCol w:w="1209"/>
      </w:tblGrid>
      <w:tr w14:paraId="78F13C6A">
        <w:tblPrEx>
          <w:tblCellMar>
            <w:top w:w="0" w:type="dxa"/>
            <w:left w:w="108" w:type="dxa"/>
            <w:bottom w:w="0" w:type="dxa"/>
            <w:right w:w="108" w:type="dxa"/>
          </w:tblCellMar>
        </w:tblPrEx>
        <w:trPr>
          <w:trHeight w:val="397" w:hRule="atLeast"/>
          <w:tblHeader/>
          <w:jc w:val="center"/>
        </w:trPr>
        <w:tc>
          <w:tcPr>
            <w:tcW w:w="8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F014A">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收支</w:t>
            </w:r>
          </w:p>
        </w:tc>
        <w:tc>
          <w:tcPr>
            <w:tcW w:w="3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B5927">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类别</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16331">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202</w:t>
            </w:r>
            <w:r>
              <w:rPr>
                <w:rFonts w:hint="eastAsia" w:ascii="宋体" w:hAnsi="宋体" w:eastAsia="宋体" w:cs="宋体"/>
                <w:b/>
                <w:bCs/>
                <w:kern w:val="0"/>
                <w:szCs w:val="21"/>
                <w:lang w:val="en-US" w:eastAsia="zh-CN" w:bidi="ar"/>
              </w:rPr>
              <w:t>1</w:t>
            </w:r>
            <w:r>
              <w:rPr>
                <w:rFonts w:hint="eastAsia" w:ascii="宋体" w:hAnsi="宋体" w:eastAsia="宋体" w:cs="宋体"/>
                <w:b/>
                <w:bCs/>
                <w:kern w:val="0"/>
                <w:szCs w:val="21"/>
                <w:lang w:bidi="ar"/>
              </w:rPr>
              <w:t>年</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EA658">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202</w:t>
            </w:r>
            <w:r>
              <w:rPr>
                <w:rFonts w:hint="eastAsia" w:ascii="宋体" w:hAnsi="宋体" w:eastAsia="宋体" w:cs="宋体"/>
                <w:b/>
                <w:bCs/>
                <w:kern w:val="0"/>
                <w:szCs w:val="21"/>
                <w:lang w:val="en-US" w:eastAsia="zh-CN" w:bidi="ar"/>
              </w:rPr>
              <w:t>2</w:t>
            </w:r>
            <w:r>
              <w:rPr>
                <w:rFonts w:hint="eastAsia" w:ascii="宋体" w:hAnsi="宋体" w:eastAsia="宋体" w:cs="宋体"/>
                <w:b/>
                <w:bCs/>
                <w:kern w:val="0"/>
                <w:szCs w:val="21"/>
                <w:lang w:bidi="ar"/>
              </w:rPr>
              <w:t>年</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12408">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202</w:t>
            </w:r>
            <w:r>
              <w:rPr>
                <w:rFonts w:hint="eastAsia" w:ascii="宋体" w:hAnsi="宋体" w:eastAsia="宋体" w:cs="宋体"/>
                <w:b/>
                <w:bCs/>
                <w:kern w:val="0"/>
                <w:szCs w:val="21"/>
                <w:lang w:val="en-US" w:eastAsia="zh-CN" w:bidi="ar"/>
              </w:rPr>
              <w:t>3</w:t>
            </w:r>
            <w:r>
              <w:rPr>
                <w:rFonts w:hint="eastAsia" w:ascii="宋体" w:hAnsi="宋体" w:eastAsia="宋体" w:cs="宋体"/>
                <w:b/>
                <w:bCs/>
                <w:kern w:val="0"/>
                <w:szCs w:val="21"/>
                <w:lang w:bidi="ar"/>
              </w:rPr>
              <w:t>年</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960D2">
            <w:pPr>
              <w:widowControl/>
              <w:jc w:val="center"/>
              <w:textAlignment w:val="center"/>
              <w:rPr>
                <w:rFonts w:ascii="宋体" w:hAnsi="宋体" w:eastAsia="宋体" w:cs="宋体"/>
                <w:b/>
                <w:bCs/>
                <w:kern w:val="0"/>
                <w:szCs w:val="21"/>
                <w:lang w:bidi="ar"/>
              </w:rPr>
            </w:pPr>
            <w:r>
              <w:rPr>
                <w:rFonts w:hint="eastAsia" w:ascii="宋体" w:hAnsi="宋体" w:eastAsia="宋体" w:cs="宋体"/>
                <w:b/>
                <w:bCs/>
                <w:kern w:val="0"/>
                <w:szCs w:val="21"/>
                <w:lang w:bidi="ar"/>
              </w:rPr>
              <w:t>增长率</w:t>
            </w:r>
          </w:p>
        </w:tc>
      </w:tr>
      <w:tr w14:paraId="431CDF9A">
        <w:tblPrEx>
          <w:tblCellMar>
            <w:top w:w="0" w:type="dxa"/>
            <w:left w:w="108" w:type="dxa"/>
            <w:bottom w:w="0" w:type="dxa"/>
            <w:right w:w="108" w:type="dxa"/>
          </w:tblCellMar>
        </w:tblPrEx>
        <w:trPr>
          <w:trHeight w:val="397" w:hRule="atLeast"/>
          <w:jc w:val="center"/>
        </w:trPr>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63341">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收入额度</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5E583">
            <w:pPr>
              <w:widowControl/>
              <w:jc w:val="center"/>
              <w:textAlignment w:val="center"/>
              <w:rPr>
                <w:rFonts w:ascii="宋体" w:hAnsi="宋体" w:eastAsia="宋体" w:cs="宋体"/>
                <w:szCs w:val="21"/>
              </w:rPr>
            </w:pPr>
            <w:r>
              <w:rPr>
                <w:rFonts w:hint="eastAsia" w:ascii="宋体" w:hAnsi="宋体" w:eastAsia="宋体" w:cs="宋体"/>
                <w:kern w:val="0"/>
                <w:szCs w:val="21"/>
                <w:lang w:bidi="ar"/>
              </w:rPr>
              <w:t>一般公共预算财政拨款</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8D5D3">
            <w:pPr>
              <w:jc w:val="right"/>
              <w:rPr>
                <w:rFonts w:ascii="宋体" w:hAnsi="宋体" w:eastAsia="宋体" w:cs="宋体"/>
                <w:szCs w:val="21"/>
                <w:highlight w:val="none"/>
              </w:rPr>
            </w:pPr>
            <w:r>
              <w:rPr>
                <w:rFonts w:hint="eastAsia" w:ascii="宋体" w:hAnsi="宋体" w:eastAsia="宋体" w:cs="宋体"/>
                <w:szCs w:val="21"/>
                <w:highlight w:val="none"/>
              </w:rPr>
              <w:t>17488</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99</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0D4E0">
            <w:pPr>
              <w:keepNext w:val="0"/>
              <w:keepLines w:val="0"/>
              <w:widowControl/>
              <w:suppressLineNumbers w:val="0"/>
              <w:jc w:val="right"/>
              <w:textAlignment w:val="center"/>
              <w:rPr>
                <w:rFonts w:ascii="宋体" w:hAnsi="宋体" w:eastAsia="宋体" w:cs="宋体"/>
                <w:color w:val="auto"/>
                <w:szCs w:val="21"/>
              </w:rPr>
            </w:pPr>
            <w:r>
              <w:rPr>
                <w:rFonts w:hint="eastAsia" w:ascii="宋体" w:hAnsi="宋体" w:eastAsia="宋体" w:cs="宋体"/>
                <w:i w:val="0"/>
                <w:iCs w:val="0"/>
                <w:color w:val="auto"/>
                <w:kern w:val="0"/>
                <w:sz w:val="22"/>
                <w:szCs w:val="22"/>
                <w:u w:val="none"/>
                <w:lang w:val="en-US" w:eastAsia="zh-CN" w:bidi="ar"/>
              </w:rPr>
              <w:t>17537.64</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81239">
            <w:pPr>
              <w:keepNext w:val="0"/>
              <w:keepLines w:val="0"/>
              <w:widowControl/>
              <w:suppressLineNumbers w:val="0"/>
              <w:jc w:val="right"/>
              <w:textAlignment w:val="center"/>
              <w:rPr>
                <w:rFonts w:hint="default" w:ascii="宋体" w:hAnsi="宋体" w:eastAsia="宋体" w:cs="宋体"/>
                <w:i w:val="0"/>
                <w:iCs w:val="0"/>
                <w:color w:val="auto"/>
                <w:kern w:val="0"/>
                <w:sz w:val="22"/>
                <w:szCs w:val="22"/>
                <w:u w:val="none"/>
                <w:lang w:val="en-US" w:eastAsia="zh-CN" w:bidi="ar"/>
              </w:rPr>
            </w:pPr>
            <w:r>
              <w:rPr>
                <w:rFonts w:hint="default" w:ascii="宋体" w:hAnsi="宋体" w:eastAsia="宋体" w:cs="宋体"/>
                <w:i w:val="0"/>
                <w:iCs w:val="0"/>
                <w:color w:val="auto"/>
                <w:kern w:val="0"/>
                <w:sz w:val="22"/>
                <w:szCs w:val="22"/>
                <w:u w:val="none"/>
                <w:lang w:val="en-US" w:eastAsia="zh-CN" w:bidi="ar"/>
              </w:rPr>
              <w:t>13634</w:t>
            </w:r>
            <w:r>
              <w:rPr>
                <w:rFonts w:hint="eastAsia" w:ascii="宋体" w:hAnsi="宋体" w:eastAsia="宋体" w:cs="宋体"/>
                <w:i w:val="0"/>
                <w:iCs w:val="0"/>
                <w:color w:val="auto"/>
                <w:kern w:val="0"/>
                <w:sz w:val="22"/>
                <w:szCs w:val="22"/>
                <w:u w:val="none"/>
                <w:lang w:val="en-US" w:eastAsia="zh-CN" w:bidi="ar"/>
              </w:rPr>
              <w:t>.50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0FCFC">
            <w:pPr>
              <w:keepNext w:val="0"/>
              <w:keepLines w:val="0"/>
              <w:widowControl/>
              <w:suppressLineNumbers w:val="0"/>
              <w:jc w:val="right"/>
              <w:textAlignment w:val="center"/>
              <w:rPr>
                <w:rFonts w:ascii="宋体" w:hAnsi="宋体" w:eastAsia="宋体" w:cs="宋体"/>
                <w:color w:val="auto"/>
                <w:kern w:val="0"/>
                <w:szCs w:val="21"/>
                <w:lang w:bidi="ar"/>
              </w:rPr>
            </w:pPr>
            <w:r>
              <w:rPr>
                <w:rFonts w:hint="eastAsia" w:ascii="宋体" w:hAnsi="宋体" w:eastAsia="宋体" w:cs="宋体"/>
                <w:i w:val="0"/>
                <w:iCs w:val="0"/>
                <w:color w:val="auto"/>
                <w:kern w:val="0"/>
                <w:sz w:val="21"/>
                <w:szCs w:val="21"/>
                <w:u w:val="none"/>
                <w:lang w:val="en-US" w:eastAsia="zh-CN" w:bidi="ar"/>
              </w:rPr>
              <w:t>-22.04%</w:t>
            </w:r>
          </w:p>
        </w:tc>
      </w:tr>
      <w:tr w14:paraId="3F95C150">
        <w:tblPrEx>
          <w:tblCellMar>
            <w:top w:w="0" w:type="dxa"/>
            <w:left w:w="108" w:type="dxa"/>
            <w:bottom w:w="0" w:type="dxa"/>
            <w:right w:w="108" w:type="dxa"/>
          </w:tblCellMar>
        </w:tblPrEx>
        <w:trPr>
          <w:trHeight w:val="397" w:hRule="atLeast"/>
          <w:jc w:val="center"/>
        </w:trPr>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F55BE">
            <w:pPr>
              <w:jc w:val="center"/>
              <w:rPr>
                <w:rFonts w:ascii="宋体" w:hAnsi="宋体" w:eastAsia="宋体" w:cs="宋体"/>
                <w:b/>
                <w:bCs/>
                <w:szCs w:val="21"/>
              </w:rPr>
            </w:pP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ABA09">
            <w:pPr>
              <w:widowControl/>
              <w:jc w:val="center"/>
              <w:textAlignment w:val="center"/>
              <w:rPr>
                <w:rFonts w:ascii="宋体" w:hAnsi="宋体" w:eastAsia="宋体" w:cs="宋体"/>
                <w:szCs w:val="21"/>
              </w:rPr>
            </w:pPr>
            <w:r>
              <w:rPr>
                <w:rFonts w:hint="eastAsia" w:ascii="宋体" w:hAnsi="宋体" w:eastAsia="宋体" w:cs="宋体"/>
                <w:kern w:val="0"/>
                <w:szCs w:val="21"/>
                <w:lang w:bidi="ar"/>
              </w:rPr>
              <w:t>政府性基金预算财政拨款</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AEFCE">
            <w:pPr>
              <w:keepNext w:val="0"/>
              <w:keepLines w:val="0"/>
              <w:widowControl/>
              <w:suppressLineNumbers w:val="0"/>
              <w:jc w:val="right"/>
              <w:textAlignment w:val="center"/>
              <w:rPr>
                <w:rFonts w:ascii="宋体" w:hAnsi="宋体" w:eastAsia="宋体" w:cs="宋体"/>
                <w:szCs w:val="21"/>
                <w:highlight w:val="none"/>
              </w:rPr>
            </w:pPr>
            <w:r>
              <w:rPr>
                <w:rFonts w:hint="eastAsia" w:ascii="宋体" w:hAnsi="宋体" w:eastAsia="宋体" w:cs="宋体"/>
                <w:i w:val="0"/>
                <w:iCs w:val="0"/>
                <w:color w:val="000000"/>
                <w:kern w:val="0"/>
                <w:sz w:val="20"/>
                <w:szCs w:val="20"/>
                <w:highlight w:val="none"/>
                <w:u w:val="none"/>
                <w:lang w:val="en-US" w:eastAsia="zh-CN" w:bidi="ar"/>
              </w:rPr>
              <w:t>0.00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EF144">
            <w:pPr>
              <w:keepNext w:val="0"/>
              <w:keepLines w:val="0"/>
              <w:widowControl/>
              <w:suppressLineNumbers w:val="0"/>
              <w:jc w:val="right"/>
              <w:textAlignment w:val="center"/>
              <w:rPr>
                <w:rFonts w:ascii="宋体" w:hAnsi="宋体" w:eastAsia="宋体" w:cs="宋体"/>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485.99</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35FFD">
            <w:pPr>
              <w:keepNext w:val="0"/>
              <w:keepLines w:val="0"/>
              <w:widowControl/>
              <w:suppressLineNumbers w:val="0"/>
              <w:jc w:val="right"/>
              <w:textAlignment w:val="center"/>
              <w:rPr>
                <w:rFonts w:hint="eastAsia" w:ascii="宋体" w:hAnsi="宋体" w:eastAsia="宋体" w:cs="宋体"/>
                <w:i w:val="0"/>
                <w:iCs w:val="0"/>
                <w:color w:val="auto"/>
                <w:kern w:val="0"/>
                <w:sz w:val="22"/>
                <w:szCs w:val="22"/>
                <w:u w:val="none"/>
                <w:lang w:val="en-US" w:eastAsia="zh-CN" w:bidi="ar"/>
              </w:rPr>
            </w:pPr>
            <w:r>
              <w:rPr>
                <w:rFonts w:hint="default" w:ascii="宋体" w:hAnsi="宋体" w:eastAsia="宋体" w:cs="宋体"/>
                <w:i w:val="0"/>
                <w:iCs w:val="0"/>
                <w:color w:val="auto"/>
                <w:kern w:val="0"/>
                <w:sz w:val="22"/>
                <w:szCs w:val="22"/>
                <w:u w:val="none"/>
                <w:lang w:val="en-US" w:eastAsia="zh-CN" w:bidi="ar"/>
              </w:rPr>
              <w:t>3195</w:t>
            </w:r>
            <w:r>
              <w:rPr>
                <w:rFonts w:hint="eastAsia" w:ascii="宋体" w:hAnsi="宋体" w:eastAsia="宋体" w:cs="宋体"/>
                <w:i w:val="0"/>
                <w:iCs w:val="0"/>
                <w:color w:val="auto"/>
                <w:kern w:val="0"/>
                <w:sz w:val="22"/>
                <w:szCs w:val="22"/>
                <w:u w:val="none"/>
                <w:lang w:val="en-US" w:eastAsia="zh-CN" w:bidi="ar"/>
              </w:rPr>
              <w:t>.</w:t>
            </w:r>
            <w:r>
              <w:rPr>
                <w:rFonts w:hint="default" w:ascii="宋体" w:hAnsi="宋体" w:eastAsia="宋体" w:cs="宋体"/>
                <w:i w:val="0"/>
                <w:iCs w:val="0"/>
                <w:color w:val="auto"/>
                <w:kern w:val="0"/>
                <w:sz w:val="22"/>
                <w:szCs w:val="22"/>
                <w:u w:val="none"/>
                <w:lang w:val="en-US" w:eastAsia="zh-CN" w:bidi="ar"/>
              </w:rPr>
              <w:t>04</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2295F">
            <w:pPr>
              <w:keepNext w:val="0"/>
              <w:keepLines w:val="0"/>
              <w:widowControl/>
              <w:suppressLineNumbers w:val="0"/>
              <w:jc w:val="right"/>
              <w:textAlignment w:val="center"/>
              <w:rPr>
                <w:rFonts w:ascii="宋体" w:hAnsi="宋体" w:eastAsia="宋体" w:cs="宋体"/>
                <w:color w:val="auto"/>
                <w:kern w:val="0"/>
                <w:szCs w:val="21"/>
                <w:lang w:bidi="ar"/>
              </w:rPr>
            </w:pPr>
            <w:r>
              <w:rPr>
                <w:rFonts w:hint="eastAsia" w:ascii="宋体" w:hAnsi="宋体" w:eastAsia="宋体" w:cs="宋体"/>
                <w:i w:val="0"/>
                <w:iCs w:val="0"/>
                <w:color w:val="auto"/>
                <w:kern w:val="0"/>
                <w:sz w:val="21"/>
                <w:szCs w:val="21"/>
                <w:u w:val="none"/>
                <w:lang w:val="en-US" w:eastAsia="zh-CN" w:bidi="ar"/>
              </w:rPr>
              <w:t>0.00%</w:t>
            </w:r>
          </w:p>
        </w:tc>
      </w:tr>
      <w:tr w14:paraId="658C138E">
        <w:tblPrEx>
          <w:tblCellMar>
            <w:top w:w="0" w:type="dxa"/>
            <w:left w:w="108" w:type="dxa"/>
            <w:bottom w:w="0" w:type="dxa"/>
            <w:right w:w="108" w:type="dxa"/>
          </w:tblCellMar>
        </w:tblPrEx>
        <w:trPr>
          <w:trHeight w:val="397" w:hRule="atLeast"/>
          <w:jc w:val="center"/>
        </w:trPr>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C6290">
            <w:pPr>
              <w:jc w:val="center"/>
              <w:rPr>
                <w:rFonts w:ascii="宋体" w:hAnsi="宋体" w:eastAsia="宋体" w:cs="宋体"/>
                <w:b/>
                <w:bCs/>
                <w:szCs w:val="21"/>
              </w:rPr>
            </w:pP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9F3E7">
            <w:pPr>
              <w:widowControl/>
              <w:jc w:val="center"/>
              <w:textAlignment w:val="center"/>
              <w:rPr>
                <w:rFonts w:ascii="宋体" w:hAnsi="宋体" w:eastAsia="宋体" w:cs="宋体"/>
                <w:szCs w:val="21"/>
              </w:rPr>
            </w:pPr>
            <w:r>
              <w:rPr>
                <w:rFonts w:hint="eastAsia" w:ascii="宋体" w:hAnsi="宋体" w:eastAsia="宋体" w:cs="宋体"/>
                <w:kern w:val="0"/>
                <w:szCs w:val="21"/>
                <w:lang w:bidi="ar"/>
              </w:rPr>
              <w:t>年初财政拨款结转和结余</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FF443">
            <w:pPr>
              <w:jc w:val="right"/>
              <w:rPr>
                <w:rFonts w:ascii="宋体" w:hAnsi="宋体" w:eastAsia="宋体" w:cs="宋体"/>
                <w:szCs w:val="21"/>
                <w:highlight w:val="none"/>
              </w:rPr>
            </w:pPr>
            <w:r>
              <w:rPr>
                <w:rFonts w:hint="eastAsia" w:ascii="宋体" w:hAnsi="宋体" w:eastAsia="宋体" w:cs="宋体"/>
                <w:szCs w:val="21"/>
                <w:highlight w:val="none"/>
              </w:rPr>
              <w:t>2537</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23</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3A720">
            <w:pPr>
              <w:widowControl/>
              <w:jc w:val="righ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160</w:t>
            </w:r>
            <w:r>
              <w:rPr>
                <w:rFonts w:hint="eastAsia" w:ascii="宋体" w:hAnsi="宋体" w:eastAsia="宋体" w:cs="宋体"/>
                <w:color w:val="auto"/>
                <w:kern w:val="0"/>
                <w:szCs w:val="21"/>
                <w:highlight w:val="none"/>
                <w:lang w:val="en-US" w:eastAsia="zh-CN" w:bidi="ar"/>
              </w:rPr>
              <w:t>.</w:t>
            </w:r>
            <w:r>
              <w:rPr>
                <w:rFonts w:hint="eastAsia" w:ascii="宋体" w:hAnsi="宋体" w:eastAsia="宋体" w:cs="宋体"/>
                <w:color w:val="auto"/>
                <w:kern w:val="0"/>
                <w:szCs w:val="21"/>
                <w:highlight w:val="none"/>
                <w:lang w:bidi="ar"/>
              </w:rPr>
              <w:t>4</w:t>
            </w:r>
            <w:r>
              <w:rPr>
                <w:rFonts w:hint="eastAsia" w:ascii="宋体" w:hAnsi="宋体" w:eastAsia="宋体" w:cs="宋体"/>
                <w:color w:val="auto"/>
                <w:kern w:val="0"/>
                <w:szCs w:val="21"/>
                <w:highlight w:val="none"/>
                <w:lang w:val="en-US" w:eastAsia="zh-CN" w:bidi="ar"/>
              </w:rPr>
              <w:t>4</w:t>
            </w:r>
            <w:r>
              <w:rPr>
                <w:rFonts w:hint="eastAsia" w:ascii="宋体" w:hAnsi="宋体" w:eastAsia="宋体" w:cs="宋体"/>
                <w:color w:val="auto"/>
                <w:kern w:val="0"/>
                <w:szCs w:val="21"/>
                <w:highlight w:val="none"/>
                <w:lang w:bidi="ar"/>
              </w:rPr>
              <w:t xml:space="preserve"> </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14992">
            <w:pPr>
              <w:keepNext w:val="0"/>
              <w:keepLines w:val="0"/>
              <w:widowControl/>
              <w:suppressLineNumbers w:val="0"/>
              <w:jc w:val="righ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1177.51 </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0C4A6">
            <w:pPr>
              <w:keepNext w:val="0"/>
              <w:keepLines w:val="0"/>
              <w:widowControl/>
              <w:suppressLineNumbers w:val="0"/>
              <w:jc w:val="right"/>
              <w:textAlignment w:val="center"/>
              <w:rPr>
                <w:rFonts w:ascii="宋体" w:hAnsi="宋体" w:eastAsia="宋体" w:cs="宋体"/>
                <w:color w:val="auto"/>
                <w:kern w:val="0"/>
                <w:szCs w:val="21"/>
                <w:lang w:bidi="ar"/>
              </w:rPr>
            </w:pPr>
            <w:r>
              <w:rPr>
                <w:rFonts w:hint="eastAsia" w:ascii="宋体" w:hAnsi="宋体" w:eastAsia="宋体" w:cs="宋体"/>
                <w:i w:val="0"/>
                <w:iCs w:val="0"/>
                <w:color w:val="auto"/>
                <w:kern w:val="0"/>
                <w:sz w:val="21"/>
                <w:szCs w:val="21"/>
                <w:u w:val="none"/>
                <w:lang w:val="en-US" w:eastAsia="zh-CN" w:bidi="ar"/>
              </w:rPr>
              <w:t>-53.59%</w:t>
            </w:r>
          </w:p>
        </w:tc>
      </w:tr>
      <w:tr w14:paraId="6E7156AC">
        <w:tblPrEx>
          <w:tblCellMar>
            <w:top w:w="0" w:type="dxa"/>
            <w:left w:w="108" w:type="dxa"/>
            <w:bottom w:w="0" w:type="dxa"/>
            <w:right w:w="108" w:type="dxa"/>
          </w:tblCellMar>
        </w:tblPrEx>
        <w:trPr>
          <w:trHeight w:val="397" w:hRule="atLeast"/>
          <w:jc w:val="center"/>
        </w:trPr>
        <w:tc>
          <w:tcPr>
            <w:tcW w:w="40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79C40">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小计</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E09E5">
            <w:pPr>
              <w:jc w:val="right"/>
              <w:rPr>
                <w:rFonts w:hint="default" w:ascii="宋体" w:hAnsi="宋体" w:eastAsia="宋体" w:cs="宋体"/>
                <w:b/>
                <w:bCs/>
                <w:szCs w:val="21"/>
                <w:lang w:val="en-US" w:eastAsia="zh-CN"/>
              </w:rPr>
            </w:pPr>
            <w:r>
              <w:rPr>
                <w:rFonts w:hint="eastAsia" w:ascii="宋体" w:hAnsi="宋体" w:eastAsia="宋体" w:cs="宋体"/>
                <w:b/>
                <w:bCs/>
                <w:szCs w:val="21"/>
              </w:rPr>
              <w:t>20</w:t>
            </w:r>
            <w:r>
              <w:rPr>
                <w:rFonts w:hint="eastAsia" w:ascii="宋体" w:hAnsi="宋体" w:eastAsia="宋体" w:cs="宋体"/>
                <w:b/>
                <w:bCs/>
                <w:szCs w:val="21"/>
                <w:lang w:val="en-US" w:eastAsia="zh-CN"/>
              </w:rPr>
              <w:t>026.23</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D26A3">
            <w:pPr>
              <w:widowControl/>
              <w:jc w:val="right"/>
              <w:textAlignment w:val="center"/>
              <w:rPr>
                <w:rFonts w:ascii="宋体" w:hAnsi="宋体" w:eastAsia="宋体" w:cs="宋体"/>
                <w:b/>
                <w:bCs/>
                <w:color w:val="auto"/>
                <w:szCs w:val="21"/>
              </w:rPr>
            </w:pPr>
            <w:r>
              <w:rPr>
                <w:rFonts w:hint="eastAsia" w:ascii="宋体" w:hAnsi="宋体" w:eastAsia="宋体" w:cs="宋体"/>
                <w:b/>
                <w:bCs/>
                <w:color w:val="auto"/>
                <w:kern w:val="0"/>
                <w:szCs w:val="21"/>
                <w:lang w:bidi="ar"/>
              </w:rPr>
              <w:t>18184</w:t>
            </w:r>
            <w:r>
              <w:rPr>
                <w:rFonts w:hint="eastAsia" w:ascii="宋体" w:hAnsi="宋体" w:eastAsia="宋体" w:cs="宋体"/>
                <w:b/>
                <w:bCs/>
                <w:color w:val="auto"/>
                <w:kern w:val="0"/>
                <w:szCs w:val="21"/>
                <w:lang w:val="en-US" w:eastAsia="zh-CN" w:bidi="ar"/>
              </w:rPr>
              <w:t>.</w:t>
            </w:r>
            <w:r>
              <w:rPr>
                <w:rFonts w:hint="eastAsia" w:ascii="宋体" w:hAnsi="宋体" w:eastAsia="宋体" w:cs="宋体"/>
                <w:b/>
                <w:bCs/>
                <w:color w:val="auto"/>
                <w:kern w:val="0"/>
                <w:szCs w:val="21"/>
                <w:lang w:bidi="ar"/>
              </w:rPr>
              <w:t xml:space="preserve">07 </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763AA">
            <w:pPr>
              <w:widowControl/>
              <w:jc w:val="right"/>
              <w:textAlignment w:val="center"/>
              <w:rPr>
                <w:rFonts w:ascii="宋体" w:hAnsi="宋体" w:eastAsia="宋体" w:cs="宋体"/>
                <w:b/>
                <w:bCs/>
                <w:color w:val="auto"/>
                <w:szCs w:val="21"/>
              </w:rPr>
            </w:pPr>
            <w:r>
              <w:rPr>
                <w:rFonts w:hint="eastAsia" w:ascii="宋体" w:hAnsi="宋体" w:eastAsia="宋体" w:cs="宋体"/>
                <w:b/>
                <w:bCs/>
                <w:color w:val="auto"/>
                <w:kern w:val="0"/>
                <w:szCs w:val="21"/>
                <w:lang w:bidi="ar"/>
              </w:rPr>
              <w:t>18007</w:t>
            </w:r>
            <w:r>
              <w:rPr>
                <w:rFonts w:hint="eastAsia" w:ascii="宋体" w:hAnsi="宋体" w:eastAsia="宋体" w:cs="宋体"/>
                <w:b/>
                <w:bCs/>
                <w:color w:val="auto"/>
                <w:kern w:val="0"/>
                <w:szCs w:val="21"/>
                <w:lang w:val="en-US" w:eastAsia="zh-CN" w:bidi="ar"/>
              </w:rPr>
              <w:t>.</w:t>
            </w:r>
            <w:r>
              <w:rPr>
                <w:rFonts w:hint="eastAsia" w:ascii="宋体" w:hAnsi="宋体" w:eastAsia="宋体" w:cs="宋体"/>
                <w:b/>
                <w:bCs/>
                <w:color w:val="auto"/>
                <w:kern w:val="0"/>
                <w:szCs w:val="21"/>
                <w:lang w:bidi="ar"/>
              </w:rPr>
              <w:t xml:space="preserve">05 </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78BBC">
            <w:pPr>
              <w:keepNext w:val="0"/>
              <w:keepLines w:val="0"/>
              <w:widowControl/>
              <w:suppressLineNumbers w:val="0"/>
              <w:jc w:val="right"/>
              <w:textAlignment w:val="center"/>
              <w:rPr>
                <w:rFonts w:ascii="宋体" w:hAnsi="宋体" w:eastAsia="宋体" w:cs="宋体"/>
                <w:b/>
                <w:bCs/>
                <w:color w:val="auto"/>
                <w:kern w:val="0"/>
                <w:szCs w:val="21"/>
                <w:lang w:bidi="ar"/>
              </w:rPr>
            </w:pPr>
            <w:r>
              <w:rPr>
                <w:rFonts w:hint="eastAsia" w:ascii="宋体" w:hAnsi="宋体" w:eastAsia="宋体" w:cs="宋体"/>
                <w:i w:val="0"/>
                <w:iCs w:val="0"/>
                <w:color w:val="auto"/>
                <w:kern w:val="0"/>
                <w:sz w:val="21"/>
                <w:szCs w:val="21"/>
                <w:u w:val="none"/>
                <w:lang w:val="en-US" w:eastAsia="zh-CN" w:bidi="ar"/>
              </w:rPr>
              <w:t>-10.08%</w:t>
            </w:r>
          </w:p>
        </w:tc>
      </w:tr>
      <w:tr w14:paraId="03C588BD">
        <w:tblPrEx>
          <w:tblCellMar>
            <w:top w:w="0" w:type="dxa"/>
            <w:left w:w="108" w:type="dxa"/>
            <w:bottom w:w="0" w:type="dxa"/>
            <w:right w:w="108" w:type="dxa"/>
          </w:tblCellMar>
        </w:tblPrEx>
        <w:trPr>
          <w:trHeight w:val="397" w:hRule="atLeast"/>
          <w:jc w:val="center"/>
        </w:trPr>
        <w:tc>
          <w:tcPr>
            <w:tcW w:w="808" w:type="dxa"/>
            <w:vMerge w:val="restart"/>
            <w:tcBorders>
              <w:top w:val="single" w:color="000000" w:sz="4" w:space="0"/>
              <w:left w:val="single" w:color="000000" w:sz="4" w:space="0"/>
              <w:right w:val="single" w:color="000000" w:sz="4" w:space="0"/>
            </w:tcBorders>
            <w:shd w:val="clear" w:color="auto" w:fill="auto"/>
            <w:noWrap/>
            <w:vAlign w:val="center"/>
          </w:tcPr>
          <w:p w14:paraId="69107042">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支出额度</w:t>
            </w: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6436F">
            <w:pPr>
              <w:widowControl/>
              <w:jc w:val="center"/>
              <w:textAlignment w:val="center"/>
              <w:rPr>
                <w:rFonts w:ascii="宋体" w:hAnsi="宋体" w:eastAsia="宋体" w:cs="宋体"/>
                <w:szCs w:val="21"/>
              </w:rPr>
            </w:pPr>
            <w:r>
              <w:rPr>
                <w:rFonts w:hint="eastAsia" w:ascii="宋体" w:hAnsi="宋体" w:eastAsia="宋体" w:cs="宋体"/>
                <w:kern w:val="0"/>
                <w:szCs w:val="21"/>
                <w:lang w:bidi="ar"/>
              </w:rPr>
              <w:t>一般公共预算财政拨款</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B30FA">
            <w:pPr>
              <w:keepNext w:val="0"/>
              <w:keepLines w:val="0"/>
              <w:widowControl/>
              <w:suppressLineNumbers w:val="0"/>
              <w:jc w:val="right"/>
              <w:textAlignment w:val="center"/>
              <w:rPr>
                <w:rFonts w:ascii="宋体" w:hAnsi="宋体" w:eastAsia="宋体" w:cs="宋体"/>
                <w:b w:val="0"/>
                <w:bCs w:val="0"/>
                <w:szCs w:val="21"/>
              </w:rPr>
            </w:pPr>
            <w:r>
              <w:rPr>
                <w:rFonts w:hint="eastAsia" w:ascii="宋体" w:hAnsi="宋体" w:eastAsia="宋体" w:cs="宋体"/>
                <w:i w:val="0"/>
                <w:iCs w:val="0"/>
                <w:color w:val="000000"/>
                <w:kern w:val="0"/>
                <w:sz w:val="21"/>
                <w:szCs w:val="21"/>
                <w:u w:val="none"/>
                <w:lang w:val="en-US" w:eastAsia="zh-CN" w:bidi="ar"/>
              </w:rPr>
              <w:t>20026.23</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A2ADA">
            <w:pPr>
              <w:keepNext w:val="0"/>
              <w:keepLines w:val="0"/>
              <w:widowControl/>
              <w:suppressLineNumbers w:val="0"/>
              <w:jc w:val="right"/>
              <w:textAlignment w:val="center"/>
              <w:rPr>
                <w:rFonts w:ascii="宋体" w:hAnsi="宋体" w:eastAsia="宋体" w:cs="宋体"/>
                <w:b w:val="0"/>
                <w:bCs w:val="0"/>
                <w:color w:val="auto"/>
                <w:szCs w:val="21"/>
              </w:rPr>
            </w:pPr>
            <w:r>
              <w:rPr>
                <w:rFonts w:hint="eastAsia" w:ascii="宋体" w:hAnsi="宋体" w:eastAsia="宋体" w:cs="宋体"/>
                <w:i w:val="0"/>
                <w:iCs w:val="0"/>
                <w:color w:val="auto"/>
                <w:kern w:val="0"/>
                <w:sz w:val="21"/>
                <w:szCs w:val="21"/>
                <w:u w:val="none"/>
                <w:lang w:val="en-US" w:eastAsia="zh-CN" w:bidi="ar"/>
              </w:rPr>
              <w:t>16520.57</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859CC">
            <w:pPr>
              <w:keepNext w:val="0"/>
              <w:keepLines w:val="0"/>
              <w:widowControl/>
              <w:suppressLineNumbers w:val="0"/>
              <w:jc w:val="right"/>
              <w:textAlignment w:val="center"/>
              <w:rPr>
                <w:rFonts w:ascii="宋体" w:hAnsi="宋体" w:eastAsia="宋体" w:cs="宋体"/>
                <w:color w:val="auto"/>
                <w:szCs w:val="21"/>
              </w:rPr>
            </w:pPr>
            <w:r>
              <w:rPr>
                <w:rFonts w:hint="eastAsia" w:ascii="宋体" w:hAnsi="宋体" w:eastAsia="宋体" w:cs="宋体"/>
                <w:i w:val="0"/>
                <w:iCs w:val="0"/>
                <w:color w:val="auto"/>
                <w:kern w:val="0"/>
                <w:sz w:val="21"/>
                <w:szCs w:val="21"/>
                <w:u w:val="none"/>
                <w:lang w:val="en-US" w:eastAsia="zh-CN" w:bidi="ar"/>
              </w:rPr>
              <w:t>14810.91</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6587C">
            <w:pPr>
              <w:keepNext w:val="0"/>
              <w:keepLines w:val="0"/>
              <w:widowControl/>
              <w:suppressLineNumbers w:val="0"/>
              <w:jc w:val="right"/>
              <w:textAlignment w:val="center"/>
              <w:rPr>
                <w:rFonts w:ascii="宋体" w:hAnsi="宋体" w:eastAsia="宋体" w:cs="宋体"/>
                <w:color w:val="auto"/>
                <w:kern w:val="0"/>
                <w:szCs w:val="21"/>
                <w:lang w:bidi="ar"/>
              </w:rPr>
            </w:pPr>
            <w:r>
              <w:rPr>
                <w:rFonts w:hint="eastAsia" w:ascii="宋体" w:hAnsi="宋体" w:eastAsia="宋体" w:cs="宋体"/>
                <w:i w:val="0"/>
                <w:iCs w:val="0"/>
                <w:color w:val="auto"/>
                <w:kern w:val="0"/>
                <w:sz w:val="21"/>
                <w:szCs w:val="21"/>
                <w:u w:val="none"/>
                <w:lang w:val="en-US" w:eastAsia="zh-CN" w:bidi="ar"/>
              </w:rPr>
              <w:t>-26.04%</w:t>
            </w:r>
          </w:p>
        </w:tc>
      </w:tr>
      <w:tr w14:paraId="51DB45FC">
        <w:tblPrEx>
          <w:tblCellMar>
            <w:top w:w="0" w:type="dxa"/>
            <w:left w:w="108" w:type="dxa"/>
            <w:bottom w:w="0" w:type="dxa"/>
            <w:right w:w="108" w:type="dxa"/>
          </w:tblCellMar>
        </w:tblPrEx>
        <w:trPr>
          <w:trHeight w:val="397" w:hRule="atLeast"/>
          <w:jc w:val="center"/>
        </w:trPr>
        <w:tc>
          <w:tcPr>
            <w:tcW w:w="808" w:type="dxa"/>
            <w:vMerge w:val="continue"/>
            <w:tcBorders>
              <w:left w:val="single" w:color="000000" w:sz="4" w:space="0"/>
              <w:right w:val="single" w:color="000000" w:sz="4" w:space="0"/>
            </w:tcBorders>
            <w:shd w:val="clear" w:color="auto" w:fill="auto"/>
            <w:noWrap/>
            <w:vAlign w:val="center"/>
          </w:tcPr>
          <w:p w14:paraId="513E711E">
            <w:pPr>
              <w:jc w:val="center"/>
              <w:rPr>
                <w:rFonts w:ascii="宋体" w:hAnsi="宋体" w:eastAsia="宋体" w:cs="宋体"/>
                <w:b/>
                <w:bCs/>
                <w:szCs w:val="21"/>
              </w:rPr>
            </w:pP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150A9">
            <w:pPr>
              <w:widowControl/>
              <w:jc w:val="center"/>
              <w:textAlignment w:val="center"/>
              <w:rPr>
                <w:rFonts w:ascii="宋体" w:hAnsi="宋体" w:eastAsia="宋体" w:cs="宋体"/>
                <w:szCs w:val="21"/>
              </w:rPr>
            </w:pPr>
            <w:r>
              <w:rPr>
                <w:rFonts w:hint="eastAsia" w:ascii="宋体" w:hAnsi="宋体" w:eastAsia="宋体" w:cs="宋体"/>
                <w:kern w:val="0"/>
                <w:szCs w:val="21"/>
                <w:lang w:bidi="ar"/>
              </w:rPr>
              <w:t>政府性基金预算财政拨款</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F6FDB">
            <w:pPr>
              <w:keepNext w:val="0"/>
              <w:keepLines w:val="0"/>
              <w:widowControl/>
              <w:suppressLineNumbers w:val="0"/>
              <w:jc w:val="right"/>
              <w:textAlignment w:val="center"/>
              <w:rPr>
                <w:rFonts w:hint="default" w:ascii="宋体" w:hAnsi="宋体" w:eastAsia="宋体" w:cs="宋体"/>
                <w:szCs w:val="21"/>
                <w:lang w:val="en-US"/>
              </w:rPr>
            </w:pPr>
            <w:r>
              <w:rPr>
                <w:rFonts w:hint="eastAsia" w:ascii="宋体" w:hAnsi="宋体" w:eastAsia="宋体" w:cs="宋体"/>
                <w:i w:val="0"/>
                <w:iCs w:val="0"/>
                <w:color w:val="000000"/>
                <w:kern w:val="0"/>
                <w:sz w:val="21"/>
                <w:szCs w:val="21"/>
                <w:u w:val="none"/>
                <w:lang w:val="en-US" w:eastAsia="zh-CN" w:bidi="ar"/>
              </w:rPr>
              <w:t>0.00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6C3CC">
            <w:pPr>
              <w:keepNext w:val="0"/>
              <w:keepLines w:val="0"/>
              <w:widowControl/>
              <w:suppressLineNumbers w:val="0"/>
              <w:jc w:val="right"/>
              <w:textAlignment w:val="center"/>
              <w:rPr>
                <w:rFonts w:ascii="宋体" w:hAnsi="宋体" w:eastAsia="宋体" w:cs="宋体"/>
                <w:color w:val="auto"/>
                <w:szCs w:val="21"/>
              </w:rPr>
            </w:pPr>
            <w:r>
              <w:rPr>
                <w:rFonts w:hint="eastAsia" w:ascii="宋体" w:hAnsi="宋体" w:eastAsia="宋体" w:cs="宋体"/>
                <w:i w:val="0"/>
                <w:iCs w:val="0"/>
                <w:color w:val="auto"/>
                <w:kern w:val="0"/>
                <w:sz w:val="21"/>
                <w:szCs w:val="21"/>
                <w:u w:val="none"/>
                <w:lang w:val="en-US" w:eastAsia="zh-CN" w:bidi="ar"/>
              </w:rPr>
              <w:t>485.99</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6CE2E">
            <w:pPr>
              <w:keepNext w:val="0"/>
              <w:keepLines w:val="0"/>
              <w:widowControl/>
              <w:suppressLineNumbers w:val="0"/>
              <w:jc w:val="right"/>
              <w:textAlignment w:val="center"/>
              <w:rPr>
                <w:rFonts w:ascii="宋体" w:hAnsi="宋体" w:eastAsia="宋体" w:cs="宋体"/>
                <w:color w:val="auto"/>
                <w:szCs w:val="21"/>
              </w:rPr>
            </w:pPr>
            <w:r>
              <w:rPr>
                <w:rFonts w:hint="eastAsia" w:ascii="宋体" w:hAnsi="宋体" w:eastAsia="宋体" w:cs="宋体"/>
                <w:i w:val="0"/>
                <w:iCs w:val="0"/>
                <w:color w:val="auto"/>
                <w:kern w:val="0"/>
                <w:sz w:val="21"/>
                <w:szCs w:val="21"/>
                <w:u w:val="none"/>
                <w:lang w:val="en-US" w:eastAsia="zh-CN" w:bidi="ar"/>
              </w:rPr>
              <w:t>3195.04</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57C93">
            <w:pPr>
              <w:keepNext w:val="0"/>
              <w:keepLines w:val="0"/>
              <w:widowControl/>
              <w:suppressLineNumbers w:val="0"/>
              <w:jc w:val="righ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0.00%</w:t>
            </w:r>
          </w:p>
        </w:tc>
      </w:tr>
      <w:tr w14:paraId="3EDBC906">
        <w:tblPrEx>
          <w:tblCellMar>
            <w:top w:w="0" w:type="dxa"/>
            <w:left w:w="108" w:type="dxa"/>
            <w:bottom w:w="0" w:type="dxa"/>
            <w:right w:w="108" w:type="dxa"/>
          </w:tblCellMar>
        </w:tblPrEx>
        <w:trPr>
          <w:trHeight w:val="397" w:hRule="atLeast"/>
          <w:jc w:val="center"/>
        </w:trPr>
        <w:tc>
          <w:tcPr>
            <w:tcW w:w="808" w:type="dxa"/>
            <w:vMerge w:val="continue"/>
            <w:tcBorders>
              <w:left w:val="single" w:color="000000" w:sz="4" w:space="0"/>
              <w:bottom w:val="single" w:color="000000" w:sz="4" w:space="0"/>
              <w:right w:val="single" w:color="000000" w:sz="4" w:space="0"/>
            </w:tcBorders>
            <w:shd w:val="clear" w:color="auto" w:fill="auto"/>
            <w:noWrap/>
            <w:vAlign w:val="center"/>
          </w:tcPr>
          <w:p w14:paraId="5A0B9E54">
            <w:pPr>
              <w:jc w:val="center"/>
              <w:rPr>
                <w:rFonts w:ascii="宋体" w:hAnsi="宋体" w:eastAsia="宋体" w:cs="宋体"/>
                <w:b/>
                <w:bCs/>
                <w:szCs w:val="21"/>
              </w:rPr>
            </w:pPr>
          </w:p>
        </w:tc>
        <w:tc>
          <w:tcPr>
            <w:tcW w:w="3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DCF83">
            <w:pPr>
              <w:widowControl/>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0"/>
                <w:szCs w:val="21"/>
                <w:lang w:bidi="ar"/>
              </w:rPr>
              <w:t>小计</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BF9C8">
            <w:pPr>
              <w:keepNext w:val="0"/>
              <w:keepLines w:val="0"/>
              <w:widowControl/>
              <w:suppressLineNumbers w:val="0"/>
              <w:jc w:val="right"/>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20026.23</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361D5">
            <w:pPr>
              <w:keepNext w:val="0"/>
              <w:keepLines w:val="0"/>
              <w:widowControl/>
              <w:suppressLineNumbers w:val="0"/>
              <w:jc w:val="right"/>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auto"/>
                <w:kern w:val="0"/>
                <w:sz w:val="21"/>
                <w:szCs w:val="21"/>
                <w:u w:val="none"/>
                <w:lang w:val="en-US" w:eastAsia="zh-CN" w:bidi="ar"/>
              </w:rPr>
              <w:t>17006.56</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2C584">
            <w:pPr>
              <w:keepNext w:val="0"/>
              <w:keepLines w:val="0"/>
              <w:widowControl/>
              <w:suppressLineNumbers w:val="0"/>
              <w:jc w:val="right"/>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auto"/>
                <w:kern w:val="0"/>
                <w:sz w:val="21"/>
                <w:szCs w:val="21"/>
                <w:u w:val="none"/>
                <w:lang w:val="en-US" w:eastAsia="zh-CN" w:bidi="ar"/>
              </w:rPr>
              <w:t>18005.95</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430D7">
            <w:pPr>
              <w:keepNext w:val="0"/>
              <w:keepLines w:val="0"/>
              <w:widowControl/>
              <w:suppressLineNumbers w:val="0"/>
              <w:jc w:val="right"/>
              <w:textAlignment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i w:val="0"/>
                <w:iCs w:val="0"/>
                <w:color w:val="auto"/>
                <w:kern w:val="0"/>
                <w:sz w:val="21"/>
                <w:szCs w:val="21"/>
                <w:u w:val="none"/>
                <w:lang w:val="en-US" w:eastAsia="zh-CN" w:bidi="ar"/>
              </w:rPr>
              <w:t>-10.09%</w:t>
            </w:r>
          </w:p>
        </w:tc>
      </w:tr>
      <w:tr w14:paraId="7AC3AFB5">
        <w:tblPrEx>
          <w:tblCellMar>
            <w:top w:w="0" w:type="dxa"/>
            <w:left w:w="108" w:type="dxa"/>
            <w:bottom w:w="0" w:type="dxa"/>
            <w:right w:w="108" w:type="dxa"/>
          </w:tblCellMar>
        </w:tblPrEx>
        <w:trPr>
          <w:trHeight w:val="397" w:hRule="atLeast"/>
          <w:jc w:val="center"/>
        </w:trPr>
        <w:tc>
          <w:tcPr>
            <w:tcW w:w="40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84597">
            <w:pPr>
              <w:widowControl/>
              <w:jc w:val="center"/>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Cs w:val="21"/>
                <w:lang w:bidi="ar"/>
              </w:rPr>
              <w:t>年末财政拨款结转和结余</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908B7">
            <w:pPr>
              <w:jc w:val="right"/>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Cs w:val="21"/>
                <w:highlight w:val="none"/>
                <w:lang w:bidi="ar"/>
              </w:rPr>
              <w:t>0.00</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D0FEF">
            <w:pPr>
              <w:widowControl/>
              <w:jc w:val="righ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Cs w:val="21"/>
                <w:highlight w:val="none"/>
                <w:lang w:bidi="ar"/>
              </w:rPr>
              <w:t>1177</w:t>
            </w:r>
            <w:r>
              <w:rPr>
                <w:rFonts w:hint="eastAsia" w:ascii="宋体" w:hAnsi="宋体" w:eastAsia="宋体" w:cs="宋体"/>
                <w:color w:val="auto"/>
                <w:kern w:val="0"/>
                <w:szCs w:val="21"/>
                <w:highlight w:val="none"/>
                <w:lang w:val="en-US" w:eastAsia="zh-CN" w:bidi="ar"/>
              </w:rPr>
              <w:t>.</w:t>
            </w:r>
            <w:r>
              <w:rPr>
                <w:rFonts w:hint="eastAsia" w:ascii="宋体" w:hAnsi="宋体" w:eastAsia="宋体" w:cs="宋体"/>
                <w:color w:val="auto"/>
                <w:kern w:val="0"/>
                <w:szCs w:val="21"/>
                <w:highlight w:val="none"/>
                <w:lang w:bidi="ar"/>
              </w:rPr>
              <w:t>5</w:t>
            </w:r>
            <w:r>
              <w:rPr>
                <w:rFonts w:hint="eastAsia" w:ascii="宋体" w:hAnsi="宋体" w:eastAsia="宋体" w:cs="宋体"/>
                <w:color w:val="auto"/>
                <w:kern w:val="0"/>
                <w:szCs w:val="21"/>
                <w:highlight w:val="none"/>
                <w:lang w:val="en-US" w:eastAsia="zh-CN" w:bidi="ar"/>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0CF11">
            <w:pPr>
              <w:widowControl/>
              <w:jc w:val="righ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Cs w:val="21"/>
                <w:lang w:bidi="ar"/>
              </w:rPr>
              <w:t>1</w:t>
            </w:r>
            <w:r>
              <w:rPr>
                <w:rFonts w:hint="eastAsia" w:ascii="宋体" w:hAnsi="宋体" w:eastAsia="宋体" w:cs="宋体"/>
                <w:color w:val="auto"/>
                <w:kern w:val="0"/>
                <w:szCs w:val="21"/>
                <w:lang w:val="en-US" w:eastAsia="zh-CN" w:bidi="ar"/>
              </w:rPr>
              <w:t>.</w:t>
            </w:r>
            <w:r>
              <w:rPr>
                <w:rFonts w:hint="eastAsia" w:ascii="宋体" w:hAnsi="宋体" w:eastAsia="宋体" w:cs="宋体"/>
                <w:color w:val="auto"/>
                <w:kern w:val="0"/>
                <w:szCs w:val="21"/>
                <w:lang w:bidi="ar"/>
              </w:rPr>
              <w:t>10</w:t>
            </w:r>
          </w:p>
        </w:tc>
        <w:tc>
          <w:tcPr>
            <w:tcW w:w="1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4C5E0">
            <w:pPr>
              <w:keepNext w:val="0"/>
              <w:keepLines w:val="0"/>
              <w:widowControl/>
              <w:suppressLineNumbers w:val="0"/>
              <w:jc w:val="righ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0.00%</w:t>
            </w:r>
          </w:p>
        </w:tc>
      </w:tr>
    </w:tbl>
    <w:p w14:paraId="76495BC4">
      <w:pPr>
        <w:pStyle w:val="26"/>
        <w:adjustRightInd w:val="0"/>
        <w:snapToGrid w:val="0"/>
        <w:rPr>
          <w:rFonts w:hint="eastAsia" w:ascii="黑体" w:hAnsi="黑体" w:eastAsia="黑体" w:cs="Arial"/>
          <w:b w:val="0"/>
          <w:bCs/>
          <w:kern w:val="0"/>
          <w:sz w:val="21"/>
          <w:szCs w:val="21"/>
          <w:lang w:val="en-US" w:eastAsia="zh-CN" w:bidi="ar-SA"/>
        </w:rPr>
      </w:pPr>
      <w:r>
        <w:rPr>
          <w:rFonts w:hint="eastAsia" w:ascii="黑体" w:hAnsi="黑体" w:eastAsia="黑体" w:cs="Arial"/>
          <w:b w:val="0"/>
          <w:bCs/>
          <w:kern w:val="0"/>
          <w:sz w:val="21"/>
          <w:szCs w:val="21"/>
          <w:lang w:val="en-US" w:eastAsia="zh-CN" w:bidi="ar-SA"/>
        </w:rPr>
        <w:t>注：表中2022年年初财政拨款结转和结余160.44万元实际为存量资金，应旗财政统一要求在决算表中记为年初财政拨款结转和结余。</w:t>
      </w:r>
    </w:p>
    <w:p w14:paraId="22D54A85">
      <w:pPr>
        <w:pStyle w:val="26"/>
        <w:keepNext w:val="0"/>
        <w:keepLines w:val="0"/>
        <w:pageBreakBefore w:val="0"/>
        <w:widowControl w:val="0"/>
        <w:kinsoku/>
        <w:wordWrap/>
        <w:overflowPunct/>
        <w:topLinePunct w:val="0"/>
        <w:autoSpaceDE/>
        <w:autoSpaceDN/>
        <w:bidi w:val="0"/>
        <w:adjustRightInd w:val="0"/>
        <w:snapToGrid w:val="0"/>
        <w:ind w:left="420" w:leftChars="200" w:firstLine="0" w:firstLineChars="0"/>
        <w:textAlignment w:val="auto"/>
        <w:rPr>
          <w:rFonts w:hint="eastAsia" w:ascii="黑体" w:hAnsi="黑体" w:eastAsia="黑体" w:cs="Arial"/>
          <w:b w:val="0"/>
          <w:bCs/>
          <w:kern w:val="0"/>
          <w:sz w:val="21"/>
          <w:szCs w:val="21"/>
          <w:lang w:val="en-US" w:eastAsia="zh-CN" w:bidi="ar-SA"/>
        </w:rPr>
      </w:pPr>
    </w:p>
    <w:p w14:paraId="1CAC8A28">
      <w:pPr>
        <w:pStyle w:val="26"/>
        <w:keepNext w:val="0"/>
        <w:keepLines w:val="0"/>
        <w:pageBreakBefore w:val="0"/>
        <w:widowControl w:val="0"/>
        <w:kinsoku/>
        <w:wordWrap/>
        <w:overflowPunct/>
        <w:topLinePunct w:val="0"/>
        <w:autoSpaceDE/>
        <w:autoSpaceDN/>
        <w:bidi w:val="0"/>
        <w:adjustRightInd w:val="0"/>
        <w:snapToGrid w:val="0"/>
        <w:spacing w:line="360" w:lineRule="auto"/>
        <w:ind w:left="641" w:firstLine="0" w:firstLineChars="0"/>
        <w:textAlignment w:val="auto"/>
        <w:outlineLvl w:val="1"/>
        <w:rPr>
          <w:rFonts w:hint="eastAsia" w:ascii="楷体" w:eastAsia="楷体" w:hAnsiTheme="minorHAnsi" w:cstheme="minorBidi"/>
          <w:kern w:val="2"/>
          <w:sz w:val="32"/>
          <w:szCs w:val="22"/>
          <w:lang w:val="en-US" w:eastAsia="zh-CN" w:bidi="ar-SA"/>
        </w:rPr>
      </w:pPr>
      <w:bookmarkStart w:id="3" w:name="_Toc11725"/>
      <w:r>
        <w:rPr>
          <w:rFonts w:hint="eastAsia" w:ascii="楷体" w:eastAsia="楷体" w:hAnsiTheme="minorHAnsi" w:cstheme="minorBidi"/>
          <w:kern w:val="2"/>
          <w:sz w:val="32"/>
          <w:szCs w:val="22"/>
          <w:lang w:val="en-US" w:eastAsia="zh-CN" w:bidi="ar-SA"/>
        </w:rPr>
        <w:t>（三）镇组织架构及职责</w:t>
      </w:r>
      <w:bookmarkEnd w:id="3"/>
    </w:p>
    <w:p w14:paraId="6EAFF28C">
      <w:pPr>
        <w:pStyle w:val="26"/>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ascii="仿宋" w:hAnsi="黑体" w:eastAsia="仿宋"/>
          <w:sz w:val="32"/>
          <w:szCs w:val="32"/>
        </w:rPr>
      </w:pPr>
      <w:r>
        <w:rPr>
          <w:rFonts w:hint="eastAsia" w:ascii="仿宋" w:hAnsi="黑体" w:eastAsia="仿宋"/>
          <w:sz w:val="32"/>
          <w:szCs w:val="32"/>
          <w:lang w:val="en-US" w:eastAsia="zh-CN"/>
        </w:rPr>
        <w:t>红庆河</w:t>
      </w:r>
      <w:r>
        <w:rPr>
          <w:rFonts w:hint="eastAsia" w:ascii="仿宋" w:hAnsi="黑体" w:eastAsia="仿宋"/>
          <w:sz w:val="32"/>
          <w:szCs w:val="32"/>
        </w:rPr>
        <w:t>镇</w:t>
      </w:r>
      <w:r>
        <w:rPr>
          <w:rFonts w:hint="eastAsia" w:ascii="仿宋" w:hAnsi="黑体" w:eastAsia="仿宋"/>
          <w:sz w:val="32"/>
          <w:szCs w:val="32"/>
          <w:lang w:val="en-US" w:eastAsia="zh-CN"/>
        </w:rPr>
        <w:t>政府</w:t>
      </w:r>
      <w:r>
        <w:rPr>
          <w:rFonts w:hint="eastAsia" w:ascii="仿宋" w:hAnsi="黑体" w:eastAsia="仿宋"/>
          <w:sz w:val="32"/>
          <w:szCs w:val="32"/>
        </w:rPr>
        <w:t>设置党政机构6个，分别为</w:t>
      </w:r>
      <w:r>
        <w:rPr>
          <w:rFonts w:hint="eastAsia" w:ascii="仿宋" w:hAnsi="黑体" w:eastAsia="仿宋"/>
          <w:sz w:val="32"/>
          <w:szCs w:val="32"/>
          <w:lang w:eastAsia="zh-CN"/>
        </w:rPr>
        <w:t>：</w:t>
      </w:r>
      <w:r>
        <w:rPr>
          <w:rFonts w:hint="eastAsia" w:ascii="仿宋" w:hAnsi="黑体" w:eastAsia="仿宋"/>
          <w:sz w:val="32"/>
          <w:szCs w:val="32"/>
        </w:rPr>
        <w:t>党政综合办公室</w:t>
      </w:r>
      <w:r>
        <w:rPr>
          <w:rFonts w:hint="eastAsia" w:ascii="仿宋" w:hAnsi="黑体" w:eastAsia="仿宋"/>
          <w:sz w:val="32"/>
          <w:szCs w:val="32"/>
          <w:lang w:eastAsia="zh-CN"/>
        </w:rPr>
        <w:t>、</w:t>
      </w:r>
      <w:r>
        <w:rPr>
          <w:rFonts w:hint="eastAsia" w:ascii="仿宋" w:hAnsi="黑体" w:eastAsia="仿宋"/>
          <w:sz w:val="32"/>
          <w:szCs w:val="32"/>
        </w:rPr>
        <w:t>基层党的建设办公室</w:t>
      </w:r>
      <w:r>
        <w:rPr>
          <w:rFonts w:hint="eastAsia" w:ascii="仿宋" w:hAnsi="黑体" w:eastAsia="仿宋"/>
          <w:sz w:val="32"/>
          <w:szCs w:val="32"/>
          <w:lang w:eastAsia="zh-CN"/>
        </w:rPr>
        <w:t>、</w:t>
      </w:r>
      <w:r>
        <w:rPr>
          <w:rFonts w:hint="eastAsia" w:ascii="仿宋" w:hAnsi="黑体" w:eastAsia="仿宋"/>
          <w:sz w:val="32"/>
          <w:szCs w:val="32"/>
        </w:rPr>
        <w:t>乡村振兴办公室</w:t>
      </w:r>
      <w:r>
        <w:rPr>
          <w:rFonts w:hint="eastAsia" w:ascii="仿宋" w:hAnsi="黑体" w:eastAsia="仿宋"/>
          <w:sz w:val="32"/>
          <w:szCs w:val="32"/>
          <w:lang w:eastAsia="zh-CN"/>
        </w:rPr>
        <w:t>、</w:t>
      </w:r>
      <w:r>
        <w:rPr>
          <w:rFonts w:hint="eastAsia" w:ascii="仿宋" w:hAnsi="黑体" w:eastAsia="仿宋"/>
          <w:sz w:val="32"/>
          <w:szCs w:val="32"/>
        </w:rPr>
        <w:t>社会事务办公室</w:t>
      </w:r>
      <w:r>
        <w:rPr>
          <w:rFonts w:hint="eastAsia" w:ascii="仿宋" w:hAnsi="黑体" w:eastAsia="仿宋"/>
          <w:sz w:val="32"/>
          <w:szCs w:val="32"/>
          <w:lang w:eastAsia="zh-CN"/>
        </w:rPr>
        <w:t>、</w:t>
      </w:r>
      <w:r>
        <w:rPr>
          <w:rFonts w:hint="eastAsia" w:ascii="仿宋" w:hAnsi="黑体" w:eastAsia="仿宋"/>
          <w:sz w:val="32"/>
          <w:szCs w:val="32"/>
        </w:rPr>
        <w:t>平安建设办公室</w:t>
      </w:r>
      <w:r>
        <w:rPr>
          <w:rFonts w:hint="eastAsia" w:ascii="仿宋" w:hAnsi="黑体" w:eastAsia="仿宋"/>
          <w:sz w:val="32"/>
          <w:szCs w:val="32"/>
          <w:lang w:eastAsia="zh-CN"/>
        </w:rPr>
        <w:t>、</w:t>
      </w:r>
      <w:r>
        <w:rPr>
          <w:rFonts w:hint="eastAsia" w:ascii="仿宋" w:hAnsi="黑体" w:eastAsia="仿宋"/>
          <w:sz w:val="32"/>
          <w:szCs w:val="32"/>
        </w:rPr>
        <w:t>城市管理办公室</w:t>
      </w:r>
      <w:r>
        <w:rPr>
          <w:rFonts w:hint="eastAsia" w:ascii="仿宋" w:hAnsi="黑体" w:eastAsia="仿宋"/>
          <w:sz w:val="32"/>
          <w:szCs w:val="32"/>
          <w:lang w:eastAsia="zh-CN"/>
        </w:rPr>
        <w:t>，</w:t>
      </w:r>
      <w:r>
        <w:rPr>
          <w:rFonts w:hint="eastAsia" w:ascii="仿宋" w:hAnsi="黑体" w:eastAsia="仿宋"/>
          <w:sz w:val="32"/>
          <w:szCs w:val="32"/>
        </w:rPr>
        <w:t>各机构主要职能职责如下：</w:t>
      </w:r>
    </w:p>
    <w:p w14:paraId="57423D2F">
      <w:pPr>
        <w:pStyle w:val="26"/>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ascii="仿宋" w:hAnsi="黑体" w:eastAsia="仿宋"/>
          <w:sz w:val="32"/>
          <w:szCs w:val="32"/>
        </w:rPr>
      </w:pPr>
      <w:r>
        <w:rPr>
          <w:rFonts w:hint="eastAsia" w:ascii="仿宋" w:hAnsi="黑体" w:eastAsia="仿宋"/>
          <w:sz w:val="32"/>
          <w:szCs w:val="32"/>
        </w:rPr>
        <w:t>1.党政综合办公室</w:t>
      </w:r>
    </w:p>
    <w:p w14:paraId="72B81097">
      <w:pPr>
        <w:pStyle w:val="26"/>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ascii="仿宋" w:hAnsi="黑体" w:eastAsia="仿宋"/>
          <w:sz w:val="32"/>
          <w:szCs w:val="32"/>
        </w:rPr>
      </w:pPr>
      <w:r>
        <w:rPr>
          <w:rFonts w:hint="eastAsia" w:ascii="仿宋" w:hAnsi="黑体" w:eastAsia="仿宋"/>
          <w:sz w:val="32"/>
          <w:szCs w:val="32"/>
        </w:rPr>
        <w:t>负责党委、政府的日常运转和综合协调工作；承担人大办公室工作；负责党委、政府决策的督促检查工作；负责人事和财政等工作。</w:t>
      </w:r>
    </w:p>
    <w:p w14:paraId="777D123C">
      <w:pPr>
        <w:pStyle w:val="26"/>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ascii="仿宋" w:hAnsi="黑体" w:eastAsia="仿宋"/>
          <w:sz w:val="32"/>
          <w:szCs w:val="32"/>
        </w:rPr>
      </w:pPr>
      <w:r>
        <w:rPr>
          <w:rFonts w:hint="eastAsia" w:ascii="仿宋" w:hAnsi="黑体" w:eastAsia="仿宋"/>
          <w:sz w:val="32"/>
          <w:szCs w:val="32"/>
        </w:rPr>
        <w:t>2.基层党的建设办公室</w:t>
      </w:r>
    </w:p>
    <w:p w14:paraId="3A49DD82">
      <w:pPr>
        <w:pStyle w:val="26"/>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ascii="仿宋" w:hAnsi="黑体" w:eastAsia="仿宋"/>
          <w:sz w:val="32"/>
          <w:szCs w:val="32"/>
        </w:rPr>
      </w:pPr>
      <w:r>
        <w:rPr>
          <w:rFonts w:hint="eastAsia" w:ascii="仿宋" w:hAnsi="黑体" w:eastAsia="仿宋"/>
          <w:sz w:val="32"/>
          <w:szCs w:val="32"/>
        </w:rPr>
        <w:t>负责基层党组织建设和群团工作；负责宣传、意识形态工作；负责党风廉政建设工作；负责统一战线、民族宗教等工作。</w:t>
      </w:r>
    </w:p>
    <w:p w14:paraId="3527F07F">
      <w:pPr>
        <w:pStyle w:val="26"/>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ascii="仿宋" w:hAnsi="黑体" w:eastAsia="仿宋"/>
          <w:sz w:val="32"/>
          <w:szCs w:val="32"/>
        </w:rPr>
      </w:pPr>
      <w:r>
        <w:rPr>
          <w:rFonts w:hint="eastAsia" w:ascii="仿宋" w:hAnsi="黑体" w:eastAsia="仿宋"/>
          <w:sz w:val="32"/>
          <w:szCs w:val="32"/>
        </w:rPr>
        <w:t>3.乡村振兴办公室</w:t>
      </w:r>
    </w:p>
    <w:p w14:paraId="0613E9D2">
      <w:pPr>
        <w:pStyle w:val="26"/>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ascii="仿宋" w:hAnsi="黑体" w:eastAsia="仿宋"/>
          <w:sz w:val="32"/>
          <w:szCs w:val="32"/>
        </w:rPr>
      </w:pPr>
      <w:r>
        <w:rPr>
          <w:rFonts w:hint="eastAsia" w:ascii="仿宋" w:hAnsi="黑体" w:eastAsia="仿宋"/>
          <w:sz w:val="32"/>
          <w:szCs w:val="32"/>
        </w:rPr>
        <w:t>负责乡村振兴战略有关政策措施的贯彻落实；负责扶贫开发工作；负责产业规划发展工作；负责美丽乡村建设工作；负责生态环境等工作。</w:t>
      </w:r>
    </w:p>
    <w:p w14:paraId="163F9125">
      <w:pPr>
        <w:pStyle w:val="26"/>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ascii="仿宋" w:hAnsi="黑体" w:eastAsia="仿宋"/>
          <w:sz w:val="32"/>
          <w:szCs w:val="32"/>
        </w:rPr>
      </w:pPr>
      <w:r>
        <w:rPr>
          <w:rFonts w:hint="eastAsia" w:ascii="仿宋" w:hAnsi="黑体" w:eastAsia="仿宋"/>
          <w:sz w:val="32"/>
          <w:szCs w:val="32"/>
        </w:rPr>
        <w:t>4.社会事务办公室</w:t>
      </w:r>
    </w:p>
    <w:p w14:paraId="7D2F915B">
      <w:pPr>
        <w:pStyle w:val="26"/>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ascii="仿宋" w:hAnsi="黑体" w:eastAsia="仿宋"/>
          <w:sz w:val="32"/>
          <w:szCs w:val="32"/>
        </w:rPr>
      </w:pPr>
      <w:r>
        <w:rPr>
          <w:rFonts w:hint="eastAsia" w:ascii="仿宋" w:hAnsi="黑体" w:eastAsia="仿宋"/>
          <w:sz w:val="32"/>
          <w:szCs w:val="32"/>
        </w:rPr>
        <w:t>负责民政、卫生、教育、科技、残联、统计、劳动就业、社会保障、计划生育、文化体育、社会团体等社会事务性工作。</w:t>
      </w:r>
    </w:p>
    <w:p w14:paraId="6938A273">
      <w:pPr>
        <w:pStyle w:val="26"/>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ascii="仿宋" w:hAnsi="黑体" w:eastAsia="仿宋"/>
          <w:sz w:val="32"/>
          <w:szCs w:val="32"/>
        </w:rPr>
      </w:pPr>
      <w:r>
        <w:rPr>
          <w:rFonts w:hint="eastAsia" w:ascii="仿宋" w:hAnsi="黑体" w:eastAsia="仿宋"/>
          <w:sz w:val="32"/>
          <w:szCs w:val="32"/>
        </w:rPr>
        <w:t>5.平安建设办公室</w:t>
      </w:r>
    </w:p>
    <w:p w14:paraId="5AA5E1A8">
      <w:pPr>
        <w:pStyle w:val="26"/>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ascii="仿宋" w:hAnsi="黑体" w:eastAsia="仿宋"/>
          <w:sz w:val="32"/>
          <w:szCs w:val="32"/>
        </w:rPr>
      </w:pPr>
      <w:r>
        <w:rPr>
          <w:rFonts w:hint="eastAsia" w:ascii="仿宋" w:hAnsi="黑体" w:eastAsia="仿宋"/>
          <w:sz w:val="32"/>
          <w:szCs w:val="32"/>
        </w:rPr>
        <w:t>负责应急管理、信访维稳和社会治安综合治理工作；负责推进法治政府建设工作；负责网格化工作。</w:t>
      </w:r>
    </w:p>
    <w:p w14:paraId="0E738C80">
      <w:pPr>
        <w:pStyle w:val="26"/>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ascii="仿宋" w:hAnsi="黑体" w:eastAsia="仿宋"/>
          <w:sz w:val="32"/>
          <w:szCs w:val="32"/>
        </w:rPr>
      </w:pPr>
      <w:r>
        <w:rPr>
          <w:rFonts w:hint="eastAsia" w:ascii="仿宋" w:hAnsi="黑体" w:eastAsia="仿宋"/>
          <w:sz w:val="32"/>
          <w:szCs w:val="32"/>
        </w:rPr>
        <w:t>6.城市管理办公室</w:t>
      </w:r>
    </w:p>
    <w:p w14:paraId="50F679BF">
      <w:pPr>
        <w:pStyle w:val="26"/>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ascii="仿宋" w:hAnsi="黑体" w:eastAsia="仿宋"/>
          <w:sz w:val="32"/>
          <w:szCs w:val="32"/>
        </w:rPr>
      </w:pPr>
      <w:r>
        <w:rPr>
          <w:rFonts w:hint="eastAsia" w:ascii="仿宋" w:hAnsi="黑体" w:eastAsia="仿宋"/>
          <w:sz w:val="32"/>
          <w:szCs w:val="32"/>
        </w:rPr>
        <w:t>负责辖区内市容市貌、环境卫生、小区物业、公共设施管理等工作；负责社区组织实施的建设工程的预算</w:t>
      </w:r>
      <w:r>
        <w:rPr>
          <w:rFonts w:hint="eastAsia" w:ascii="仿宋" w:hAnsi="黑体" w:eastAsia="仿宋"/>
          <w:sz w:val="32"/>
          <w:szCs w:val="32"/>
          <w:lang w:eastAsia="zh-CN"/>
        </w:rPr>
        <w:t>审核</w:t>
      </w:r>
      <w:r>
        <w:rPr>
          <w:rFonts w:hint="eastAsia" w:ascii="仿宋" w:hAnsi="黑体" w:eastAsia="仿宋"/>
          <w:sz w:val="32"/>
          <w:szCs w:val="32"/>
        </w:rPr>
        <w:t>、招投标等工作；负责辖区内防汛抗旱工作；综合协调公共卫生、动物防疫和文明城市、卫生城市创建等相关工作；协助做好辖区内的城镇建设规划、公共服务设施规划和辖区内工程项目竣工验收、小区规划验收等工作；协助开展市场监督、环境保护、老旧小区整治、保障性住房管理等工作。</w:t>
      </w:r>
    </w:p>
    <w:p w14:paraId="00D8D638">
      <w:pPr>
        <w:pStyle w:val="26"/>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ascii="仿宋" w:hAnsi="黑体" w:eastAsia="仿宋"/>
          <w:sz w:val="32"/>
          <w:szCs w:val="32"/>
        </w:rPr>
      </w:pPr>
      <w:r>
        <w:rPr>
          <w:rFonts w:hint="eastAsia" w:ascii="仿宋" w:hAnsi="黑体" w:eastAsia="仿宋"/>
          <w:sz w:val="32"/>
          <w:szCs w:val="32"/>
          <w:lang w:val="en-US" w:eastAsia="zh-CN"/>
        </w:rPr>
        <w:t>红庆河</w:t>
      </w:r>
      <w:r>
        <w:rPr>
          <w:rFonts w:hint="eastAsia" w:ascii="仿宋" w:hAnsi="黑体" w:eastAsia="仿宋"/>
          <w:sz w:val="32"/>
          <w:szCs w:val="32"/>
        </w:rPr>
        <w:t>镇</w:t>
      </w:r>
      <w:r>
        <w:rPr>
          <w:rFonts w:hint="eastAsia" w:ascii="仿宋" w:hAnsi="黑体" w:eastAsia="仿宋"/>
          <w:sz w:val="32"/>
          <w:szCs w:val="32"/>
          <w:lang w:val="en-US" w:eastAsia="zh-CN"/>
        </w:rPr>
        <w:t>政府</w:t>
      </w:r>
      <w:r>
        <w:rPr>
          <w:rFonts w:ascii="仿宋" w:hAnsi="黑体" w:eastAsia="仿宋"/>
          <w:sz w:val="32"/>
          <w:szCs w:val="32"/>
        </w:rPr>
        <w:t>设置相当于副科级</w:t>
      </w:r>
      <w:r>
        <w:rPr>
          <w:rFonts w:hint="eastAsia" w:ascii="仿宋" w:hAnsi="黑体" w:eastAsia="仿宋"/>
          <w:sz w:val="32"/>
          <w:szCs w:val="32"/>
        </w:rPr>
        <w:t>公益一类</w:t>
      </w:r>
      <w:r>
        <w:rPr>
          <w:rFonts w:ascii="仿宋" w:hAnsi="黑体" w:eastAsia="仿宋"/>
          <w:sz w:val="32"/>
          <w:szCs w:val="32"/>
        </w:rPr>
        <w:t>事业单位3个，分别为</w:t>
      </w:r>
      <w:r>
        <w:rPr>
          <w:rFonts w:hint="eastAsia" w:ascii="仿宋" w:hAnsi="黑体" w:eastAsia="仿宋"/>
          <w:sz w:val="32"/>
          <w:szCs w:val="32"/>
        </w:rPr>
        <w:t>：</w:t>
      </w:r>
      <w:r>
        <w:rPr>
          <w:rFonts w:ascii="仿宋" w:hAnsi="黑体" w:eastAsia="仿宋"/>
          <w:sz w:val="32"/>
          <w:szCs w:val="32"/>
        </w:rPr>
        <w:t>党群服务中心、综合行政执法局、综合保障和技术推广中心。</w:t>
      </w:r>
      <w:r>
        <w:rPr>
          <w:rFonts w:hint="eastAsia" w:ascii="仿宋" w:hAnsi="黑体" w:eastAsia="仿宋"/>
          <w:sz w:val="32"/>
          <w:szCs w:val="32"/>
        </w:rPr>
        <w:t>各单位主要</w:t>
      </w:r>
      <w:r>
        <w:rPr>
          <w:rFonts w:ascii="仿宋" w:hAnsi="黑体" w:eastAsia="仿宋"/>
          <w:sz w:val="32"/>
          <w:szCs w:val="32"/>
        </w:rPr>
        <w:t>职能职责如下</w:t>
      </w:r>
      <w:r>
        <w:rPr>
          <w:rFonts w:hint="eastAsia" w:ascii="仿宋" w:hAnsi="黑体" w:eastAsia="仿宋"/>
          <w:sz w:val="32"/>
          <w:szCs w:val="32"/>
          <w:lang w:eastAsia="zh-CN"/>
        </w:rPr>
        <w:t>：</w:t>
      </w:r>
    </w:p>
    <w:p w14:paraId="2F454700">
      <w:pPr>
        <w:pStyle w:val="26"/>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ascii="仿宋" w:hAnsi="黑体" w:eastAsia="仿宋"/>
          <w:sz w:val="32"/>
          <w:szCs w:val="32"/>
        </w:rPr>
      </w:pPr>
      <w:r>
        <w:rPr>
          <w:rFonts w:hint="eastAsia" w:ascii="仿宋" w:hAnsi="黑体" w:eastAsia="仿宋"/>
          <w:sz w:val="32"/>
          <w:szCs w:val="32"/>
          <w:lang w:val="en-US" w:eastAsia="zh-CN"/>
        </w:rPr>
        <w:t>1.</w:t>
      </w:r>
      <w:r>
        <w:rPr>
          <w:rFonts w:hint="eastAsia" w:ascii="仿宋" w:hAnsi="黑体" w:eastAsia="仿宋"/>
          <w:sz w:val="32"/>
          <w:szCs w:val="32"/>
        </w:rPr>
        <w:t>党群服务中心（挂便民服务中心、退役军人服务站、新时代文明实践所牌子）</w:t>
      </w:r>
    </w:p>
    <w:p w14:paraId="6228D831">
      <w:pPr>
        <w:pStyle w:val="26"/>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ascii="仿宋" w:hAnsi="黑体" w:eastAsia="仿宋"/>
          <w:sz w:val="32"/>
          <w:szCs w:val="32"/>
        </w:rPr>
      </w:pPr>
      <w:r>
        <w:rPr>
          <w:rFonts w:hint="eastAsia" w:ascii="仿宋" w:hAnsi="黑体" w:eastAsia="仿宋"/>
          <w:sz w:val="32"/>
          <w:szCs w:val="32"/>
        </w:rPr>
        <w:t>承担党员群众服务项目的设置、安排和调度工作，为党员和群众提供综合性服务；承担辖区内党员的联系、服务工作；承担党群服务各类活动场所的功能规划、管理和维护工作；提供综合便民审批服务工作；承担退役军人就业创业扶持、优抚帮扶、走访慰问、信访接待、权益保障等事务性工作；承担拥军优属等相关工作；统筹协调和组织实施镇新时代文明实践和志愿服务工作。</w:t>
      </w:r>
    </w:p>
    <w:p w14:paraId="553D0668">
      <w:pPr>
        <w:pStyle w:val="26"/>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ascii="仿宋" w:hAnsi="黑体" w:eastAsia="仿宋"/>
          <w:sz w:val="32"/>
          <w:szCs w:val="32"/>
        </w:rPr>
      </w:pPr>
      <w:r>
        <w:rPr>
          <w:rFonts w:hint="eastAsia" w:ascii="仿宋" w:hAnsi="黑体" w:eastAsia="仿宋"/>
          <w:sz w:val="32"/>
          <w:szCs w:val="32"/>
          <w:lang w:val="en-US" w:eastAsia="zh-CN"/>
        </w:rPr>
        <w:t>2.</w:t>
      </w:r>
      <w:r>
        <w:rPr>
          <w:rFonts w:hint="eastAsia" w:ascii="仿宋" w:hAnsi="黑体" w:eastAsia="仿宋"/>
          <w:sz w:val="32"/>
          <w:szCs w:val="32"/>
        </w:rPr>
        <w:t>综合行政执法局</w:t>
      </w:r>
    </w:p>
    <w:p w14:paraId="492FBC85">
      <w:pPr>
        <w:pStyle w:val="26"/>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ascii="仿宋" w:hAnsi="黑体" w:eastAsia="仿宋"/>
          <w:sz w:val="32"/>
          <w:szCs w:val="32"/>
        </w:rPr>
      </w:pPr>
      <w:r>
        <w:rPr>
          <w:rFonts w:hint="eastAsia" w:ascii="仿宋" w:hAnsi="黑体" w:eastAsia="仿宋"/>
          <w:sz w:val="32"/>
          <w:szCs w:val="32"/>
        </w:rPr>
        <w:t>受镇人民政府和旗有关部门委托，行使自治区人民政府赋予镇行使的行政执法权和旗有关部门委托镇行使的行政执法权。</w:t>
      </w:r>
    </w:p>
    <w:p w14:paraId="32605E75">
      <w:pPr>
        <w:pStyle w:val="26"/>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ascii="仿宋" w:hAnsi="黑体" w:eastAsia="仿宋"/>
          <w:sz w:val="32"/>
          <w:szCs w:val="32"/>
        </w:rPr>
      </w:pPr>
      <w:r>
        <w:rPr>
          <w:rFonts w:hint="eastAsia" w:ascii="仿宋" w:hAnsi="黑体" w:eastAsia="仿宋"/>
          <w:sz w:val="32"/>
          <w:szCs w:val="32"/>
          <w:lang w:val="en-US" w:eastAsia="zh-CN"/>
        </w:rPr>
        <w:t>3.</w:t>
      </w:r>
      <w:r>
        <w:rPr>
          <w:rFonts w:hint="eastAsia" w:ascii="仿宋" w:hAnsi="黑体" w:eastAsia="仿宋"/>
          <w:sz w:val="32"/>
          <w:szCs w:val="32"/>
        </w:rPr>
        <w:t>综合保障和技术推广中心</w:t>
      </w:r>
    </w:p>
    <w:p w14:paraId="661CAD09">
      <w:pPr>
        <w:pStyle w:val="26"/>
        <w:keepNext w:val="0"/>
        <w:keepLines w:val="0"/>
        <w:pageBreakBefore w:val="0"/>
        <w:widowControl w:val="0"/>
        <w:kinsoku/>
        <w:wordWrap/>
        <w:overflowPunct/>
        <w:topLinePunct w:val="0"/>
        <w:autoSpaceDE/>
        <w:autoSpaceDN/>
        <w:bidi w:val="0"/>
        <w:adjustRightInd w:val="0"/>
        <w:snapToGrid w:val="0"/>
        <w:spacing w:line="360" w:lineRule="auto"/>
        <w:ind w:firstLine="640"/>
        <w:textAlignment w:val="auto"/>
        <w:rPr>
          <w:rFonts w:ascii="仿宋" w:hAnsi="黑体" w:eastAsia="仿宋"/>
          <w:sz w:val="32"/>
          <w:szCs w:val="32"/>
        </w:rPr>
      </w:pPr>
      <w:r>
        <w:rPr>
          <w:rFonts w:hint="eastAsia" w:ascii="仿宋" w:hAnsi="黑体" w:eastAsia="仿宋"/>
          <w:sz w:val="32"/>
          <w:szCs w:val="32"/>
        </w:rPr>
        <w:t>承担农、林、牧、水等领域技术引进和推广工作；承担相关科技成果转化工作；为农牧民提供产业信息服务工作；承担专业技术培训、病虫害防治、动物防疫等工作。</w:t>
      </w:r>
    </w:p>
    <w:p w14:paraId="56B56FE8">
      <w:pPr>
        <w:pStyle w:val="26"/>
        <w:keepNext w:val="0"/>
        <w:keepLines w:val="0"/>
        <w:pageBreakBefore w:val="0"/>
        <w:kinsoku/>
        <w:wordWrap/>
        <w:overflowPunct/>
        <w:topLinePunct w:val="0"/>
        <w:autoSpaceDE/>
        <w:autoSpaceDN/>
        <w:bidi w:val="0"/>
        <w:adjustRightInd w:val="0"/>
        <w:snapToGrid w:val="0"/>
        <w:spacing w:line="360" w:lineRule="auto"/>
        <w:ind w:firstLine="640"/>
        <w:textAlignment w:val="auto"/>
        <w:outlineLvl w:val="0"/>
        <w:rPr>
          <w:rFonts w:hint="eastAsia" w:ascii="黑体" w:hAnsi="黑体" w:eastAsia="黑体" w:cstheme="minorBidi"/>
          <w:sz w:val="32"/>
          <w:szCs w:val="22"/>
        </w:rPr>
      </w:pPr>
      <w:bookmarkStart w:id="4" w:name="_Toc1442"/>
      <w:r>
        <w:rPr>
          <w:rFonts w:hint="eastAsia" w:ascii="黑体" w:hAnsi="黑体" w:eastAsia="黑体"/>
          <w:sz w:val="32"/>
        </w:rPr>
        <w:t>二、</w:t>
      </w:r>
      <w:bookmarkEnd w:id="4"/>
      <w:bookmarkStart w:id="5" w:name="_Toc30316"/>
      <w:r>
        <w:rPr>
          <w:rFonts w:hint="eastAsia" w:ascii="黑体" w:hAnsi="黑体" w:eastAsia="黑体"/>
          <w:sz w:val="32"/>
        </w:rPr>
        <w:t>绩效评价结论</w:t>
      </w:r>
      <w:bookmarkEnd w:id="5"/>
    </w:p>
    <w:p w14:paraId="6349CAF3">
      <w:pPr>
        <w:pStyle w:val="26"/>
        <w:adjustRightInd w:val="0"/>
        <w:snapToGrid w:val="0"/>
        <w:spacing w:line="360" w:lineRule="auto"/>
        <w:ind w:firstLine="640"/>
        <w:outlineLvl w:val="0"/>
        <w:rPr>
          <w:rFonts w:hint="eastAsia" w:ascii="仿宋" w:hAnsi="仿宋" w:eastAsia="仿宋" w:cs="仿宋"/>
          <w:color w:val="auto"/>
          <w:sz w:val="32"/>
          <w:szCs w:val="32"/>
          <w:highlight w:val="none"/>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年度，</w:t>
      </w:r>
      <w:r>
        <w:rPr>
          <w:rFonts w:hint="eastAsia" w:ascii="仿宋" w:hAnsi="仿宋" w:eastAsia="仿宋" w:cs="仿宋"/>
          <w:color w:val="auto"/>
          <w:sz w:val="32"/>
          <w:szCs w:val="32"/>
          <w:lang w:eastAsia="zh-CN"/>
        </w:rPr>
        <w:t>红庆河</w:t>
      </w:r>
      <w:r>
        <w:rPr>
          <w:rFonts w:hint="eastAsia" w:ascii="仿宋" w:hAnsi="仿宋" w:eastAsia="仿宋" w:cs="仿宋"/>
          <w:color w:val="auto"/>
          <w:sz w:val="32"/>
          <w:szCs w:val="32"/>
        </w:rPr>
        <w:t>镇政府税收收入质量、预算执行质量良好，各项管理制度基本健全。但评价发现，</w:t>
      </w:r>
      <w:r>
        <w:rPr>
          <w:rFonts w:hint="eastAsia" w:ascii="仿宋" w:hAnsi="仿宋" w:eastAsia="仿宋" w:cs="仿宋"/>
          <w:color w:val="auto"/>
          <w:sz w:val="32"/>
          <w:szCs w:val="32"/>
          <w:lang w:eastAsia="zh-CN"/>
        </w:rPr>
        <w:t>红庆河</w:t>
      </w:r>
      <w:r>
        <w:rPr>
          <w:rFonts w:hint="eastAsia" w:ascii="仿宋" w:hAnsi="仿宋" w:eastAsia="仿宋" w:cs="仿宋"/>
          <w:color w:val="auto"/>
          <w:sz w:val="32"/>
          <w:szCs w:val="32"/>
        </w:rPr>
        <w:t>镇财政运行还存在预算编制不够细化、会计基础工作以及</w:t>
      </w:r>
      <w:r>
        <w:rPr>
          <w:rFonts w:hint="eastAsia" w:ascii="仿宋" w:hAnsi="仿宋" w:eastAsia="仿宋" w:cs="仿宋"/>
          <w:color w:val="auto"/>
          <w:sz w:val="32"/>
          <w:szCs w:val="32"/>
          <w:lang w:val="en-US" w:eastAsia="zh-CN"/>
        </w:rPr>
        <w:t>制度执行有效</w:t>
      </w:r>
      <w:r>
        <w:rPr>
          <w:rFonts w:hint="eastAsia" w:ascii="仿宋" w:hAnsi="仿宋" w:eastAsia="仿宋" w:cs="仿宋"/>
          <w:color w:val="auto"/>
          <w:sz w:val="32"/>
          <w:szCs w:val="32"/>
        </w:rPr>
        <w:t>性有待提高、预算绩效管理</w:t>
      </w:r>
      <w:r>
        <w:rPr>
          <w:rFonts w:hint="eastAsia" w:ascii="仿宋" w:hAnsi="仿宋" w:eastAsia="仿宋" w:cs="仿宋"/>
          <w:color w:val="auto"/>
          <w:sz w:val="32"/>
          <w:szCs w:val="32"/>
          <w:highlight w:val="none"/>
        </w:rPr>
        <w:t>工作有待加强等问题。综合得分为</w:t>
      </w:r>
      <w:r>
        <w:rPr>
          <w:rFonts w:ascii="仿宋" w:hAnsi="仿宋" w:eastAsia="仿宋" w:cs="仿宋"/>
          <w:color w:val="auto"/>
          <w:sz w:val="32"/>
          <w:szCs w:val="32"/>
          <w:highlight w:val="none"/>
        </w:rPr>
        <w:t>8</w:t>
      </w:r>
      <w:r>
        <w:rPr>
          <w:rFonts w:hint="eastAsia" w:ascii="仿宋" w:hAnsi="仿宋" w:eastAsia="仿宋" w:cs="仿宋"/>
          <w:color w:val="auto"/>
          <w:sz w:val="32"/>
          <w:szCs w:val="32"/>
          <w:highlight w:val="none"/>
          <w:lang w:val="en-US" w:eastAsia="zh-CN"/>
        </w:rPr>
        <w:t>9</w:t>
      </w:r>
      <w:r>
        <w:rPr>
          <w:rFonts w:hint="eastAsia" w:ascii="仿宋" w:hAnsi="仿宋" w:eastAsia="仿宋" w:cs="仿宋"/>
          <w:color w:val="auto"/>
          <w:sz w:val="32"/>
          <w:szCs w:val="32"/>
          <w:highlight w:val="none"/>
        </w:rPr>
        <w:t>分，评价等级为“良”。</w:t>
      </w:r>
      <w:bookmarkStart w:id="6" w:name="_Toc19698"/>
    </w:p>
    <w:p w14:paraId="7D0EB692">
      <w:pPr>
        <w:pStyle w:val="26"/>
        <w:adjustRightInd w:val="0"/>
        <w:snapToGrid w:val="0"/>
        <w:spacing w:line="360" w:lineRule="auto"/>
        <w:ind w:firstLine="640"/>
        <w:outlineLvl w:val="0"/>
        <w:rPr>
          <w:rFonts w:hint="eastAsia" w:ascii="黑体" w:hAnsi="黑体" w:eastAsia="黑体"/>
          <w:sz w:val="32"/>
        </w:rPr>
      </w:pPr>
      <w:r>
        <w:rPr>
          <w:rFonts w:hint="eastAsia" w:ascii="黑体" w:hAnsi="黑体" w:eastAsia="黑体" w:cstheme="minorBidi"/>
          <w:kern w:val="2"/>
          <w:sz w:val="32"/>
          <w:szCs w:val="22"/>
          <w:lang w:val="en-US" w:eastAsia="zh-CN" w:bidi="ar-SA"/>
        </w:rPr>
        <w:t>三、</w:t>
      </w:r>
      <w:bookmarkEnd w:id="6"/>
      <w:bookmarkStart w:id="7" w:name="_Toc10612"/>
      <w:r>
        <w:rPr>
          <w:rFonts w:hint="eastAsia" w:ascii="黑体" w:hAnsi="黑体" w:eastAsia="黑体"/>
          <w:sz w:val="32"/>
        </w:rPr>
        <w:t>存在问题和建议</w:t>
      </w:r>
      <w:bookmarkEnd w:id="7"/>
    </w:p>
    <w:p w14:paraId="4105806D">
      <w:pPr>
        <w:pStyle w:val="26"/>
        <w:adjustRightInd w:val="0"/>
        <w:snapToGrid w:val="0"/>
        <w:spacing w:line="360" w:lineRule="auto"/>
        <w:ind w:left="420" w:leftChars="200" w:firstLine="0" w:firstLineChars="0"/>
        <w:outlineLvl w:val="1"/>
        <w:rPr>
          <w:rFonts w:hint="eastAsia" w:ascii="楷体" w:eastAsia="楷体" w:hAnsiTheme="minorHAnsi" w:cstheme="minorBidi"/>
          <w:kern w:val="2"/>
          <w:sz w:val="32"/>
          <w:szCs w:val="22"/>
          <w:lang w:val="en-US" w:eastAsia="zh-CN" w:bidi="ar-SA"/>
        </w:rPr>
      </w:pPr>
      <w:bookmarkStart w:id="8" w:name="_Toc12561"/>
      <w:r>
        <w:rPr>
          <w:rFonts w:hint="eastAsia" w:ascii="楷体" w:eastAsia="楷体" w:hAnsiTheme="minorHAnsi" w:cstheme="minorBidi"/>
          <w:kern w:val="2"/>
          <w:sz w:val="32"/>
          <w:szCs w:val="22"/>
          <w:lang w:val="en-US" w:eastAsia="zh-CN" w:bidi="ar-SA"/>
        </w:rPr>
        <w:t>（一）存在问题</w:t>
      </w:r>
      <w:bookmarkEnd w:id="8"/>
    </w:p>
    <w:p w14:paraId="5FFF5693">
      <w:pPr>
        <w:pStyle w:val="26"/>
        <w:adjustRightInd w:val="0"/>
        <w:snapToGrid w:val="0"/>
        <w:spacing w:line="360" w:lineRule="auto"/>
        <w:ind w:firstLine="640"/>
        <w:outlineLvl w:val="2"/>
        <w:rPr>
          <w:rFonts w:ascii="仿宋" w:hAnsi="仿宋" w:eastAsia="仿宋" w:cs="仿宋"/>
          <w:sz w:val="32"/>
          <w:szCs w:val="32"/>
        </w:rPr>
      </w:pPr>
      <w:r>
        <w:rPr>
          <w:rFonts w:hint="eastAsia" w:ascii="仿宋" w:hAnsi="仿宋" w:eastAsia="仿宋" w:cs="仿宋"/>
          <w:sz w:val="32"/>
          <w:szCs w:val="32"/>
        </w:rPr>
        <w:t>1.预算编制有待进一步细化</w:t>
      </w:r>
    </w:p>
    <w:p w14:paraId="6CAF7A2C">
      <w:pPr>
        <w:pStyle w:val="26"/>
        <w:adjustRightInd w:val="0"/>
        <w:snapToGrid w:val="0"/>
        <w:spacing w:line="360" w:lineRule="auto"/>
        <w:ind w:firstLine="640"/>
        <w:rPr>
          <w:rFonts w:hint="eastAsia" w:ascii="仿宋" w:hAnsi="仿宋" w:eastAsia="仿宋" w:cs="仿宋"/>
          <w:sz w:val="32"/>
          <w:szCs w:val="32"/>
        </w:rPr>
      </w:pPr>
      <w:r>
        <w:rPr>
          <w:rFonts w:hint="eastAsia" w:ascii="仿宋" w:hAnsi="仿宋" w:eastAsia="仿宋" w:cs="仿宋"/>
          <w:sz w:val="32"/>
          <w:szCs w:val="32"/>
        </w:rPr>
        <w:t>《红庆河镇2022年财政预算执行情况和2023年财政预算</w:t>
      </w:r>
      <w:r>
        <w:rPr>
          <w:rFonts w:hint="eastAsia" w:ascii="仿宋" w:hAnsi="仿宋" w:eastAsia="仿宋" w:cs="仿宋"/>
          <w:sz w:val="32"/>
          <w:szCs w:val="32"/>
          <w:lang w:eastAsia="zh-CN"/>
        </w:rPr>
        <w:t>（</w:t>
      </w:r>
      <w:r>
        <w:rPr>
          <w:rFonts w:hint="eastAsia" w:ascii="仿宋" w:hAnsi="仿宋" w:eastAsia="仿宋" w:cs="仿宋"/>
          <w:sz w:val="32"/>
          <w:szCs w:val="32"/>
        </w:rPr>
        <w:t>草案</w:t>
      </w:r>
      <w:r>
        <w:rPr>
          <w:rFonts w:hint="eastAsia" w:ascii="仿宋" w:hAnsi="仿宋" w:eastAsia="仿宋" w:cs="仿宋"/>
          <w:sz w:val="32"/>
          <w:szCs w:val="32"/>
          <w:lang w:eastAsia="zh-CN"/>
        </w:rPr>
        <w:t>）</w:t>
      </w:r>
      <w:r>
        <w:rPr>
          <w:rFonts w:hint="eastAsia" w:ascii="仿宋" w:hAnsi="仿宋" w:eastAsia="仿宋" w:cs="仿宋"/>
          <w:sz w:val="32"/>
          <w:szCs w:val="32"/>
        </w:rPr>
        <w:t>的报</w:t>
      </w:r>
      <w:r>
        <w:rPr>
          <w:rFonts w:hint="eastAsia" w:ascii="仿宋" w:hAnsi="仿宋" w:eastAsia="仿宋" w:cs="仿宋"/>
          <w:sz w:val="32"/>
          <w:szCs w:val="32"/>
          <w:lang w:val="en-US" w:eastAsia="zh-CN"/>
        </w:rPr>
        <w:t>告</w:t>
      </w:r>
      <w:r>
        <w:rPr>
          <w:rFonts w:hint="eastAsia" w:ascii="仿宋" w:hAnsi="仿宋" w:eastAsia="仿宋" w:cs="仿宋"/>
          <w:sz w:val="32"/>
          <w:szCs w:val="32"/>
        </w:rPr>
        <w:t>》</w:t>
      </w:r>
      <w:r>
        <w:rPr>
          <w:rFonts w:hint="eastAsia" w:ascii="仿宋" w:hAnsi="仿宋" w:eastAsia="仿宋" w:cs="仿宋"/>
          <w:sz w:val="32"/>
          <w:szCs w:val="32"/>
          <w:lang w:val="en-US" w:eastAsia="zh-CN"/>
        </w:rPr>
        <w:t>中有</w:t>
      </w:r>
      <w:r>
        <w:rPr>
          <w:rFonts w:hint="eastAsia" w:ascii="仿宋" w:hAnsi="仿宋" w:eastAsia="仿宋" w:cs="仿宋"/>
          <w:sz w:val="32"/>
          <w:szCs w:val="32"/>
        </w:rPr>
        <w:t>部分预算资金编制不够明确、细化、量化，比如春节亮化费用130</w:t>
      </w:r>
      <w:r>
        <w:rPr>
          <w:rFonts w:hint="eastAsia" w:ascii="仿宋" w:hAnsi="仿宋" w:eastAsia="仿宋" w:cs="仿宋"/>
          <w:sz w:val="32"/>
          <w:szCs w:val="32"/>
          <w:lang w:val="en-US" w:eastAsia="zh-CN"/>
        </w:rPr>
        <w:t>.00</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特殊群体救助资金100</w:t>
      </w:r>
      <w:r>
        <w:rPr>
          <w:rFonts w:hint="eastAsia" w:ascii="仿宋" w:hAnsi="仿宋" w:eastAsia="仿宋" w:cs="仿宋"/>
          <w:sz w:val="32"/>
          <w:szCs w:val="32"/>
          <w:lang w:val="en-US" w:eastAsia="zh-CN"/>
        </w:rPr>
        <w:t>.00</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农贸与机修服务园区项目360</w:t>
      </w:r>
      <w:r>
        <w:rPr>
          <w:rFonts w:hint="eastAsia" w:ascii="仿宋" w:hAnsi="仿宋" w:eastAsia="仿宋" w:cs="仿宋"/>
          <w:sz w:val="32"/>
          <w:szCs w:val="32"/>
          <w:lang w:val="en-US" w:eastAsia="zh-CN"/>
        </w:rPr>
        <w:t>.00</w:t>
      </w:r>
      <w:r>
        <w:rPr>
          <w:rFonts w:hint="eastAsia" w:ascii="仿宋" w:hAnsi="仿宋" w:eastAsia="仿宋" w:cs="仿宋"/>
          <w:sz w:val="32"/>
          <w:szCs w:val="32"/>
        </w:rPr>
        <w:t>万元</w:t>
      </w:r>
      <w:r>
        <w:rPr>
          <w:rFonts w:hint="eastAsia" w:ascii="仿宋" w:hAnsi="仿宋" w:eastAsia="仿宋" w:cs="仿宋"/>
          <w:sz w:val="32"/>
          <w:szCs w:val="32"/>
          <w:lang w:eastAsia="zh-CN"/>
        </w:rPr>
        <w:t>、人居环境整治费446.5</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万元</w:t>
      </w:r>
      <w:r>
        <w:rPr>
          <w:rFonts w:hint="eastAsia" w:ascii="仿宋" w:hAnsi="仿宋" w:eastAsia="仿宋" w:cs="仿宋"/>
          <w:sz w:val="32"/>
          <w:szCs w:val="32"/>
        </w:rPr>
        <w:t>等项目仅有预算资金总额，各分项支出金额不清晰，预算编制未体现资金测算过程</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上述项目</w:t>
      </w:r>
      <w:r>
        <w:rPr>
          <w:rFonts w:hint="eastAsia" w:ascii="仿宋" w:hAnsi="仿宋" w:eastAsia="仿宋" w:cs="仿宋"/>
          <w:sz w:val="32"/>
          <w:szCs w:val="32"/>
          <w:lang w:eastAsia="zh-CN"/>
        </w:rPr>
        <w:t>2023年预算执行</w:t>
      </w:r>
      <w:r>
        <w:rPr>
          <w:rFonts w:hint="eastAsia" w:ascii="仿宋" w:hAnsi="仿宋" w:eastAsia="仿宋" w:cs="仿宋"/>
          <w:sz w:val="32"/>
          <w:szCs w:val="32"/>
          <w:lang w:val="en-US" w:eastAsia="zh-CN"/>
        </w:rPr>
        <w:t>结果如下：</w:t>
      </w:r>
      <w:r>
        <w:rPr>
          <w:rFonts w:hint="eastAsia" w:ascii="仿宋" w:hAnsi="仿宋" w:eastAsia="仿宋" w:cs="仿宋"/>
          <w:sz w:val="32"/>
          <w:szCs w:val="32"/>
          <w:lang w:eastAsia="zh-CN"/>
        </w:rPr>
        <w:t>春节亮化费用</w:t>
      </w:r>
      <w:r>
        <w:rPr>
          <w:rFonts w:hint="eastAsia" w:ascii="仿宋" w:hAnsi="仿宋" w:eastAsia="仿宋" w:cs="仿宋"/>
          <w:sz w:val="32"/>
          <w:szCs w:val="32"/>
          <w:lang w:val="en-US" w:eastAsia="zh-CN"/>
        </w:rPr>
        <w:t>支出</w:t>
      </w:r>
      <w:r>
        <w:rPr>
          <w:rFonts w:hint="eastAsia" w:ascii="仿宋" w:hAnsi="仿宋" w:eastAsia="仿宋" w:cs="仿宋"/>
          <w:sz w:val="32"/>
          <w:szCs w:val="32"/>
          <w:lang w:eastAsia="zh-CN"/>
        </w:rPr>
        <w:t>145</w:t>
      </w:r>
      <w:r>
        <w:rPr>
          <w:rFonts w:hint="eastAsia" w:ascii="仿宋" w:hAnsi="仿宋" w:eastAsia="仿宋" w:cs="仿宋"/>
          <w:sz w:val="32"/>
          <w:szCs w:val="32"/>
          <w:lang w:val="en-US" w:eastAsia="zh-CN"/>
        </w:rPr>
        <w:t>.00</w:t>
      </w:r>
      <w:r>
        <w:rPr>
          <w:rFonts w:hint="eastAsia" w:ascii="仿宋" w:hAnsi="仿宋" w:eastAsia="仿宋" w:cs="仿宋"/>
          <w:sz w:val="32"/>
          <w:szCs w:val="32"/>
          <w:lang w:eastAsia="zh-CN"/>
        </w:rPr>
        <w:t>万元，特殊群体救助资金</w:t>
      </w:r>
      <w:r>
        <w:rPr>
          <w:rFonts w:hint="eastAsia" w:ascii="仿宋" w:hAnsi="仿宋" w:eastAsia="仿宋" w:cs="仿宋"/>
          <w:sz w:val="32"/>
          <w:szCs w:val="32"/>
          <w:lang w:val="en-US" w:eastAsia="zh-CN"/>
        </w:rPr>
        <w:t>支出</w:t>
      </w:r>
      <w:r>
        <w:rPr>
          <w:rFonts w:hint="eastAsia" w:ascii="仿宋" w:hAnsi="仿宋" w:eastAsia="仿宋" w:cs="仿宋"/>
          <w:sz w:val="32"/>
          <w:szCs w:val="32"/>
          <w:lang w:eastAsia="zh-CN"/>
        </w:rPr>
        <w:t>47</w:t>
      </w:r>
      <w:r>
        <w:rPr>
          <w:rFonts w:hint="eastAsia" w:ascii="仿宋" w:hAnsi="仿宋" w:eastAsia="仿宋" w:cs="仿宋"/>
          <w:sz w:val="32"/>
          <w:szCs w:val="32"/>
          <w:lang w:val="en-US" w:eastAsia="zh-CN"/>
        </w:rPr>
        <w:t>.00</w:t>
      </w:r>
      <w:r>
        <w:rPr>
          <w:rFonts w:hint="eastAsia" w:ascii="仿宋" w:hAnsi="仿宋" w:eastAsia="仿宋" w:cs="仿宋"/>
          <w:sz w:val="32"/>
          <w:szCs w:val="32"/>
          <w:lang w:eastAsia="zh-CN"/>
        </w:rPr>
        <w:t>万元，农贸与机修服务园区</w:t>
      </w:r>
      <w:r>
        <w:rPr>
          <w:rFonts w:hint="eastAsia" w:ascii="仿宋" w:hAnsi="仿宋" w:eastAsia="仿宋" w:cs="仿宋"/>
          <w:sz w:val="32"/>
          <w:szCs w:val="32"/>
          <w:lang w:val="en-US" w:eastAsia="zh-CN"/>
        </w:rPr>
        <w:t>项目支出</w:t>
      </w:r>
      <w:r>
        <w:rPr>
          <w:rFonts w:hint="eastAsia" w:ascii="仿宋" w:hAnsi="仿宋" w:eastAsia="仿宋" w:cs="仿宋"/>
          <w:sz w:val="32"/>
          <w:szCs w:val="32"/>
          <w:lang w:eastAsia="zh-CN"/>
        </w:rPr>
        <w:t>360</w:t>
      </w:r>
      <w:r>
        <w:rPr>
          <w:rFonts w:hint="eastAsia" w:ascii="仿宋" w:hAnsi="仿宋" w:eastAsia="仿宋" w:cs="仿宋"/>
          <w:sz w:val="32"/>
          <w:szCs w:val="32"/>
          <w:lang w:val="en-US" w:eastAsia="zh-CN"/>
        </w:rPr>
        <w:t>.00</w:t>
      </w:r>
      <w:r>
        <w:rPr>
          <w:rFonts w:hint="eastAsia" w:ascii="仿宋" w:hAnsi="仿宋" w:eastAsia="仿宋" w:cs="仿宋"/>
          <w:sz w:val="32"/>
          <w:szCs w:val="32"/>
          <w:lang w:eastAsia="zh-CN"/>
        </w:rPr>
        <w:t>万元，人居环境整治</w:t>
      </w:r>
      <w:r>
        <w:rPr>
          <w:rFonts w:hint="eastAsia" w:ascii="仿宋" w:hAnsi="仿宋" w:eastAsia="仿宋" w:cs="仿宋"/>
          <w:sz w:val="32"/>
          <w:szCs w:val="32"/>
          <w:lang w:val="en-US" w:eastAsia="zh-CN"/>
        </w:rPr>
        <w:t>费支出</w:t>
      </w:r>
      <w:r>
        <w:rPr>
          <w:rFonts w:hint="eastAsia" w:ascii="仿宋" w:hAnsi="仿宋" w:eastAsia="仿宋" w:cs="仿宋"/>
          <w:sz w:val="32"/>
          <w:szCs w:val="32"/>
          <w:lang w:eastAsia="zh-CN"/>
        </w:rPr>
        <w:t>523.98万元。</w:t>
      </w:r>
      <w:r>
        <w:rPr>
          <w:rFonts w:hint="eastAsia" w:ascii="仿宋" w:hAnsi="仿宋" w:eastAsia="仿宋" w:cs="仿宋"/>
          <w:sz w:val="32"/>
          <w:szCs w:val="32"/>
          <w:lang w:val="en-US" w:eastAsia="zh-CN"/>
        </w:rPr>
        <w:t>项目执行金额与预算编制金额差异较大，</w:t>
      </w:r>
      <w:r>
        <w:rPr>
          <w:rFonts w:hint="eastAsia" w:ascii="仿宋" w:hAnsi="仿宋" w:eastAsia="仿宋" w:cs="仿宋"/>
          <w:sz w:val="32"/>
          <w:szCs w:val="32"/>
        </w:rPr>
        <w:t>预算编制有待进一步细化。</w:t>
      </w:r>
    </w:p>
    <w:p w14:paraId="0D5F9C6C">
      <w:pPr>
        <w:pStyle w:val="26"/>
        <w:adjustRightInd w:val="0"/>
        <w:snapToGrid w:val="0"/>
        <w:spacing w:line="360" w:lineRule="auto"/>
        <w:ind w:firstLine="640"/>
        <w:outlineLvl w:val="2"/>
        <w:rPr>
          <w:rFonts w:ascii="仿宋" w:hAnsi="仿宋" w:eastAsia="仿宋" w:cs="仿宋"/>
          <w:sz w:val="32"/>
          <w:szCs w:val="32"/>
        </w:rPr>
      </w:pPr>
      <w:r>
        <w:rPr>
          <w:rFonts w:hint="eastAsia" w:ascii="仿宋" w:hAnsi="仿宋" w:eastAsia="仿宋" w:cs="仿宋"/>
          <w:sz w:val="32"/>
          <w:szCs w:val="32"/>
        </w:rPr>
        <w:t>2.会计基础工作以及</w:t>
      </w:r>
      <w:r>
        <w:rPr>
          <w:rFonts w:hint="eastAsia" w:ascii="仿宋" w:hAnsi="仿宋" w:eastAsia="仿宋" w:cs="仿宋"/>
          <w:sz w:val="32"/>
          <w:szCs w:val="32"/>
          <w:lang w:val="en-US" w:eastAsia="zh-CN"/>
        </w:rPr>
        <w:t>制度执行有效性</w:t>
      </w:r>
      <w:r>
        <w:rPr>
          <w:rFonts w:hint="eastAsia" w:ascii="仿宋" w:hAnsi="仿宋" w:eastAsia="仿宋" w:cs="仿宋"/>
          <w:sz w:val="32"/>
          <w:szCs w:val="32"/>
        </w:rPr>
        <w:t>有待加强</w:t>
      </w:r>
    </w:p>
    <w:p w14:paraId="608209DD">
      <w:pPr>
        <w:pStyle w:val="26"/>
        <w:adjustRightInd w:val="0"/>
        <w:snapToGrid w:val="0"/>
        <w:spacing w:line="360" w:lineRule="auto"/>
        <w:ind w:firstLine="640"/>
        <w:rPr>
          <w:rFonts w:ascii="仿宋" w:hAnsi="仿宋" w:eastAsia="仿宋" w:cs="仿宋"/>
          <w:sz w:val="32"/>
          <w:szCs w:val="32"/>
        </w:rPr>
      </w:pPr>
      <w:r>
        <w:rPr>
          <w:rFonts w:hint="eastAsia" w:ascii="仿宋" w:hAnsi="仿宋" w:eastAsia="仿宋" w:cs="仿宋"/>
          <w:color w:val="auto"/>
          <w:sz w:val="32"/>
          <w:szCs w:val="32"/>
          <w:lang w:val="en-US" w:eastAsia="zh-CN"/>
        </w:rPr>
        <w:t>红庆河镇政府2023年度会计凭证尚未装订整齐，会计基础工作到位性有待加强。另外，</w:t>
      </w:r>
      <w:r>
        <w:rPr>
          <w:rFonts w:hint="eastAsia" w:ascii="仿宋" w:hAnsi="仿宋" w:eastAsia="仿宋" w:cs="仿宋"/>
          <w:sz w:val="32"/>
          <w:szCs w:val="32"/>
          <w:lang w:val="en-US" w:eastAsia="zh-CN"/>
        </w:rPr>
        <w:t>通过抽查红庆河镇政府2023年度账目，发现会计账簿中存在部分问题，具体如下：部分项目未按照合同约定及时足额支付项目款项；合同约定要素不完整，存在甲方未盖章、未约定工期、未约定付款进度等问题；项目未在合同约定工期内完工，但未签订补充协议；合同工期约定逻辑错误，合同约定开工时间2023年，竣工时间2022年；付款审批单留有业务负责人和分管领导签字栏但未签字；原始凭证付款依据不充分，原始凭证未附发票、未附验收单等相关付款佐证；验收单未体现验收日期；验收单及工程现场签证单未有监理方盖章签字。上述问题均不符合相关制度规定，制度执行有效性</w:t>
      </w:r>
      <w:r>
        <w:rPr>
          <w:rFonts w:hint="eastAsia" w:ascii="仿宋" w:hAnsi="仿宋" w:eastAsia="仿宋" w:cs="仿宋"/>
          <w:sz w:val="32"/>
          <w:szCs w:val="32"/>
        </w:rPr>
        <w:t>有待加强</w:t>
      </w:r>
      <w:r>
        <w:rPr>
          <w:rFonts w:hint="eastAsia" w:ascii="仿宋" w:hAnsi="仿宋" w:eastAsia="仿宋" w:cs="仿宋"/>
          <w:sz w:val="32"/>
          <w:szCs w:val="32"/>
          <w:lang w:eastAsia="zh-CN"/>
        </w:rPr>
        <w:t>。</w:t>
      </w:r>
    </w:p>
    <w:p w14:paraId="393BC575">
      <w:pPr>
        <w:pStyle w:val="26"/>
        <w:adjustRightInd w:val="0"/>
        <w:snapToGrid w:val="0"/>
        <w:spacing w:line="360" w:lineRule="auto"/>
        <w:ind w:firstLine="640"/>
        <w:outlineLvl w:val="2"/>
        <w:rPr>
          <w:rFonts w:ascii="仿宋" w:hAnsi="仿宋" w:eastAsia="仿宋" w:cs="仿宋"/>
          <w:sz w:val="32"/>
          <w:szCs w:val="32"/>
        </w:rPr>
      </w:pPr>
      <w:r>
        <w:rPr>
          <w:rFonts w:hint="eastAsia" w:ascii="仿宋" w:hAnsi="仿宋" w:eastAsia="仿宋" w:cs="仿宋"/>
          <w:sz w:val="32"/>
          <w:szCs w:val="32"/>
        </w:rPr>
        <w:t>3.预算绩效</w:t>
      </w:r>
      <w:r>
        <w:rPr>
          <w:rFonts w:hint="eastAsia" w:ascii="仿宋" w:hAnsi="仿宋" w:eastAsia="仿宋" w:cs="仿宋"/>
          <w:sz w:val="32"/>
          <w:szCs w:val="32"/>
          <w:lang w:val="en-US" w:eastAsia="zh-CN"/>
        </w:rPr>
        <w:t>管理</w:t>
      </w:r>
      <w:r>
        <w:rPr>
          <w:rFonts w:hint="eastAsia" w:ascii="仿宋" w:hAnsi="仿宋" w:eastAsia="仿宋" w:cs="仿宋"/>
          <w:sz w:val="32"/>
          <w:szCs w:val="32"/>
        </w:rPr>
        <w:t>工作有待加强</w:t>
      </w:r>
    </w:p>
    <w:p w14:paraId="16E1108D">
      <w:pPr>
        <w:pStyle w:val="26"/>
        <w:adjustRightInd w:val="0"/>
        <w:snapToGrid w:val="0"/>
        <w:spacing w:line="360" w:lineRule="auto"/>
        <w:ind w:firstLine="64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首先</w:t>
      </w:r>
      <w:r>
        <w:rPr>
          <w:rFonts w:hint="eastAsia" w:ascii="仿宋" w:hAnsi="仿宋" w:eastAsia="仿宋" w:cs="仿宋"/>
          <w:sz w:val="32"/>
          <w:szCs w:val="32"/>
          <w:lang w:val="en-US" w:eastAsia="zh-CN"/>
        </w:rPr>
        <w:t>，绩效目标存在部分指标设定不完整、不合理的情况，根据查看《绩效目标申报表》发现存在以下问题：未设置时效指标，未体现项目时效性；数量指标及成本指标未细化、量化工作内容及所需支出成本；可持续影响指标目标值与三级指标不匹配；成本指标设置错误，将数量指标设置为成本指标；成本指标与绩效目标申报表中投入目标资金总额不匹配。综上，项目绩效指标设置科学合理性有待加强。</w:t>
      </w:r>
    </w:p>
    <w:p w14:paraId="21B196BF">
      <w:pPr>
        <w:pStyle w:val="26"/>
        <w:adjustRightInd w:val="0"/>
        <w:snapToGrid w:val="0"/>
        <w:spacing w:line="360" w:lineRule="auto"/>
        <w:ind w:firstLine="64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其次，</w:t>
      </w:r>
      <w:r>
        <w:rPr>
          <w:rFonts w:hint="eastAsia" w:ascii="仿宋" w:hAnsi="仿宋" w:eastAsia="仿宋" w:cs="仿宋"/>
          <w:sz w:val="32"/>
          <w:szCs w:val="32"/>
          <w:lang w:val="en-US" w:eastAsia="zh-CN"/>
        </w:rPr>
        <w:t>红庆河镇政府仅对17个项目开展了预算绩效监控工作，监控范围不全面。另外，评价工作组经查阅各个项目《财政支出绩效监控报告》及《项目监控表》发现，有部分项目存在1-7月阶段目标偏离但未就偏离原因展开分析。</w:t>
      </w:r>
    </w:p>
    <w:p w14:paraId="44CA28F9">
      <w:pPr>
        <w:pStyle w:val="26"/>
        <w:adjustRightInd w:val="0"/>
        <w:snapToGrid w:val="0"/>
        <w:spacing w:line="360" w:lineRule="auto"/>
        <w:ind w:firstLine="640"/>
        <w:jc w:val="center"/>
        <w:outlineLvl w:val="9"/>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再次</w:t>
      </w:r>
      <w:r>
        <w:rPr>
          <w:rFonts w:hint="eastAsia" w:ascii="仿宋" w:hAnsi="仿宋" w:eastAsia="仿宋" w:cs="仿宋"/>
          <w:sz w:val="32"/>
          <w:szCs w:val="32"/>
          <w:lang w:val="en-US" w:eastAsia="zh-CN"/>
        </w:rPr>
        <w:t>，评价工作组经查阅各个项目《绩效自评报告》及《项目支出绩效自评表》发现存在以下问题：</w:t>
      </w:r>
      <w:r>
        <w:rPr>
          <w:rFonts w:hint="eastAsia" w:ascii="仿宋" w:hAnsi="仿宋" w:eastAsia="仿宋" w:cs="仿宋"/>
          <w:b/>
          <w:bCs/>
          <w:sz w:val="32"/>
          <w:szCs w:val="32"/>
          <w:lang w:val="en-US" w:eastAsia="zh-CN"/>
        </w:rPr>
        <w:t>一是</w:t>
      </w:r>
      <w:r>
        <w:rPr>
          <w:rFonts w:hint="eastAsia" w:ascii="仿宋" w:hAnsi="仿宋" w:eastAsia="仿宋" w:cs="仿宋"/>
          <w:b w:val="0"/>
          <w:bCs w:val="0"/>
          <w:sz w:val="32"/>
          <w:szCs w:val="32"/>
          <w:lang w:val="en-US" w:eastAsia="zh-CN"/>
        </w:rPr>
        <w:t>报告中的项目基本情况简介均为项目</w:t>
      </w:r>
      <w:r>
        <w:rPr>
          <w:rFonts w:hint="eastAsia" w:ascii="仿宋" w:hAnsi="仿宋" w:eastAsia="仿宋" w:cs="仿宋"/>
          <w:sz w:val="32"/>
          <w:szCs w:val="32"/>
          <w:lang w:val="en-US" w:eastAsia="zh-CN"/>
        </w:rPr>
        <w:t>名称，未对项目实际实施内容展开叙述。</w:t>
      </w: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eastAsia="zh-CN"/>
        </w:rPr>
        <w:t>部分指标实际完成值与年度总体目标实际完成情况互相矛盾，未完成的指标未就“未完成原因”展开分析。综上所述，红庆河镇政府预算绩效管理工作质量有待提升。</w:t>
      </w:r>
    </w:p>
    <w:p w14:paraId="3410C3D9">
      <w:pPr>
        <w:pStyle w:val="26"/>
        <w:adjustRightInd w:val="0"/>
        <w:snapToGrid w:val="0"/>
        <w:spacing w:line="360" w:lineRule="auto"/>
        <w:ind w:left="0" w:leftChars="0" w:firstLine="640" w:firstLineChars="200"/>
        <w:outlineLvl w:val="1"/>
        <w:rPr>
          <w:rFonts w:hint="eastAsia" w:ascii="楷体" w:eastAsia="楷体" w:hAnsiTheme="minorHAnsi" w:cstheme="minorBidi"/>
          <w:kern w:val="2"/>
          <w:sz w:val="32"/>
          <w:szCs w:val="22"/>
          <w:lang w:val="en-US" w:eastAsia="zh-CN" w:bidi="ar-SA"/>
        </w:rPr>
      </w:pPr>
      <w:bookmarkStart w:id="9" w:name="_Toc25822"/>
      <w:r>
        <w:rPr>
          <w:rFonts w:hint="eastAsia" w:ascii="楷体" w:eastAsia="楷体" w:hAnsiTheme="minorHAnsi" w:cstheme="minorBidi"/>
          <w:kern w:val="2"/>
          <w:sz w:val="32"/>
          <w:szCs w:val="22"/>
          <w:lang w:val="en-US" w:eastAsia="zh-CN" w:bidi="ar-SA"/>
        </w:rPr>
        <w:t>（二）有关建议</w:t>
      </w:r>
      <w:bookmarkEnd w:id="9"/>
    </w:p>
    <w:p w14:paraId="1DD8E53C">
      <w:pPr>
        <w:pStyle w:val="26"/>
        <w:adjustRightInd w:val="0"/>
        <w:snapToGrid w:val="0"/>
        <w:spacing w:line="360" w:lineRule="auto"/>
        <w:ind w:firstLine="640"/>
        <w:outlineLvl w:val="2"/>
        <w:rPr>
          <w:rFonts w:ascii="仿宋" w:hAnsi="仿宋" w:eastAsia="仿宋" w:cs="仿宋"/>
          <w:sz w:val="32"/>
          <w:szCs w:val="32"/>
        </w:rPr>
      </w:pPr>
      <w:r>
        <w:rPr>
          <w:rFonts w:hint="eastAsia" w:ascii="仿宋" w:hAnsi="仿宋" w:eastAsia="仿宋" w:cs="仿宋"/>
          <w:sz w:val="32"/>
          <w:szCs w:val="32"/>
        </w:rPr>
        <w:t>1.细化预算编制，提升预算编报水平</w:t>
      </w:r>
    </w:p>
    <w:p w14:paraId="7A7F3865">
      <w:pPr>
        <w:pStyle w:val="15"/>
        <w:adjustRightInd w:val="0"/>
        <w:snapToGrid w:val="0"/>
        <w:spacing w:before="0" w:after="0" w:line="360" w:lineRule="auto"/>
        <w:ind w:firstLine="640" w:firstLineChars="200"/>
        <w:jc w:val="both"/>
        <w:outlineLvl w:val="9"/>
        <w:rPr>
          <w:rFonts w:ascii="仿宋" w:hAnsi="仿宋" w:eastAsia="仿宋" w:cs="仿宋"/>
          <w:b w:val="0"/>
          <w:bCs w:val="0"/>
          <w:kern w:val="0"/>
        </w:rPr>
      </w:pPr>
      <w:bookmarkStart w:id="10" w:name="_Toc3770"/>
      <w:bookmarkStart w:id="11" w:name="_Toc12165"/>
      <w:bookmarkStart w:id="12" w:name="_Toc5489"/>
      <w:bookmarkStart w:id="13" w:name="_Toc16692"/>
      <w:r>
        <w:rPr>
          <w:rFonts w:hint="eastAsia" w:ascii="仿宋" w:hAnsi="仿宋" w:eastAsia="仿宋" w:cs="仿宋"/>
          <w:b w:val="0"/>
          <w:bCs w:val="0"/>
          <w:kern w:val="0"/>
        </w:rPr>
        <w:t>科学、准确的预算编制可以避免财政资金使用无效、低效的问题。建议</w:t>
      </w:r>
      <w:r>
        <w:rPr>
          <w:rFonts w:hint="eastAsia" w:ascii="仿宋" w:hAnsi="仿宋" w:eastAsia="仿宋" w:cs="仿宋"/>
          <w:b w:val="0"/>
          <w:bCs w:val="0"/>
          <w:kern w:val="0"/>
          <w:lang w:eastAsia="zh-CN"/>
        </w:rPr>
        <w:t>红庆河</w:t>
      </w:r>
      <w:r>
        <w:rPr>
          <w:rFonts w:hint="eastAsia" w:ascii="仿宋" w:hAnsi="仿宋" w:eastAsia="仿宋" w:cs="仿宋"/>
          <w:b w:val="0"/>
          <w:bCs w:val="0"/>
          <w:kern w:val="0"/>
        </w:rPr>
        <w:t>镇政府在向旗财政局申请项目经费时，进一步细化预算额度测算过程，明确相应的测算依据，强化预算编制工作，使得申请资金额度有据可依。</w:t>
      </w:r>
      <w:bookmarkEnd w:id="10"/>
      <w:bookmarkEnd w:id="11"/>
      <w:bookmarkEnd w:id="12"/>
      <w:bookmarkEnd w:id="13"/>
    </w:p>
    <w:p w14:paraId="599E4019">
      <w:pPr>
        <w:pStyle w:val="26"/>
        <w:adjustRightInd w:val="0"/>
        <w:snapToGrid w:val="0"/>
        <w:spacing w:line="360" w:lineRule="auto"/>
        <w:ind w:firstLine="640"/>
        <w:outlineLvl w:val="2"/>
        <w:rPr>
          <w:rFonts w:ascii="仿宋" w:hAnsi="仿宋" w:eastAsia="仿宋" w:cs="仿宋"/>
          <w:sz w:val="32"/>
          <w:szCs w:val="32"/>
        </w:rPr>
      </w:pPr>
      <w:r>
        <w:rPr>
          <w:rFonts w:hint="eastAsia" w:ascii="仿宋" w:hAnsi="仿宋" w:eastAsia="仿宋" w:cs="仿宋"/>
          <w:sz w:val="32"/>
          <w:szCs w:val="32"/>
        </w:rPr>
        <w:t>2.强化会计基础工作，提升</w:t>
      </w:r>
      <w:r>
        <w:rPr>
          <w:rFonts w:hint="eastAsia" w:ascii="仿宋" w:hAnsi="仿宋" w:eastAsia="仿宋" w:cs="仿宋"/>
          <w:sz w:val="32"/>
          <w:szCs w:val="32"/>
          <w:lang w:val="en-US" w:eastAsia="zh-CN"/>
        </w:rPr>
        <w:t>制度执行</w:t>
      </w:r>
      <w:r>
        <w:rPr>
          <w:rFonts w:hint="eastAsia" w:ascii="仿宋" w:hAnsi="仿宋" w:eastAsia="仿宋" w:cs="仿宋"/>
          <w:sz w:val="32"/>
          <w:szCs w:val="32"/>
        </w:rPr>
        <w:t>的规范性</w:t>
      </w:r>
    </w:p>
    <w:p w14:paraId="7D93AF62">
      <w:pPr>
        <w:pStyle w:val="26"/>
        <w:adjustRightInd w:val="0"/>
        <w:snapToGrid w:val="0"/>
        <w:spacing w:line="360" w:lineRule="auto"/>
        <w:ind w:firstLine="640"/>
        <w:rPr>
          <w:rFonts w:hint="eastAsia" w:ascii="仿宋" w:hAnsi="仿宋" w:eastAsia="仿宋" w:cs="仿宋"/>
          <w:sz w:val="32"/>
          <w:szCs w:val="32"/>
          <w:lang w:eastAsia="zh-CN"/>
        </w:rPr>
      </w:pPr>
      <w:r>
        <w:rPr>
          <w:rFonts w:hint="eastAsia" w:ascii="仿宋" w:hAnsi="仿宋" w:eastAsia="仿宋" w:cs="仿宋"/>
          <w:sz w:val="32"/>
          <w:szCs w:val="32"/>
          <w:lang w:val="en-US" w:eastAsia="zh-CN"/>
        </w:rPr>
        <w:t>建议红庆河镇政府在会计年度终了前及时装订账目并归档保存，同时，加强基础性工作的合规性，</w:t>
      </w:r>
      <w:r>
        <w:rPr>
          <w:rFonts w:hint="eastAsia" w:ascii="仿宋" w:hAnsi="仿宋" w:eastAsia="仿宋" w:cs="仿宋"/>
          <w:sz w:val="32"/>
          <w:szCs w:val="32"/>
        </w:rPr>
        <w:t>原始凭证的填制和审核是会计核算的基础</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建议</w:t>
      </w:r>
      <w:r>
        <w:rPr>
          <w:rFonts w:hint="eastAsia" w:ascii="仿宋" w:hAnsi="仿宋" w:eastAsia="仿宋" w:cs="仿宋"/>
          <w:sz w:val="32"/>
          <w:szCs w:val="32"/>
          <w:lang w:eastAsia="zh-CN"/>
        </w:rPr>
        <w:t>红庆河</w:t>
      </w:r>
      <w:r>
        <w:rPr>
          <w:rFonts w:hint="eastAsia" w:ascii="仿宋" w:hAnsi="仿宋" w:eastAsia="仿宋" w:cs="仿宋"/>
          <w:sz w:val="32"/>
          <w:szCs w:val="32"/>
        </w:rPr>
        <w:t>镇政府进一步加强会计基础信息及报销票据、凭证等的审核力度，切实做到只有具备要素齐全、手续完备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合规</w:t>
      </w:r>
      <w:r>
        <w:rPr>
          <w:rFonts w:hint="eastAsia" w:ascii="仿宋" w:hAnsi="仿宋" w:eastAsia="仿宋" w:cs="仿宋"/>
          <w:sz w:val="32"/>
          <w:szCs w:val="32"/>
        </w:rPr>
        <w:t>的原始凭证才能作为付款、入账的依据</w:t>
      </w:r>
      <w:r>
        <w:rPr>
          <w:rFonts w:hint="eastAsia" w:ascii="仿宋" w:hAnsi="仿宋" w:eastAsia="仿宋" w:cs="仿宋"/>
          <w:sz w:val="32"/>
          <w:szCs w:val="32"/>
          <w:lang w:eastAsia="zh-CN"/>
        </w:rPr>
        <w:t>，</w:t>
      </w:r>
      <w:r>
        <w:rPr>
          <w:rFonts w:hint="eastAsia" w:ascii="仿宋" w:hAnsi="仿宋" w:eastAsia="仿宋" w:cs="仿宋"/>
          <w:sz w:val="32"/>
          <w:szCs w:val="32"/>
        </w:rPr>
        <w:t>同时严格按照合同约定付款进度支付资金，规范财政财务管理</w:t>
      </w:r>
      <w:r>
        <w:rPr>
          <w:rFonts w:hint="eastAsia" w:ascii="仿宋" w:hAnsi="仿宋" w:eastAsia="仿宋" w:cs="仿宋"/>
          <w:sz w:val="32"/>
          <w:szCs w:val="32"/>
          <w:lang w:eastAsia="zh-CN"/>
        </w:rPr>
        <w:t>。</w:t>
      </w:r>
    </w:p>
    <w:p w14:paraId="3E3397C4">
      <w:pPr>
        <w:pStyle w:val="26"/>
        <w:adjustRightInd w:val="0"/>
        <w:snapToGrid w:val="0"/>
        <w:spacing w:line="360" w:lineRule="auto"/>
        <w:ind w:firstLine="640"/>
        <w:outlineLvl w:val="2"/>
        <w:rPr>
          <w:rFonts w:ascii="仿宋" w:hAnsi="仿宋" w:eastAsia="仿宋" w:cs="仿宋"/>
          <w:sz w:val="32"/>
          <w:szCs w:val="32"/>
        </w:rPr>
      </w:pPr>
      <w:r>
        <w:rPr>
          <w:rFonts w:hint="eastAsia" w:ascii="仿宋" w:hAnsi="仿宋" w:eastAsia="仿宋" w:cs="仿宋"/>
          <w:sz w:val="32"/>
          <w:szCs w:val="32"/>
        </w:rPr>
        <w:t>3.加强预算绩效管理工作，提升</w:t>
      </w:r>
      <w:r>
        <w:rPr>
          <w:rFonts w:hint="eastAsia" w:ascii="仿宋" w:hAnsi="仿宋" w:eastAsia="仿宋" w:cs="仿宋"/>
          <w:sz w:val="32"/>
          <w:szCs w:val="32"/>
          <w:lang w:val="en-US" w:eastAsia="zh-CN"/>
        </w:rPr>
        <w:t>绩效全</w:t>
      </w:r>
      <w:r>
        <w:rPr>
          <w:rFonts w:hint="eastAsia" w:ascii="仿宋" w:hAnsi="仿宋" w:eastAsia="仿宋" w:cs="仿宋"/>
          <w:sz w:val="32"/>
          <w:szCs w:val="32"/>
        </w:rPr>
        <w:t>过程管理水平</w:t>
      </w:r>
    </w:p>
    <w:p w14:paraId="339AE313">
      <w:pPr>
        <w:pStyle w:val="26"/>
        <w:adjustRightInd w:val="0"/>
        <w:snapToGrid w:val="0"/>
        <w:spacing w:line="360" w:lineRule="auto"/>
        <w:ind w:firstLine="640"/>
        <w:rPr>
          <w:rFonts w:hint="eastAsia" w:ascii="仿宋" w:hAnsi="仿宋" w:eastAsia="仿宋" w:cs="仿宋"/>
          <w:sz w:val="32"/>
          <w:szCs w:val="32"/>
          <w:lang w:eastAsia="zh-CN"/>
        </w:rPr>
      </w:pPr>
      <w:r>
        <w:rPr>
          <w:rFonts w:hint="eastAsia" w:ascii="仿宋" w:hAnsi="仿宋" w:eastAsia="仿宋" w:cs="仿宋"/>
          <w:sz w:val="32"/>
          <w:szCs w:val="32"/>
        </w:rPr>
        <w:t>建议</w:t>
      </w:r>
      <w:r>
        <w:rPr>
          <w:rFonts w:hint="eastAsia" w:ascii="仿宋" w:hAnsi="仿宋" w:eastAsia="仿宋" w:cs="仿宋"/>
          <w:sz w:val="32"/>
          <w:szCs w:val="32"/>
          <w:lang w:eastAsia="zh-CN"/>
        </w:rPr>
        <w:t>红庆河</w:t>
      </w:r>
      <w:r>
        <w:rPr>
          <w:rFonts w:hint="eastAsia" w:ascii="仿宋" w:hAnsi="仿宋" w:eastAsia="仿宋" w:cs="仿宋"/>
          <w:sz w:val="32"/>
          <w:szCs w:val="32"/>
        </w:rPr>
        <w:t>镇政府</w:t>
      </w:r>
      <w:r>
        <w:rPr>
          <w:rFonts w:hint="eastAsia" w:ascii="仿宋" w:hAnsi="仿宋" w:eastAsia="仿宋" w:cs="仿宋"/>
          <w:b w:val="0"/>
          <w:bCs w:val="0"/>
          <w:sz w:val="32"/>
          <w:szCs w:val="32"/>
          <w:lang w:val="en-US" w:eastAsia="zh-CN"/>
        </w:rPr>
        <w:t>加强对绩效工作的认识与理解，编制项目绩效目标首先要预计项目所要达到的总体产出和效果，并以定量和定性指标相结合的方式进行表述，指标设置要遵循“指向明确、细化量化、合理可行、相应匹配”的编制要求。绩效监控要全覆盖，并且要对绩效目标实现程度及预算执行进度两方面实施“双监控”，发现偏离要分析原因并及时纠正，发挥绩效监控的作用。绩效自评要对全年的工作进行总结，全面梳理指标完成情况、资金支出情况、</w:t>
      </w:r>
      <w:r>
        <w:rPr>
          <w:rFonts w:hint="eastAsia" w:ascii="仿宋" w:hAnsi="仿宋" w:eastAsia="仿宋" w:cs="仿宋"/>
          <w:sz w:val="32"/>
          <w:szCs w:val="32"/>
        </w:rPr>
        <w:t>项目存在的问题，并针对问题</w:t>
      </w:r>
      <w:r>
        <w:rPr>
          <w:rFonts w:hint="eastAsia" w:ascii="仿宋" w:hAnsi="仿宋" w:eastAsia="仿宋" w:cs="仿宋"/>
          <w:sz w:val="32"/>
          <w:szCs w:val="32"/>
          <w:lang w:eastAsia="zh-CN"/>
        </w:rPr>
        <w:t>进行</w:t>
      </w:r>
      <w:r>
        <w:rPr>
          <w:rFonts w:hint="eastAsia" w:ascii="仿宋" w:hAnsi="仿宋" w:eastAsia="仿宋" w:cs="仿宋"/>
          <w:sz w:val="32"/>
          <w:szCs w:val="32"/>
          <w:lang w:val="en-US" w:eastAsia="zh-CN"/>
        </w:rPr>
        <w:t>原因分析</w:t>
      </w:r>
      <w:r>
        <w:rPr>
          <w:rFonts w:hint="eastAsia" w:ascii="仿宋" w:hAnsi="仿宋" w:eastAsia="仿宋" w:cs="仿宋"/>
          <w:sz w:val="32"/>
          <w:szCs w:val="32"/>
        </w:rPr>
        <w:t>，从而提升项目管理水平。</w:t>
      </w:r>
    </w:p>
    <w:sectPr>
      <w:headerReference r:id="rId3" w:type="default"/>
      <w:footerReference r:id="rId4" w:type="default"/>
      <w:pgSz w:w="11906" w:h="16838"/>
      <w:pgMar w:top="1440" w:right="1800" w:bottom="1440" w:left="1800" w:header="964"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4E570">
    <w:pPr>
      <w:pStyle w:val="9"/>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7BB9F">
    <w:pPr>
      <w:keepNext w:val="0"/>
      <w:keepLines w:val="0"/>
      <w:pageBreakBefore w:val="0"/>
      <w:widowControl/>
      <w:pBdr>
        <w:bottom w:val="none" w:color="auto" w:sz="0" w:space="0"/>
      </w:pBdr>
      <w:kinsoku/>
      <w:wordWrap/>
      <w:overflowPunct/>
      <w:topLinePunct w:val="0"/>
      <w:autoSpaceDE/>
      <w:autoSpaceDN/>
      <w:bidi w:val="0"/>
      <w:adjustRightInd w:val="0"/>
      <w:snapToGrid w:val="0"/>
      <w:spacing w:before="0" w:beforeLines="0" w:line="360" w:lineRule="auto"/>
      <w:jc w:val="both"/>
      <w:outlineLvl w:val="9"/>
      <w:rPr>
        <w:rFonts w:hint="default"/>
        <w:sz w:val="20"/>
        <w:szCs w:val="2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wNTIzNzM2YzNlMmFhZWM2Yzc3ZWFmMzIyZjM0N2YifQ=="/>
  </w:docVars>
  <w:rsids>
    <w:rsidRoot w:val="00060894"/>
    <w:rsid w:val="00044EF2"/>
    <w:rsid w:val="00060894"/>
    <w:rsid w:val="00134011"/>
    <w:rsid w:val="00164C26"/>
    <w:rsid w:val="001700B0"/>
    <w:rsid w:val="0028371C"/>
    <w:rsid w:val="002D1EE9"/>
    <w:rsid w:val="003501A8"/>
    <w:rsid w:val="0038307D"/>
    <w:rsid w:val="00450492"/>
    <w:rsid w:val="004A3B16"/>
    <w:rsid w:val="004E0F9F"/>
    <w:rsid w:val="00565378"/>
    <w:rsid w:val="005F72BD"/>
    <w:rsid w:val="00810C2E"/>
    <w:rsid w:val="00853F7E"/>
    <w:rsid w:val="0086142B"/>
    <w:rsid w:val="008E08FD"/>
    <w:rsid w:val="008E1AE7"/>
    <w:rsid w:val="00943D3E"/>
    <w:rsid w:val="00947E6C"/>
    <w:rsid w:val="00983CB3"/>
    <w:rsid w:val="009E163F"/>
    <w:rsid w:val="00A83AD0"/>
    <w:rsid w:val="00AB420E"/>
    <w:rsid w:val="00BB7BB1"/>
    <w:rsid w:val="00BC58A0"/>
    <w:rsid w:val="00C047DA"/>
    <w:rsid w:val="00C171A9"/>
    <w:rsid w:val="00C50B26"/>
    <w:rsid w:val="00C821AF"/>
    <w:rsid w:val="00CA52D3"/>
    <w:rsid w:val="00CC3DB3"/>
    <w:rsid w:val="00CF30A0"/>
    <w:rsid w:val="00D8405D"/>
    <w:rsid w:val="00D874B3"/>
    <w:rsid w:val="00DD4666"/>
    <w:rsid w:val="00DE4507"/>
    <w:rsid w:val="00DF4B9D"/>
    <w:rsid w:val="00E62C98"/>
    <w:rsid w:val="00EF1CB2"/>
    <w:rsid w:val="00F23FA9"/>
    <w:rsid w:val="01040F41"/>
    <w:rsid w:val="010C7CBB"/>
    <w:rsid w:val="01351FEB"/>
    <w:rsid w:val="01600BA9"/>
    <w:rsid w:val="01892DAF"/>
    <w:rsid w:val="01E054EB"/>
    <w:rsid w:val="0227136C"/>
    <w:rsid w:val="02D84414"/>
    <w:rsid w:val="034B4BE6"/>
    <w:rsid w:val="03A96769"/>
    <w:rsid w:val="03D83E3E"/>
    <w:rsid w:val="040F5703"/>
    <w:rsid w:val="041A0F6A"/>
    <w:rsid w:val="042E0790"/>
    <w:rsid w:val="044C330C"/>
    <w:rsid w:val="05760640"/>
    <w:rsid w:val="05C568CE"/>
    <w:rsid w:val="05CF0965"/>
    <w:rsid w:val="06B807E5"/>
    <w:rsid w:val="072A7934"/>
    <w:rsid w:val="07C1191B"/>
    <w:rsid w:val="0A026946"/>
    <w:rsid w:val="0A1655EE"/>
    <w:rsid w:val="0A850F86"/>
    <w:rsid w:val="0AB07F7E"/>
    <w:rsid w:val="0B1E1DFF"/>
    <w:rsid w:val="0BA80E28"/>
    <w:rsid w:val="0C9965E9"/>
    <w:rsid w:val="0C9C6CD1"/>
    <w:rsid w:val="0CB611F2"/>
    <w:rsid w:val="0D49488C"/>
    <w:rsid w:val="0DD8176C"/>
    <w:rsid w:val="0EC45B88"/>
    <w:rsid w:val="0EFB55C0"/>
    <w:rsid w:val="1010343F"/>
    <w:rsid w:val="10196089"/>
    <w:rsid w:val="101A606C"/>
    <w:rsid w:val="10473660"/>
    <w:rsid w:val="107A116A"/>
    <w:rsid w:val="108537EC"/>
    <w:rsid w:val="10F322E3"/>
    <w:rsid w:val="11CC50BA"/>
    <w:rsid w:val="11F12DFD"/>
    <w:rsid w:val="11FC3C7B"/>
    <w:rsid w:val="12B2581B"/>
    <w:rsid w:val="12EE4572"/>
    <w:rsid w:val="137D470B"/>
    <w:rsid w:val="137F44CD"/>
    <w:rsid w:val="13B337F3"/>
    <w:rsid w:val="149E1AF7"/>
    <w:rsid w:val="14E60C13"/>
    <w:rsid w:val="15496F89"/>
    <w:rsid w:val="154D5CEF"/>
    <w:rsid w:val="15AF27A8"/>
    <w:rsid w:val="15E55C96"/>
    <w:rsid w:val="161A6DC6"/>
    <w:rsid w:val="164E5AF5"/>
    <w:rsid w:val="16734728"/>
    <w:rsid w:val="168E50BE"/>
    <w:rsid w:val="17326391"/>
    <w:rsid w:val="17BB3326"/>
    <w:rsid w:val="17C66613"/>
    <w:rsid w:val="18F13B81"/>
    <w:rsid w:val="1A163D48"/>
    <w:rsid w:val="1B174993"/>
    <w:rsid w:val="1BB235FD"/>
    <w:rsid w:val="1C2A5889"/>
    <w:rsid w:val="1C4024B1"/>
    <w:rsid w:val="1CBF4223"/>
    <w:rsid w:val="1D3113D7"/>
    <w:rsid w:val="1DD93A8F"/>
    <w:rsid w:val="1E5D3CF4"/>
    <w:rsid w:val="1E8670B5"/>
    <w:rsid w:val="1EAA1412"/>
    <w:rsid w:val="1FD66E93"/>
    <w:rsid w:val="1FDE63BC"/>
    <w:rsid w:val="206961BA"/>
    <w:rsid w:val="21C345F0"/>
    <w:rsid w:val="2210243D"/>
    <w:rsid w:val="22582031"/>
    <w:rsid w:val="23AF5943"/>
    <w:rsid w:val="246833F2"/>
    <w:rsid w:val="25783B09"/>
    <w:rsid w:val="26132E03"/>
    <w:rsid w:val="261E020C"/>
    <w:rsid w:val="264F6618"/>
    <w:rsid w:val="26976211"/>
    <w:rsid w:val="278C389C"/>
    <w:rsid w:val="27E70AD2"/>
    <w:rsid w:val="28447DFE"/>
    <w:rsid w:val="2A9C7849"/>
    <w:rsid w:val="2C335F9B"/>
    <w:rsid w:val="2C4E2ECE"/>
    <w:rsid w:val="2C893FE1"/>
    <w:rsid w:val="2CB85598"/>
    <w:rsid w:val="2CD533F4"/>
    <w:rsid w:val="2CE104FB"/>
    <w:rsid w:val="2DE75388"/>
    <w:rsid w:val="2E0E0FCB"/>
    <w:rsid w:val="2E221B38"/>
    <w:rsid w:val="2E9A1974"/>
    <w:rsid w:val="2EF674DC"/>
    <w:rsid w:val="2F480F43"/>
    <w:rsid w:val="2FB7522E"/>
    <w:rsid w:val="300C2C77"/>
    <w:rsid w:val="30BB4086"/>
    <w:rsid w:val="30E87D95"/>
    <w:rsid w:val="315C7E3B"/>
    <w:rsid w:val="32167A71"/>
    <w:rsid w:val="32340DB8"/>
    <w:rsid w:val="32C207D3"/>
    <w:rsid w:val="33241CD2"/>
    <w:rsid w:val="336D03F8"/>
    <w:rsid w:val="35847960"/>
    <w:rsid w:val="35A63B03"/>
    <w:rsid w:val="36092D63"/>
    <w:rsid w:val="36272A2D"/>
    <w:rsid w:val="36A209E6"/>
    <w:rsid w:val="36A63211"/>
    <w:rsid w:val="373062AC"/>
    <w:rsid w:val="374E5F84"/>
    <w:rsid w:val="376901F5"/>
    <w:rsid w:val="38480FA6"/>
    <w:rsid w:val="38B73E49"/>
    <w:rsid w:val="38CC1D4A"/>
    <w:rsid w:val="39EB7DF7"/>
    <w:rsid w:val="3A296D28"/>
    <w:rsid w:val="3A9B5B91"/>
    <w:rsid w:val="3B0D66F5"/>
    <w:rsid w:val="3B286FE0"/>
    <w:rsid w:val="3C1063F2"/>
    <w:rsid w:val="3C1D1C82"/>
    <w:rsid w:val="3C386BE1"/>
    <w:rsid w:val="3D711112"/>
    <w:rsid w:val="3DD45DC6"/>
    <w:rsid w:val="3DE9412F"/>
    <w:rsid w:val="3E29379B"/>
    <w:rsid w:val="3FDE06C9"/>
    <w:rsid w:val="42716CE5"/>
    <w:rsid w:val="430345BA"/>
    <w:rsid w:val="431940CC"/>
    <w:rsid w:val="439711A6"/>
    <w:rsid w:val="45A915DF"/>
    <w:rsid w:val="4664709B"/>
    <w:rsid w:val="46704C18"/>
    <w:rsid w:val="47B01DA9"/>
    <w:rsid w:val="483376F0"/>
    <w:rsid w:val="48B16866"/>
    <w:rsid w:val="48CA30B9"/>
    <w:rsid w:val="4AA050F1"/>
    <w:rsid w:val="4AB964C5"/>
    <w:rsid w:val="4B6B71A0"/>
    <w:rsid w:val="4BD44D46"/>
    <w:rsid w:val="4C07336D"/>
    <w:rsid w:val="4C09454B"/>
    <w:rsid w:val="4CA53E7A"/>
    <w:rsid w:val="4D111FCA"/>
    <w:rsid w:val="4DDF79D2"/>
    <w:rsid w:val="4E0934EC"/>
    <w:rsid w:val="4F195165"/>
    <w:rsid w:val="51FE2BD5"/>
    <w:rsid w:val="52F818B5"/>
    <w:rsid w:val="53424A9F"/>
    <w:rsid w:val="537D3F15"/>
    <w:rsid w:val="53D1060E"/>
    <w:rsid w:val="53F1220D"/>
    <w:rsid w:val="55277E64"/>
    <w:rsid w:val="55CB4D5F"/>
    <w:rsid w:val="55FB2308"/>
    <w:rsid w:val="562543F0"/>
    <w:rsid w:val="567C04B4"/>
    <w:rsid w:val="56890E23"/>
    <w:rsid w:val="57711D03"/>
    <w:rsid w:val="579B3A95"/>
    <w:rsid w:val="57EC5E28"/>
    <w:rsid w:val="580C3AB9"/>
    <w:rsid w:val="581514F1"/>
    <w:rsid w:val="582A4316"/>
    <w:rsid w:val="587746BF"/>
    <w:rsid w:val="58AB1524"/>
    <w:rsid w:val="58EF340B"/>
    <w:rsid w:val="591E5852"/>
    <w:rsid w:val="59A400EA"/>
    <w:rsid w:val="59A84D7E"/>
    <w:rsid w:val="5BAF6C35"/>
    <w:rsid w:val="5D236322"/>
    <w:rsid w:val="5D9678FD"/>
    <w:rsid w:val="5DB82B31"/>
    <w:rsid w:val="5DE364EB"/>
    <w:rsid w:val="5F7C5325"/>
    <w:rsid w:val="5FBC14C5"/>
    <w:rsid w:val="60924FF0"/>
    <w:rsid w:val="615105C1"/>
    <w:rsid w:val="61AF0D51"/>
    <w:rsid w:val="61C16CCB"/>
    <w:rsid w:val="61CF5205"/>
    <w:rsid w:val="621E2D8C"/>
    <w:rsid w:val="626257AA"/>
    <w:rsid w:val="63325F47"/>
    <w:rsid w:val="636B3A7A"/>
    <w:rsid w:val="63823D89"/>
    <w:rsid w:val="63AB154D"/>
    <w:rsid w:val="63B1421C"/>
    <w:rsid w:val="650525D3"/>
    <w:rsid w:val="650D2C1F"/>
    <w:rsid w:val="651C2298"/>
    <w:rsid w:val="659155FE"/>
    <w:rsid w:val="65B0017A"/>
    <w:rsid w:val="65CD0D2C"/>
    <w:rsid w:val="66213CB4"/>
    <w:rsid w:val="663743F7"/>
    <w:rsid w:val="66596C69"/>
    <w:rsid w:val="671A71BF"/>
    <w:rsid w:val="6765192A"/>
    <w:rsid w:val="68732C4E"/>
    <w:rsid w:val="689738CD"/>
    <w:rsid w:val="69CB1130"/>
    <w:rsid w:val="69CE75F4"/>
    <w:rsid w:val="6AB87733"/>
    <w:rsid w:val="6B473E52"/>
    <w:rsid w:val="6B561F62"/>
    <w:rsid w:val="6C247665"/>
    <w:rsid w:val="6CAB169B"/>
    <w:rsid w:val="6CE64481"/>
    <w:rsid w:val="6D04397B"/>
    <w:rsid w:val="6D0639BE"/>
    <w:rsid w:val="6D906F57"/>
    <w:rsid w:val="6DA56B78"/>
    <w:rsid w:val="6DC77A76"/>
    <w:rsid w:val="6E2B4B5A"/>
    <w:rsid w:val="6EAB0655"/>
    <w:rsid w:val="6F4D4C8B"/>
    <w:rsid w:val="6FD24922"/>
    <w:rsid w:val="6FE4739E"/>
    <w:rsid w:val="6FF44F35"/>
    <w:rsid w:val="707E1687"/>
    <w:rsid w:val="708F6BDE"/>
    <w:rsid w:val="70AB21F9"/>
    <w:rsid w:val="70B6738E"/>
    <w:rsid w:val="71764AFD"/>
    <w:rsid w:val="71CD5283"/>
    <w:rsid w:val="71D7083C"/>
    <w:rsid w:val="71FC2A49"/>
    <w:rsid w:val="72530D00"/>
    <w:rsid w:val="7308330F"/>
    <w:rsid w:val="73554DE5"/>
    <w:rsid w:val="74275AAB"/>
    <w:rsid w:val="745A5E80"/>
    <w:rsid w:val="74967873"/>
    <w:rsid w:val="75713DE8"/>
    <w:rsid w:val="76DD68F5"/>
    <w:rsid w:val="78321AE3"/>
    <w:rsid w:val="784E27D9"/>
    <w:rsid w:val="786147DB"/>
    <w:rsid w:val="79360BC6"/>
    <w:rsid w:val="79550BDA"/>
    <w:rsid w:val="79856DD0"/>
    <w:rsid w:val="79EF4E67"/>
    <w:rsid w:val="7A5C5D83"/>
    <w:rsid w:val="7A6267C8"/>
    <w:rsid w:val="7B9337C9"/>
    <w:rsid w:val="7B963516"/>
    <w:rsid w:val="7BC003C8"/>
    <w:rsid w:val="7BE2182D"/>
    <w:rsid w:val="7BF00E78"/>
    <w:rsid w:val="7CC55E61"/>
    <w:rsid w:val="7ED47206"/>
    <w:rsid w:val="7F6C2F0C"/>
    <w:rsid w:val="7FD64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qFormat="1" w:uiPriority="99" w:name="footnote text"/>
    <w:lsdException w:qFormat="1" w:unhideWhenUsed="0" w:uiPriority="0" w:semiHidden="0"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6"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20">
    <w:name w:val="Default Paragraph Font"/>
    <w:autoRedefine/>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semiHidden/>
    <w:unhideWhenUsed/>
    <w:qFormat/>
    <w:uiPriority w:val="99"/>
    <w:pPr>
      <w:ind w:firstLine="420" w:firstLineChars="200"/>
    </w:pPr>
  </w:style>
  <w:style w:type="paragraph" w:styleId="6">
    <w:name w:val="annotation text"/>
    <w:basedOn w:val="1"/>
    <w:link w:val="32"/>
    <w:qFormat/>
    <w:uiPriority w:val="0"/>
    <w:pPr>
      <w:jc w:val="left"/>
    </w:pPr>
  </w:style>
  <w:style w:type="paragraph" w:styleId="7">
    <w:name w:val="Body Text"/>
    <w:basedOn w:val="1"/>
    <w:next w:val="1"/>
    <w:qFormat/>
    <w:uiPriority w:val="0"/>
    <w:pPr>
      <w:spacing w:after="120"/>
    </w:pPr>
    <w:rPr>
      <w:rFonts w:ascii="Calibri" w:hAnsi="Calibri" w:eastAsia="宋体" w:cs="Times New Roman"/>
    </w:rPr>
  </w:style>
  <w:style w:type="paragraph" w:styleId="8">
    <w:name w:val="Body Text Indent"/>
    <w:basedOn w:val="1"/>
    <w:unhideWhenUsed/>
    <w:qFormat/>
    <w:uiPriority w:val="99"/>
    <w:pPr>
      <w:spacing w:after="120"/>
      <w:ind w:left="420" w:leftChars="200"/>
    </w:pPr>
    <w:rPr>
      <w:rFonts w:ascii="Times New Roman" w:hAnsi="Times New Roman"/>
    </w:rPr>
  </w:style>
  <w:style w:type="paragraph" w:styleId="9">
    <w:name w:val="footer"/>
    <w:basedOn w:val="1"/>
    <w:semiHidden/>
    <w:unhideWhenUsed/>
    <w:qFormat/>
    <w:uiPriority w:val="99"/>
    <w:pPr>
      <w:tabs>
        <w:tab w:val="center" w:pos="4153"/>
        <w:tab w:val="right" w:pos="8306"/>
      </w:tabs>
      <w:snapToGrid w:val="0"/>
      <w:jc w:val="left"/>
    </w:pPr>
    <w:rPr>
      <w:sz w:val="18"/>
    </w:rPr>
  </w:style>
  <w:style w:type="paragraph" w:styleId="10">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semiHidden/>
    <w:unhideWhenUsed/>
    <w:qFormat/>
    <w:uiPriority w:val="39"/>
  </w:style>
  <w:style w:type="paragraph" w:styleId="12">
    <w:name w:val="footnote text"/>
    <w:basedOn w:val="1"/>
    <w:semiHidden/>
    <w:unhideWhenUsed/>
    <w:qFormat/>
    <w:uiPriority w:val="99"/>
    <w:pPr>
      <w:snapToGrid w:val="0"/>
      <w:jc w:val="left"/>
    </w:pPr>
    <w:rPr>
      <w:sz w:val="18"/>
    </w:rPr>
  </w:style>
  <w:style w:type="paragraph" w:styleId="13">
    <w:name w:val="toc 2"/>
    <w:basedOn w:val="1"/>
    <w:next w:val="1"/>
    <w:autoRedefine/>
    <w:unhideWhenUsed/>
    <w:qFormat/>
    <w:uiPriority w:val="39"/>
    <w:pPr>
      <w:ind w:left="420" w:leftChars="200"/>
    </w:pPr>
  </w:style>
  <w:style w:type="paragraph" w:styleId="14">
    <w:name w:val="Normal (Web)"/>
    <w:basedOn w:val="1"/>
    <w:semiHidden/>
    <w:unhideWhenUsed/>
    <w:qFormat/>
    <w:uiPriority w:val="99"/>
    <w:pPr>
      <w:spacing w:beforeAutospacing="1" w:afterAutospacing="1"/>
      <w:jc w:val="left"/>
    </w:pPr>
    <w:rPr>
      <w:rFonts w:cs="Times New Roman"/>
      <w:kern w:val="0"/>
      <w:sz w:val="24"/>
    </w:rPr>
  </w:style>
  <w:style w:type="paragraph" w:styleId="15">
    <w:name w:val="Title"/>
    <w:basedOn w:val="1"/>
    <w:next w:val="1"/>
    <w:autoRedefine/>
    <w:qFormat/>
    <w:uiPriority w:val="10"/>
    <w:pPr>
      <w:spacing w:before="240" w:after="60"/>
      <w:jc w:val="center"/>
      <w:outlineLvl w:val="0"/>
    </w:pPr>
    <w:rPr>
      <w:rFonts w:asciiTheme="majorHAnsi" w:hAnsiTheme="majorHAnsi" w:eastAsiaTheme="majorEastAsia" w:cstheme="majorBidi"/>
      <w:b/>
      <w:bCs/>
      <w:sz w:val="32"/>
      <w:szCs w:val="32"/>
    </w:rPr>
  </w:style>
  <w:style w:type="paragraph" w:styleId="16">
    <w:name w:val="annotation subject"/>
    <w:basedOn w:val="6"/>
    <w:next w:val="6"/>
    <w:link w:val="33"/>
    <w:semiHidden/>
    <w:unhideWhenUsed/>
    <w:qFormat/>
    <w:uiPriority w:val="99"/>
    <w:rPr>
      <w:b/>
      <w:bCs/>
    </w:rPr>
  </w:style>
  <w:style w:type="paragraph" w:styleId="17">
    <w:name w:val="Body Text First Indent 2"/>
    <w:basedOn w:val="8"/>
    <w:autoRedefine/>
    <w:qFormat/>
    <w:uiPriority w:val="6"/>
    <w:pPr>
      <w:ind w:firstLine="420"/>
    </w:pPr>
    <w:rPr>
      <w:rFonts w:cs="Times New Roman"/>
    </w:rPr>
  </w:style>
  <w:style w:type="table" w:styleId="19">
    <w:name w:val="Table Grid"/>
    <w:basedOn w:val="1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rPr>
  </w:style>
  <w:style w:type="character" w:styleId="22">
    <w:name w:val="FollowedHyperlink"/>
    <w:basedOn w:val="20"/>
    <w:semiHidden/>
    <w:unhideWhenUsed/>
    <w:qFormat/>
    <w:uiPriority w:val="99"/>
    <w:rPr>
      <w:color w:val="800080"/>
      <w:u w:val="single"/>
    </w:rPr>
  </w:style>
  <w:style w:type="character" w:styleId="23">
    <w:name w:val="Hyperlink"/>
    <w:basedOn w:val="20"/>
    <w:autoRedefine/>
    <w:semiHidden/>
    <w:unhideWhenUsed/>
    <w:qFormat/>
    <w:uiPriority w:val="99"/>
    <w:rPr>
      <w:color w:val="0000FF"/>
      <w:u w:val="single"/>
    </w:rPr>
  </w:style>
  <w:style w:type="character" w:styleId="24">
    <w:name w:val="annotation reference"/>
    <w:basedOn w:val="20"/>
    <w:autoRedefine/>
    <w:semiHidden/>
    <w:unhideWhenUsed/>
    <w:qFormat/>
    <w:uiPriority w:val="99"/>
    <w:rPr>
      <w:sz w:val="21"/>
      <w:szCs w:val="21"/>
    </w:rPr>
  </w:style>
  <w:style w:type="character" w:styleId="25">
    <w:name w:val="footnote reference"/>
    <w:basedOn w:val="20"/>
    <w:semiHidden/>
    <w:unhideWhenUsed/>
    <w:qFormat/>
    <w:uiPriority w:val="99"/>
    <w:rPr>
      <w:vertAlign w:val="superscript"/>
    </w:rPr>
  </w:style>
  <w:style w:type="paragraph" w:styleId="26">
    <w:name w:val="List Paragraph"/>
    <w:basedOn w:val="1"/>
    <w:autoRedefine/>
    <w:qFormat/>
    <w:uiPriority w:val="34"/>
    <w:pPr>
      <w:ind w:firstLine="420" w:firstLineChars="200"/>
    </w:pPr>
  </w:style>
  <w:style w:type="character" w:customStyle="1" w:styleId="27">
    <w:name w:val="font11"/>
    <w:basedOn w:val="20"/>
    <w:autoRedefine/>
    <w:qFormat/>
    <w:uiPriority w:val="0"/>
    <w:rPr>
      <w:rFonts w:hint="eastAsia" w:ascii="宋体" w:hAnsi="宋体" w:eastAsia="宋体" w:cs="宋体"/>
      <w:b/>
      <w:bCs/>
      <w:color w:val="000000"/>
      <w:sz w:val="21"/>
      <w:szCs w:val="21"/>
      <w:u w:val="none"/>
    </w:rPr>
  </w:style>
  <w:style w:type="character" w:customStyle="1" w:styleId="28">
    <w:name w:val="font31"/>
    <w:basedOn w:val="20"/>
    <w:autoRedefine/>
    <w:qFormat/>
    <w:uiPriority w:val="0"/>
    <w:rPr>
      <w:rFonts w:hint="eastAsia" w:ascii="宋体" w:hAnsi="宋体" w:eastAsia="宋体" w:cs="宋体"/>
      <w:color w:val="000000"/>
      <w:sz w:val="21"/>
      <w:szCs w:val="21"/>
      <w:u w:val="none"/>
    </w:rPr>
  </w:style>
  <w:style w:type="paragraph" w:customStyle="1" w:styleId="29">
    <w:name w:val="WPSOffice手动目录 1"/>
    <w:autoRedefine/>
    <w:qFormat/>
    <w:uiPriority w:val="0"/>
    <w:rPr>
      <w:rFonts w:ascii="Times New Roman" w:hAnsi="Times New Roman" w:eastAsia="宋体" w:cs="Times New Roman"/>
      <w:lang w:val="en-US" w:eastAsia="zh-CN" w:bidi="ar-SA"/>
    </w:rPr>
  </w:style>
  <w:style w:type="paragraph" w:customStyle="1" w:styleId="30">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31">
    <w:name w:val="修订1"/>
    <w:autoRedefine/>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32">
    <w:name w:val="批注文字 字符"/>
    <w:basedOn w:val="20"/>
    <w:link w:val="6"/>
    <w:autoRedefine/>
    <w:qFormat/>
    <w:uiPriority w:val="0"/>
    <w:rPr>
      <w:rFonts w:asciiTheme="minorHAnsi" w:hAnsiTheme="minorHAnsi" w:eastAsiaTheme="minorEastAsia" w:cstheme="minorBidi"/>
      <w:kern w:val="2"/>
      <w:sz w:val="21"/>
      <w:szCs w:val="22"/>
    </w:rPr>
  </w:style>
  <w:style w:type="character" w:customStyle="1" w:styleId="33">
    <w:name w:val="批注主题 字符"/>
    <w:basedOn w:val="32"/>
    <w:link w:val="16"/>
    <w:autoRedefine/>
    <w:semiHidden/>
    <w:qFormat/>
    <w:uiPriority w:val="99"/>
    <w:rPr>
      <w:rFonts w:asciiTheme="minorHAnsi" w:hAnsiTheme="minorHAnsi" w:eastAsiaTheme="minorEastAsia" w:cstheme="minorBidi"/>
      <w:b/>
      <w:bCs/>
      <w:kern w:val="2"/>
      <w:sz w:val="21"/>
      <w:szCs w:val="22"/>
    </w:rPr>
  </w:style>
  <w:style w:type="character" w:customStyle="1" w:styleId="34">
    <w:name w:val="font21"/>
    <w:basedOn w:val="20"/>
    <w:autoRedefine/>
    <w:qFormat/>
    <w:uiPriority w:val="0"/>
    <w:rPr>
      <w:rFonts w:hint="default" w:ascii="Times New Roman" w:hAnsi="Times New Roman" w:cs="Times New Roman"/>
      <w:color w:val="000000"/>
      <w:sz w:val="24"/>
      <w:szCs w:val="24"/>
      <w:u w:val="none"/>
    </w:rPr>
  </w:style>
  <w:style w:type="paragraph" w:customStyle="1" w:styleId="35">
    <w:name w:val="修订2"/>
    <w:autoRedefine/>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36">
    <w:name w:val="Revision"/>
    <w:autoRedefine/>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20252</Words>
  <Characters>22826</Characters>
  <Lines>141</Lines>
  <Paragraphs>39</Paragraphs>
  <TotalTime>13</TotalTime>
  <ScaleCrop>false</ScaleCrop>
  <LinksUpToDate>false</LinksUpToDate>
  <CharactersWithSpaces>23211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2023-09-06T00:59:00Z</dcterms:created>
  <dc:creator>jingliming@rccpa.com.cn</dc:creator>
  <cp:lastModifiedBy>杨勇</cp:lastModifiedBy>
  <cp:lastPrinted>2024-07-15T01:33:00Z</cp:lastPrinted>
  <dcterms:modified xsi:type="dcterms:W3CDTF">2024-08-21T11:37:47Z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FAE0BA3986DF4C3F8089CBBF241E9A8F_13</vt:lpwstr>
  </property>
</Properties>
</file>