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jc w:val="center"/>
        <w:rPr>
          <w:rFonts w:hint="eastAsia" w:ascii="楷体" w:hAnsi="楷体" w:eastAsia="楷体"/>
          <w:b/>
          <w:sz w:val="44"/>
          <w:szCs w:val="44"/>
          <w:lang w:bidi="ar"/>
        </w:rPr>
      </w:pPr>
    </w:p>
    <w:p>
      <w:pPr>
        <w:widowControl/>
        <w:spacing w:before="156" w:beforeLines="50" w:line="360" w:lineRule="auto"/>
        <w:rPr>
          <w:rFonts w:hint="eastAsia" w:ascii="楷体" w:hAnsi="楷体" w:eastAsia="楷体"/>
          <w:b/>
          <w:szCs w:val="21"/>
          <w:lang w:bidi="ar"/>
        </w:rPr>
      </w:pPr>
    </w:p>
    <w:p>
      <w:pPr>
        <w:widowControl/>
        <w:spacing w:before="156" w:beforeLines="50" w:line="360" w:lineRule="auto"/>
        <w:jc w:val="center"/>
        <w:rPr>
          <w:rFonts w:hint="eastAsia" w:ascii="楷体" w:hAnsi="楷体" w:eastAsia="楷体"/>
          <w:b/>
          <w:szCs w:val="21"/>
          <w:lang w:bidi="ar"/>
        </w:rPr>
      </w:pPr>
    </w:p>
    <w:p>
      <w:pPr>
        <w:widowControl/>
        <w:spacing w:before="156" w:beforeLines="50" w:line="360" w:lineRule="auto"/>
        <w:jc w:val="center"/>
        <w:rPr>
          <w:rFonts w:hint="eastAsia" w:ascii="楷体" w:hAnsi="楷体" w:eastAsia="楷体"/>
          <w:b/>
          <w:sz w:val="36"/>
          <w:szCs w:val="36"/>
          <w:lang w:bidi="ar"/>
        </w:rPr>
      </w:pPr>
      <w:bookmarkStart w:id="57" w:name="_GoBack"/>
      <w:r>
        <w:rPr>
          <w:rFonts w:hint="eastAsia" w:ascii="楷体" w:hAnsi="楷体" w:eastAsia="楷体"/>
          <w:b/>
          <w:sz w:val="36"/>
          <w:szCs w:val="36"/>
          <w:lang w:bidi="ar"/>
        </w:rPr>
        <w:t>鄂尔多斯蒙西正和国有资产运营集团有限公司</w:t>
      </w:r>
    </w:p>
    <w:p>
      <w:pPr>
        <w:widowControl/>
        <w:spacing w:before="156" w:beforeLines="50" w:line="360" w:lineRule="auto"/>
        <w:jc w:val="center"/>
        <w:rPr>
          <w:rFonts w:hint="eastAsia" w:ascii="楷体" w:hAnsi="楷体" w:eastAsia="楷体"/>
          <w:b/>
          <w:sz w:val="36"/>
          <w:szCs w:val="36"/>
          <w:lang w:val="zh-CN" w:bidi="ar"/>
        </w:rPr>
      </w:pPr>
      <w:r>
        <w:rPr>
          <w:rFonts w:hint="eastAsia" w:ascii="楷体" w:hAnsi="楷体" w:eastAsia="楷体"/>
          <w:b/>
          <w:sz w:val="36"/>
          <w:szCs w:val="36"/>
          <w:lang w:bidi="ar"/>
        </w:rPr>
        <w:t>财政预算资金</w:t>
      </w:r>
      <w:r>
        <w:rPr>
          <w:rFonts w:hint="eastAsia" w:ascii="楷体" w:hAnsi="楷体" w:eastAsia="楷体"/>
          <w:b/>
          <w:sz w:val="36"/>
          <w:szCs w:val="36"/>
          <w:lang w:val="zh-CN" w:bidi="ar"/>
        </w:rPr>
        <w:t>绩效评价报告</w:t>
      </w:r>
    </w:p>
    <w:bookmarkEnd w:id="57"/>
    <w:p>
      <w:pPr>
        <w:pStyle w:val="2"/>
        <w:ind w:firstLine="0" w:firstLineChars="0"/>
        <w:jc w:val="center"/>
        <w:rPr>
          <w:rFonts w:hint="eastAsia" w:ascii="黑体" w:hAnsi="宋体" w:eastAsia="黑体"/>
          <w:bCs/>
          <w:sz w:val="48"/>
          <w:szCs w:val="48"/>
          <w:lang w:val="zh-CN" w:bidi="ar"/>
        </w:rPr>
      </w:pPr>
    </w:p>
    <w:p>
      <w:pPr>
        <w:pStyle w:val="2"/>
        <w:ind w:firstLine="0" w:firstLineChars="0"/>
        <w:jc w:val="center"/>
        <w:rPr>
          <w:rFonts w:hint="eastAsia" w:ascii="黑体" w:hAnsi="宋体" w:eastAsia="黑体"/>
          <w:bCs/>
          <w:sz w:val="48"/>
          <w:szCs w:val="48"/>
          <w:lang w:val="zh-CN" w:bidi="ar"/>
        </w:rPr>
      </w:pPr>
    </w:p>
    <w:p>
      <w:pPr>
        <w:pStyle w:val="2"/>
        <w:ind w:firstLine="1446"/>
        <w:rPr>
          <w:rFonts w:hint="eastAsia" w:ascii="黑体" w:hAnsi="宋体" w:eastAsia="黑体"/>
          <w:b/>
          <w:sz w:val="72"/>
          <w:szCs w:val="72"/>
          <w:lang w:val="zh-CN" w:bidi="ar"/>
        </w:rPr>
      </w:pPr>
    </w:p>
    <w:p>
      <w:pPr>
        <w:pStyle w:val="3"/>
        <w:rPr>
          <w:rFonts w:hint="eastAsia" w:ascii="黑体" w:hAnsi="宋体" w:eastAsia="黑体"/>
          <w:b/>
          <w:sz w:val="72"/>
          <w:szCs w:val="72"/>
          <w:lang w:val="zh-CN" w:bidi="ar"/>
        </w:rPr>
      </w:pPr>
    </w:p>
    <w:p>
      <w:pPr>
        <w:rPr>
          <w:rFonts w:hint="eastAsia" w:ascii="黑体" w:hAnsi="宋体" w:eastAsia="黑体"/>
          <w:b/>
          <w:sz w:val="72"/>
          <w:szCs w:val="72"/>
          <w:lang w:val="zh-CN" w:bidi="ar"/>
        </w:rPr>
      </w:pPr>
    </w:p>
    <w:p>
      <w:pPr>
        <w:pStyle w:val="3"/>
        <w:ind w:left="0"/>
        <w:rPr>
          <w:rFonts w:hint="eastAsia" w:ascii="黑体" w:hAnsi="宋体" w:eastAsia="黑体"/>
          <w:b/>
          <w:sz w:val="72"/>
          <w:szCs w:val="72"/>
          <w:lang w:val="zh-CN" w:bidi="ar"/>
        </w:rPr>
      </w:pPr>
    </w:p>
    <w:p>
      <w:pPr>
        <w:rPr>
          <w:rFonts w:hint="eastAsia" w:ascii="黑体" w:hAnsi="宋体" w:eastAsia="黑体"/>
          <w:b/>
          <w:sz w:val="72"/>
          <w:szCs w:val="72"/>
          <w:lang w:val="zh-CN" w:bidi="ar"/>
        </w:rPr>
      </w:pPr>
    </w:p>
    <w:p>
      <w:pPr>
        <w:pStyle w:val="2"/>
        <w:rPr>
          <w:rFonts w:hint="eastAsia"/>
          <w:lang w:val="zh-CN"/>
        </w:rPr>
      </w:pPr>
    </w:p>
    <w:p>
      <w:pPr>
        <w:spacing w:line="600" w:lineRule="exact"/>
        <w:jc w:val="center"/>
        <w:rPr>
          <w:rFonts w:ascii="楷体" w:hAnsi="楷体" w:eastAsia="楷体"/>
          <w:b/>
          <w:sz w:val="44"/>
          <w:szCs w:val="44"/>
        </w:rPr>
      </w:pPr>
      <w:r>
        <w:rPr>
          <w:rFonts w:hint="eastAsia" w:ascii="楷体" w:hAnsi="楷体" w:eastAsia="楷体"/>
          <w:b/>
          <w:sz w:val="44"/>
          <w:szCs w:val="44"/>
          <w:lang w:bidi="ar"/>
        </w:rPr>
        <w:t>内蒙古东衡政同咨询管理有限公司</w:t>
      </w:r>
    </w:p>
    <w:p>
      <w:pPr>
        <w:widowControl/>
        <w:spacing w:before="156" w:beforeLines="50" w:after="156" w:afterLines="50" w:line="360" w:lineRule="auto"/>
        <w:rPr>
          <w:rFonts w:ascii="黑体" w:hAnsi="宋体" w:eastAsia="黑体" w:cs="仿宋"/>
          <w:b/>
          <w:sz w:val="32"/>
          <w:szCs w:val="32"/>
        </w:rPr>
      </w:pPr>
    </w:p>
    <w:p>
      <w:pPr>
        <w:spacing w:line="600" w:lineRule="exact"/>
        <w:jc w:val="center"/>
        <w:rPr>
          <w:rFonts w:hint="eastAsia" w:ascii="仿宋" w:hAnsi="仿宋" w:eastAsia="仿宋" w:cs="仿宋"/>
          <w:bCs/>
          <w:caps/>
          <w:sz w:val="30"/>
          <w:szCs w:val="30"/>
        </w:rPr>
        <w:sectPr>
          <w:headerReference r:id="rId3" w:type="default"/>
          <w:pgSz w:w="11906" w:h="16838"/>
          <w:pgMar w:top="1440" w:right="1800" w:bottom="1440" w:left="1800" w:header="851" w:footer="992" w:gutter="0"/>
          <w:pgNumType w:start="1"/>
          <w:cols w:space="720" w:num="1"/>
          <w:docGrid w:type="lines" w:linePitch="312" w:charSpace="0"/>
        </w:sectPr>
      </w:pPr>
      <w:bookmarkStart w:id="0" w:name="_Toc42518858"/>
    </w:p>
    <w:p>
      <w:pPr>
        <w:adjustRightInd w:val="0"/>
        <w:snapToGrid w:val="0"/>
        <w:spacing w:line="360" w:lineRule="auto"/>
        <w:jc w:val="center"/>
        <w:rPr>
          <w:rFonts w:hint="eastAsia" w:ascii="楷体" w:hAnsi="楷体" w:eastAsia="楷体"/>
          <w:b/>
          <w:sz w:val="36"/>
          <w:szCs w:val="36"/>
          <w:lang w:val="zh-CN" w:bidi="ar"/>
        </w:rPr>
      </w:pPr>
      <w:r>
        <w:rPr>
          <w:rFonts w:hint="eastAsia" w:ascii="仿宋_GB2312" w:hAnsi="仿宋_GB2312" w:eastAsia="仿宋_GB2312" w:cs="仿宋_GB2312"/>
          <w:b/>
          <w:sz w:val="32"/>
          <w:szCs w:val="32"/>
          <w:lang w:bidi="ar"/>
        </w:rPr>
        <w:t>财政预算资金</w:t>
      </w:r>
      <w:r>
        <w:rPr>
          <w:rFonts w:hint="eastAsia" w:ascii="仿宋_GB2312" w:hAnsi="仿宋_GB2312" w:eastAsia="仿宋_GB2312" w:cs="仿宋_GB2312"/>
          <w:b/>
          <w:sz w:val="32"/>
          <w:szCs w:val="32"/>
          <w:lang w:val="zh-CN" w:bidi="ar"/>
        </w:rPr>
        <w:t>绩效评价报告</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为提高国有企业经营管理水平，发挥绩效评价工作的全面评判、管理诊断和行为引导作用，根据《中央企业综合绩效评价管理暂行办法》《内蒙古自治区本级国有资本经营预算支出管理办法》《鄂尔多斯市本级国有资本经营预算支出管理暂行办法》《伊金霍洛旗人民政府办公室关于印发全面实施预算绩效管理意见的通知》《伊金霍洛旗国有企业领导人员经营业绩考核办法》《伊金霍洛旗绩效评价税收服务中心关于开展财政预算资金绩效评价工作的通知》等相关规定，内蒙古东衡政同咨询管理有限公司接受委托，成立绩效评价工作组，于2023年2月1日至2023年</w:t>
      </w:r>
      <w:r>
        <w:rPr>
          <w:rFonts w:hint="eastAsia" w:ascii="仿宋" w:hAnsi="仿宋" w:eastAsia="仿宋" w:cs="仿宋"/>
          <w:bCs/>
          <w:caps/>
          <w:sz w:val="30"/>
          <w:szCs w:val="30"/>
          <w:lang w:val="en-US" w:eastAsia="zh-CN"/>
        </w:rPr>
        <w:t>8</w:t>
      </w:r>
      <w:r>
        <w:rPr>
          <w:rFonts w:hint="eastAsia" w:ascii="仿宋" w:hAnsi="仿宋" w:eastAsia="仿宋" w:cs="仿宋"/>
          <w:bCs/>
          <w:caps/>
          <w:sz w:val="30"/>
          <w:szCs w:val="30"/>
        </w:rPr>
        <w:t>月31日，对鄂尔多斯蒙西正和国有资产运营集团有限公司(以下简称“蒙西正和集团”)2021年-2022年</w:t>
      </w:r>
      <w:r>
        <w:rPr>
          <w:rFonts w:hint="eastAsia" w:ascii="仿宋" w:hAnsi="仿宋" w:eastAsia="仿宋" w:cs="仿宋"/>
          <w:bCs/>
          <w:caps/>
          <w:sz w:val="30"/>
          <w:szCs w:val="30"/>
          <w:lang w:val="en-US" w:eastAsia="zh-CN"/>
        </w:rPr>
        <w:t>国有企业</w:t>
      </w:r>
      <w:r>
        <w:rPr>
          <w:rFonts w:hint="eastAsia" w:ascii="仿宋" w:hAnsi="仿宋" w:eastAsia="仿宋" w:cs="仿宋"/>
          <w:bCs/>
          <w:caps/>
          <w:sz w:val="30"/>
          <w:szCs w:val="30"/>
        </w:rPr>
        <w:t>财政预算资金，包括东台铁路项目、向远景红杉碳中和基金出资、乌阿线道路两侧绿化项目、红庆河镇地产食品加工园区项目及农贸与机修服务区项目进行了绩效评价。</w:t>
      </w:r>
    </w:p>
    <w:p>
      <w:pPr>
        <w:pStyle w:val="4"/>
        <w:adjustRightInd w:val="0"/>
        <w:snapToGrid w:val="0"/>
        <w:spacing w:before="0" w:after="0" w:line="360" w:lineRule="auto"/>
        <w:ind w:firstLine="600" w:firstLineChars="200"/>
        <w:rPr>
          <w:rFonts w:eastAsia="黑体"/>
          <w:b w:val="0"/>
          <w:sz w:val="30"/>
          <w:szCs w:val="30"/>
        </w:rPr>
      </w:pPr>
      <w:bookmarkStart w:id="1" w:name="_Toc13099"/>
      <w:r>
        <w:rPr>
          <w:rFonts w:eastAsia="黑体"/>
          <w:b w:val="0"/>
          <w:sz w:val="30"/>
          <w:szCs w:val="30"/>
        </w:rPr>
        <w:t>一、基本情况</w:t>
      </w:r>
      <w:bookmarkEnd w:id="0"/>
      <w:bookmarkEnd w:id="1"/>
    </w:p>
    <w:p>
      <w:pPr>
        <w:adjustRightInd w:val="0"/>
        <w:snapToGrid w:val="0"/>
        <w:spacing w:line="360" w:lineRule="auto"/>
        <w:ind w:firstLine="602" w:firstLineChars="200"/>
        <w:outlineLvl w:val="1"/>
        <w:rPr>
          <w:rFonts w:hint="eastAsia" w:ascii="楷体" w:hAnsi="楷体" w:eastAsia="楷体" w:cs="Arial"/>
          <w:b/>
          <w:kern w:val="0"/>
          <w:sz w:val="30"/>
          <w:szCs w:val="30"/>
        </w:rPr>
      </w:pPr>
      <w:bookmarkStart w:id="2" w:name="_Toc24445954"/>
      <w:bookmarkStart w:id="3" w:name="_Toc42518859"/>
      <w:bookmarkStart w:id="4" w:name="_Toc7077"/>
      <w:r>
        <w:rPr>
          <w:rFonts w:hint="eastAsia" w:ascii="楷体" w:hAnsi="楷体" w:eastAsia="楷体" w:cs="Arial"/>
          <w:b/>
          <w:kern w:val="0"/>
          <w:sz w:val="30"/>
          <w:szCs w:val="30"/>
        </w:rPr>
        <w:t>（一）</w:t>
      </w:r>
      <w:bookmarkEnd w:id="2"/>
      <w:bookmarkEnd w:id="3"/>
      <w:bookmarkStart w:id="5" w:name="_Toc518984420"/>
      <w:bookmarkStart w:id="6" w:name="_Toc24445955"/>
      <w:bookmarkStart w:id="7" w:name="_Toc42518860"/>
      <w:r>
        <w:rPr>
          <w:rFonts w:hint="eastAsia" w:ascii="楷体" w:hAnsi="楷体" w:eastAsia="楷体" w:cs="Arial"/>
          <w:b/>
          <w:kern w:val="0"/>
          <w:sz w:val="30"/>
          <w:szCs w:val="30"/>
        </w:rPr>
        <w:t>企业基本情况</w:t>
      </w:r>
      <w:bookmarkEnd w:id="4"/>
    </w:p>
    <w:p>
      <w:pPr>
        <w:adjustRightInd w:val="0"/>
        <w:snapToGrid w:val="0"/>
        <w:spacing w:line="360" w:lineRule="auto"/>
        <w:ind w:firstLine="602" w:firstLineChars="200"/>
        <w:outlineLvl w:val="2"/>
        <w:rPr>
          <w:rFonts w:hint="eastAsia" w:ascii="仿宋" w:hAnsi="仿宋" w:eastAsia="仿宋" w:cs="仿宋"/>
          <w:bCs/>
          <w:caps/>
          <w:sz w:val="30"/>
          <w:szCs w:val="30"/>
        </w:rPr>
      </w:pPr>
      <w:bookmarkStart w:id="8" w:name="_Toc18151"/>
      <w:bookmarkStart w:id="9" w:name="_Toc7795"/>
      <w:r>
        <w:rPr>
          <w:rFonts w:ascii="仿宋" w:hAnsi="仿宋" w:eastAsia="仿宋" w:cs="仿宋"/>
          <w:b/>
          <w:caps/>
          <w:sz w:val="30"/>
          <w:szCs w:val="30"/>
        </w:rPr>
        <w:t>1.</w:t>
      </w:r>
      <w:r>
        <w:rPr>
          <w:rFonts w:hint="eastAsia" w:ascii="仿宋" w:hAnsi="仿宋" w:eastAsia="仿宋" w:cs="仿宋"/>
          <w:b/>
          <w:caps/>
          <w:sz w:val="30"/>
          <w:szCs w:val="30"/>
        </w:rPr>
        <w:t>企业概况</w:t>
      </w:r>
      <w:bookmarkEnd w:id="8"/>
      <w:bookmarkEnd w:id="9"/>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蒙西正和集团成立于2019年4月4日，注册资本为人民币十亿元。集团公司是由伊金霍洛旗国有资产监督管理委员会出资设立的永久存续的国有独资公司，作为战略性国有资本投资、运营平台，落实旗国资委确定的战略目标和要求，服务国家能源革命等有关战略，在旗国资委授权范围内开展国有资本市场化运作，促进实现以生态优先、绿色发展为导向的高质量发展。公司以基础设施投资，包括铁路、公路、园区、集装站点、终端储配基地、市政、电力的基础设施投资和管理；新能源产业投资；创新投资；生态投资；煤炭资源开发运营；产能运营管理等为主业开展运营。</w:t>
      </w:r>
    </w:p>
    <w:p>
      <w:pPr>
        <w:adjustRightInd w:val="0"/>
        <w:snapToGrid w:val="0"/>
        <w:spacing w:line="360" w:lineRule="auto"/>
        <w:ind w:firstLine="602" w:firstLineChars="200"/>
        <w:outlineLvl w:val="2"/>
        <w:rPr>
          <w:rFonts w:hint="eastAsia" w:ascii="仿宋" w:hAnsi="仿宋" w:eastAsia="仿宋" w:cs="仿宋"/>
          <w:bCs/>
          <w:caps/>
          <w:sz w:val="30"/>
          <w:szCs w:val="30"/>
        </w:rPr>
      </w:pPr>
      <w:bookmarkStart w:id="10" w:name="_Toc6212"/>
      <w:bookmarkStart w:id="11" w:name="_Toc20316"/>
      <w:r>
        <w:rPr>
          <w:rFonts w:ascii="仿宋" w:hAnsi="仿宋" w:eastAsia="仿宋" w:cs="仿宋"/>
          <w:b/>
          <w:caps/>
          <w:sz w:val="30"/>
          <w:szCs w:val="30"/>
        </w:rPr>
        <w:t>2.</w:t>
      </w:r>
      <w:r>
        <w:rPr>
          <w:rFonts w:hint="eastAsia" w:ascii="仿宋" w:hAnsi="仿宋" w:eastAsia="仿宋" w:cs="仿宋"/>
          <w:b/>
          <w:caps/>
          <w:sz w:val="30"/>
          <w:szCs w:val="30"/>
        </w:rPr>
        <w:t>企业机构设置</w:t>
      </w:r>
      <w:bookmarkEnd w:id="10"/>
      <w:bookmarkEnd w:id="11"/>
    </w:p>
    <w:p>
      <w:pPr>
        <w:adjustRightInd w:val="0"/>
        <w:snapToGrid w:val="0"/>
        <w:spacing w:line="360" w:lineRule="auto"/>
        <w:ind w:firstLine="602" w:firstLineChars="200"/>
        <w:rPr>
          <w:rFonts w:hint="eastAsia" w:ascii="仿宋" w:hAnsi="仿宋" w:eastAsia="仿宋" w:cs="仿宋"/>
          <w:bCs/>
          <w:caps/>
          <w:sz w:val="30"/>
          <w:szCs w:val="30"/>
        </w:rPr>
      </w:pPr>
      <w:r>
        <w:rPr>
          <w:rFonts w:hint="eastAsia" w:ascii="仿宋" w:hAnsi="仿宋" w:eastAsia="仿宋" w:cs="仿宋"/>
          <w:b/>
          <w:caps/>
          <w:sz w:val="30"/>
          <w:szCs w:val="30"/>
        </w:rPr>
        <w:t>一是内设机构。</w:t>
      </w:r>
      <w:r>
        <w:rPr>
          <w:rFonts w:hint="eastAsia" w:ascii="仿宋" w:hAnsi="仿宋" w:eastAsia="仿宋" w:cs="仿宋"/>
          <w:bCs/>
          <w:caps/>
          <w:sz w:val="30"/>
          <w:szCs w:val="30"/>
        </w:rPr>
        <w:t>蒙西正和集团下设党务工作部、行政综合部、人力资源部、财务管理部、监察审计部、安全工程部等部门。</w:t>
      </w:r>
      <w:r>
        <w:rPr>
          <w:rFonts w:hint="eastAsia" w:ascii="仿宋" w:hAnsi="仿宋" w:eastAsia="仿宋" w:cs="仿宋"/>
          <w:b/>
          <w:caps/>
          <w:sz w:val="30"/>
          <w:szCs w:val="30"/>
        </w:rPr>
        <w:t>二是下属子公司设立情况。</w:t>
      </w:r>
      <w:r>
        <w:rPr>
          <w:rFonts w:hint="eastAsia" w:ascii="仿宋" w:hAnsi="仿宋" w:eastAsia="仿宋" w:cs="仿宋"/>
          <w:bCs/>
          <w:caps/>
          <w:sz w:val="30"/>
          <w:szCs w:val="30"/>
        </w:rPr>
        <w:t>蒙西正和集团现有二级全资子公司10家，分别为：鄂尔多斯市和洋能源经销有限责任公司（以下简称“和洋能源公司”）、伊金霍洛旗正宇实业有限公司（以下简称“正宇实业公司”）、伊金霍洛旗国有资产营运有限责任公司（以下简称“国有资产营运公司”）、鄂尔多斯市圣圆实业有限责任公司（以下简称“圣圆实业公司”）、鄂尔多斯市圣圆纳林陶亥实业有限责任公司（以下简称“圣圆纳林陶亥实业公司”）、内蒙古宏焱工贸有限责任公司（以下简称“宏焱工贸公司”）、伊金霍洛旗天骄呼和满德禄资产控股有限责任公司（以下简称“天骄呼和满德禄资产控股公司”）、鄂尔多斯市圣圆乌兰木伦实业有限责任公司（以下简称“圣圆乌兰木伦实业公司”）、伊金霍洛旗中腾智慧社区运营有限责任公司（以下简称“中腾智慧社区运营公司”）、内蒙古繁荣商贸有限公司（以下简称“繁荣商贸公司”）。下设子公司情况见表1。</w:t>
      </w:r>
      <w:r>
        <w:rPr>
          <w:rFonts w:hint="eastAsia" w:ascii="仿宋" w:hAnsi="仿宋" w:eastAsia="仿宋" w:cs="仿宋"/>
          <w:b/>
          <w:caps/>
          <w:sz w:val="30"/>
          <w:szCs w:val="30"/>
        </w:rPr>
        <w:t>三是人员构成。</w:t>
      </w:r>
      <w:r>
        <w:rPr>
          <w:rFonts w:hint="eastAsia" w:ascii="仿宋" w:hAnsi="仿宋" w:eastAsia="仿宋" w:cs="仿宋"/>
          <w:bCs/>
          <w:caps/>
          <w:sz w:val="30"/>
          <w:szCs w:val="30"/>
        </w:rPr>
        <w:t>蒙西正和集团现有干部职工共计1036人。</w:t>
      </w:r>
    </w:p>
    <w:p>
      <w:pPr>
        <w:widowControl/>
        <w:adjustRightInd w:val="0"/>
        <w:snapToGrid w:val="0"/>
        <w:spacing w:line="360" w:lineRule="auto"/>
        <w:jc w:val="center"/>
        <w:rPr>
          <w:rFonts w:eastAsia="黑体"/>
          <w:sz w:val="24"/>
        </w:rPr>
      </w:pPr>
      <w:r>
        <w:rPr>
          <w:rFonts w:hint="eastAsia" w:ascii="黑体" w:hAnsi="黑体" w:eastAsia="黑体" w:cs="黑体"/>
          <w:sz w:val="24"/>
        </w:rPr>
        <w:t>表1 蒙西正和集团二级全资子公司情况表</w:t>
      </w:r>
    </w:p>
    <w:tbl>
      <w:tblPr>
        <w:tblStyle w:val="20"/>
        <w:tblW w:w="53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838"/>
        <w:gridCol w:w="1335"/>
        <w:gridCol w:w="1103"/>
        <w:gridCol w:w="885"/>
        <w:gridCol w:w="1065"/>
        <w:gridCol w:w="159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blHeader/>
          <w:jc w:val="center"/>
        </w:trPr>
        <w:tc>
          <w:tcPr>
            <w:tcW w:w="266" w:type="pct"/>
            <w:noWrap w:val="0"/>
            <w:vAlign w:val="center"/>
          </w:tcPr>
          <w:p>
            <w:pPr>
              <w:widowControl/>
              <w:snapToGrid w:val="0"/>
              <w:jc w:val="center"/>
              <w:rPr>
                <w:rFonts w:ascii="宋体" w:hAnsi="宋体"/>
                <w:b/>
                <w:bCs/>
                <w:kern w:val="0"/>
                <w:szCs w:val="21"/>
              </w:rPr>
            </w:pPr>
            <w:r>
              <w:rPr>
                <w:rFonts w:ascii="宋体" w:hAnsi="宋体"/>
                <w:b/>
                <w:bCs/>
                <w:kern w:val="0"/>
                <w:szCs w:val="21"/>
              </w:rPr>
              <w:t>序号</w:t>
            </w:r>
          </w:p>
        </w:tc>
        <w:tc>
          <w:tcPr>
            <w:tcW w:w="1005" w:type="pct"/>
            <w:noWrap w:val="0"/>
            <w:vAlign w:val="center"/>
          </w:tcPr>
          <w:p>
            <w:pPr>
              <w:widowControl/>
              <w:snapToGrid w:val="0"/>
              <w:jc w:val="center"/>
              <w:rPr>
                <w:rFonts w:ascii="宋体" w:hAnsi="宋体"/>
                <w:b/>
                <w:bCs/>
                <w:kern w:val="0"/>
                <w:szCs w:val="21"/>
              </w:rPr>
            </w:pPr>
            <w:r>
              <w:rPr>
                <w:rFonts w:ascii="宋体" w:hAnsi="宋体"/>
                <w:b/>
                <w:bCs/>
                <w:kern w:val="0"/>
                <w:szCs w:val="21"/>
              </w:rPr>
              <w:t>企业名称</w:t>
            </w:r>
          </w:p>
        </w:tc>
        <w:tc>
          <w:tcPr>
            <w:tcW w:w="729" w:type="pct"/>
            <w:noWrap w:val="0"/>
            <w:vAlign w:val="center"/>
          </w:tcPr>
          <w:p>
            <w:pPr>
              <w:widowControl/>
              <w:snapToGrid w:val="0"/>
              <w:jc w:val="center"/>
              <w:rPr>
                <w:rFonts w:ascii="宋体" w:hAnsi="宋体"/>
                <w:b/>
                <w:bCs/>
                <w:kern w:val="0"/>
                <w:szCs w:val="21"/>
              </w:rPr>
            </w:pPr>
            <w:r>
              <w:rPr>
                <w:rFonts w:ascii="宋体" w:hAnsi="宋体"/>
                <w:b/>
                <w:bCs/>
                <w:kern w:val="0"/>
                <w:szCs w:val="21"/>
              </w:rPr>
              <w:t>注册时间</w:t>
            </w:r>
          </w:p>
        </w:tc>
        <w:tc>
          <w:tcPr>
            <w:tcW w:w="603" w:type="pct"/>
            <w:noWrap w:val="0"/>
            <w:vAlign w:val="center"/>
          </w:tcPr>
          <w:p>
            <w:pPr>
              <w:widowControl/>
              <w:snapToGrid w:val="0"/>
              <w:jc w:val="center"/>
              <w:rPr>
                <w:rFonts w:ascii="宋体" w:hAnsi="宋体"/>
                <w:b/>
                <w:bCs/>
                <w:kern w:val="0"/>
                <w:szCs w:val="21"/>
              </w:rPr>
            </w:pPr>
            <w:r>
              <w:rPr>
                <w:rFonts w:ascii="宋体" w:hAnsi="宋体"/>
                <w:b/>
                <w:bCs/>
                <w:kern w:val="0"/>
                <w:szCs w:val="21"/>
              </w:rPr>
              <w:t>注册资本</w:t>
            </w:r>
          </w:p>
          <w:p>
            <w:pPr>
              <w:widowControl/>
              <w:snapToGrid w:val="0"/>
              <w:jc w:val="center"/>
              <w:rPr>
                <w:rFonts w:ascii="宋体" w:hAnsi="宋体"/>
                <w:b/>
                <w:szCs w:val="21"/>
              </w:rPr>
            </w:pPr>
            <w:r>
              <w:rPr>
                <w:rFonts w:ascii="宋体" w:hAnsi="宋体"/>
                <w:b/>
                <w:szCs w:val="21"/>
              </w:rPr>
              <w:t>（</w:t>
            </w:r>
            <w:r>
              <w:rPr>
                <w:rFonts w:ascii="宋体" w:hAnsi="宋体"/>
                <w:b/>
                <w:bCs/>
                <w:kern w:val="0"/>
                <w:szCs w:val="21"/>
              </w:rPr>
              <w:t>万元</w:t>
            </w:r>
            <w:r>
              <w:rPr>
                <w:rFonts w:ascii="宋体" w:hAnsi="宋体"/>
                <w:b/>
                <w:kern w:val="0"/>
                <w:szCs w:val="21"/>
              </w:rPr>
              <w:t>）</w:t>
            </w:r>
          </w:p>
        </w:tc>
        <w:tc>
          <w:tcPr>
            <w:tcW w:w="483" w:type="pct"/>
            <w:noWrap w:val="0"/>
            <w:vAlign w:val="center"/>
          </w:tcPr>
          <w:p>
            <w:pPr>
              <w:widowControl/>
              <w:snapToGrid w:val="0"/>
              <w:jc w:val="center"/>
              <w:rPr>
                <w:rFonts w:ascii="宋体" w:hAnsi="宋体"/>
                <w:b/>
                <w:bCs/>
                <w:kern w:val="0"/>
                <w:szCs w:val="21"/>
              </w:rPr>
            </w:pPr>
            <w:r>
              <w:rPr>
                <w:rFonts w:ascii="宋体" w:hAnsi="宋体"/>
                <w:b/>
                <w:bCs/>
                <w:kern w:val="0"/>
                <w:szCs w:val="21"/>
              </w:rPr>
              <w:t>股权</w:t>
            </w:r>
          </w:p>
          <w:p>
            <w:pPr>
              <w:widowControl/>
              <w:snapToGrid w:val="0"/>
              <w:jc w:val="center"/>
              <w:rPr>
                <w:rFonts w:ascii="宋体" w:hAnsi="宋体"/>
                <w:b/>
                <w:bCs/>
                <w:kern w:val="0"/>
                <w:szCs w:val="21"/>
              </w:rPr>
            </w:pPr>
            <w:r>
              <w:rPr>
                <w:rFonts w:ascii="宋体" w:hAnsi="宋体"/>
                <w:b/>
                <w:bCs/>
                <w:kern w:val="0"/>
                <w:szCs w:val="21"/>
              </w:rPr>
              <w:t>占比</w:t>
            </w:r>
          </w:p>
        </w:tc>
        <w:tc>
          <w:tcPr>
            <w:tcW w:w="582" w:type="pct"/>
            <w:noWrap/>
            <w:vAlign w:val="center"/>
          </w:tcPr>
          <w:p>
            <w:pPr>
              <w:widowControl/>
              <w:snapToGrid w:val="0"/>
              <w:jc w:val="center"/>
              <w:rPr>
                <w:rFonts w:ascii="宋体" w:hAnsi="宋体"/>
                <w:b/>
                <w:bCs/>
                <w:kern w:val="0"/>
                <w:szCs w:val="21"/>
              </w:rPr>
            </w:pPr>
            <w:r>
              <w:rPr>
                <w:rFonts w:ascii="宋体" w:hAnsi="宋体"/>
                <w:b/>
                <w:bCs/>
                <w:kern w:val="0"/>
                <w:szCs w:val="21"/>
              </w:rPr>
              <w:t>法定</w:t>
            </w:r>
          </w:p>
          <w:p>
            <w:pPr>
              <w:widowControl/>
              <w:snapToGrid w:val="0"/>
              <w:jc w:val="center"/>
              <w:rPr>
                <w:rFonts w:ascii="宋体" w:hAnsi="宋体"/>
                <w:b/>
                <w:bCs/>
                <w:kern w:val="0"/>
                <w:szCs w:val="21"/>
              </w:rPr>
            </w:pPr>
            <w:r>
              <w:rPr>
                <w:rFonts w:ascii="宋体" w:hAnsi="宋体"/>
                <w:b/>
                <w:bCs/>
                <w:kern w:val="0"/>
                <w:szCs w:val="21"/>
              </w:rPr>
              <w:t>代表人</w:t>
            </w:r>
          </w:p>
        </w:tc>
        <w:tc>
          <w:tcPr>
            <w:tcW w:w="869" w:type="pct"/>
            <w:noWrap/>
            <w:vAlign w:val="center"/>
          </w:tcPr>
          <w:p>
            <w:pPr>
              <w:widowControl/>
              <w:snapToGrid w:val="0"/>
              <w:jc w:val="center"/>
              <w:rPr>
                <w:rFonts w:ascii="宋体" w:hAnsi="宋体"/>
                <w:b/>
                <w:bCs/>
                <w:kern w:val="0"/>
                <w:szCs w:val="21"/>
              </w:rPr>
            </w:pPr>
            <w:r>
              <w:rPr>
                <w:rFonts w:ascii="宋体" w:hAnsi="宋体"/>
                <w:b/>
                <w:bCs/>
                <w:kern w:val="0"/>
                <w:szCs w:val="21"/>
              </w:rPr>
              <w:t>业务定位</w:t>
            </w:r>
          </w:p>
        </w:tc>
        <w:tc>
          <w:tcPr>
            <w:tcW w:w="459" w:type="pct"/>
            <w:noWrap w:val="0"/>
            <w:vAlign w:val="center"/>
          </w:tcPr>
          <w:p>
            <w:pPr>
              <w:widowControl/>
              <w:snapToGrid w:val="0"/>
              <w:jc w:val="center"/>
              <w:rPr>
                <w:rFonts w:ascii="宋体" w:hAnsi="宋体"/>
                <w:b/>
                <w:bCs/>
                <w:kern w:val="0"/>
                <w:szCs w:val="21"/>
              </w:rPr>
            </w:pPr>
            <w:r>
              <w:rPr>
                <w:rFonts w:ascii="宋体" w:hAnsi="宋体"/>
                <w:b/>
                <w:bCs/>
                <w:kern w:val="0"/>
                <w:szCs w:val="21"/>
              </w:rPr>
              <w:t>运营状态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6" w:type="pct"/>
            <w:noWrap w:val="0"/>
            <w:vAlign w:val="center"/>
          </w:tcPr>
          <w:p>
            <w:pPr>
              <w:widowControl/>
              <w:snapToGrid w:val="0"/>
              <w:jc w:val="center"/>
              <w:rPr>
                <w:rFonts w:ascii="宋体" w:hAnsi="宋体"/>
                <w:kern w:val="0"/>
                <w:szCs w:val="21"/>
              </w:rPr>
            </w:pPr>
            <w:r>
              <w:rPr>
                <w:rFonts w:hint="eastAsia" w:ascii="宋体" w:hAnsi="宋体"/>
                <w:kern w:val="0"/>
                <w:szCs w:val="21"/>
              </w:rPr>
              <w:t>1</w:t>
            </w:r>
          </w:p>
        </w:tc>
        <w:tc>
          <w:tcPr>
            <w:tcW w:w="1005" w:type="pct"/>
            <w:noWrap w:val="0"/>
            <w:vAlign w:val="center"/>
          </w:tcPr>
          <w:p>
            <w:pPr>
              <w:widowControl/>
              <w:snapToGrid w:val="0"/>
              <w:jc w:val="center"/>
              <w:rPr>
                <w:rFonts w:ascii="宋体" w:hAnsi="宋体"/>
                <w:kern w:val="0"/>
                <w:szCs w:val="21"/>
              </w:rPr>
            </w:pPr>
            <w:r>
              <w:rPr>
                <w:rFonts w:hint="eastAsia" w:ascii="宋体" w:hAnsi="宋体"/>
                <w:kern w:val="0"/>
                <w:szCs w:val="21"/>
              </w:rPr>
              <w:t>和洋能源公司</w:t>
            </w:r>
          </w:p>
        </w:tc>
        <w:tc>
          <w:tcPr>
            <w:tcW w:w="729" w:type="pct"/>
            <w:noWrap w:val="0"/>
            <w:vAlign w:val="center"/>
          </w:tcPr>
          <w:p>
            <w:pPr>
              <w:widowControl/>
              <w:snapToGrid w:val="0"/>
              <w:jc w:val="center"/>
              <w:rPr>
                <w:rFonts w:ascii="宋体" w:hAnsi="宋体"/>
                <w:kern w:val="0"/>
                <w:szCs w:val="21"/>
              </w:rPr>
            </w:pPr>
            <w:r>
              <w:rPr>
                <w:rFonts w:ascii="宋体" w:hAnsi="宋体"/>
                <w:kern w:val="0"/>
                <w:szCs w:val="21"/>
              </w:rPr>
              <w:t>2019</w:t>
            </w:r>
            <w:r>
              <w:rPr>
                <w:rFonts w:hint="eastAsia" w:ascii="宋体" w:hAnsi="宋体"/>
                <w:kern w:val="0"/>
                <w:szCs w:val="21"/>
              </w:rPr>
              <w:t>.9.</w:t>
            </w:r>
            <w:r>
              <w:rPr>
                <w:rFonts w:ascii="宋体" w:hAnsi="宋体"/>
                <w:kern w:val="0"/>
                <w:szCs w:val="21"/>
              </w:rPr>
              <w:t>17</w:t>
            </w:r>
          </w:p>
        </w:tc>
        <w:tc>
          <w:tcPr>
            <w:tcW w:w="603" w:type="pct"/>
            <w:noWrap w:val="0"/>
            <w:vAlign w:val="center"/>
          </w:tcPr>
          <w:p>
            <w:pPr>
              <w:widowControl/>
              <w:snapToGrid w:val="0"/>
              <w:jc w:val="center"/>
              <w:rPr>
                <w:rFonts w:ascii="宋体" w:hAnsi="宋体"/>
                <w:kern w:val="0"/>
                <w:szCs w:val="21"/>
              </w:rPr>
            </w:pPr>
            <w:r>
              <w:rPr>
                <w:rFonts w:ascii="宋体" w:hAnsi="宋体"/>
                <w:kern w:val="0"/>
                <w:szCs w:val="21"/>
              </w:rPr>
              <w:t>3000</w:t>
            </w:r>
          </w:p>
        </w:tc>
        <w:tc>
          <w:tcPr>
            <w:tcW w:w="483" w:type="pct"/>
            <w:noWrap w:val="0"/>
            <w:vAlign w:val="center"/>
          </w:tcPr>
          <w:p>
            <w:pPr>
              <w:widowControl/>
              <w:snapToGrid w:val="0"/>
              <w:jc w:val="center"/>
              <w:rPr>
                <w:rFonts w:ascii="宋体" w:hAnsi="宋体"/>
                <w:kern w:val="0"/>
                <w:szCs w:val="21"/>
              </w:rPr>
            </w:pPr>
            <w:r>
              <w:rPr>
                <w:rFonts w:hint="eastAsia" w:ascii="宋体" w:hAnsi="宋体"/>
                <w:kern w:val="0"/>
                <w:szCs w:val="21"/>
              </w:rPr>
              <w:t>100%</w:t>
            </w:r>
          </w:p>
        </w:tc>
        <w:tc>
          <w:tcPr>
            <w:tcW w:w="582" w:type="pct"/>
            <w:noWrap/>
            <w:vAlign w:val="center"/>
          </w:tcPr>
          <w:p>
            <w:pPr>
              <w:widowControl/>
              <w:snapToGrid w:val="0"/>
              <w:jc w:val="center"/>
              <w:rPr>
                <w:rFonts w:ascii="宋体" w:hAnsi="宋体"/>
                <w:kern w:val="0"/>
                <w:szCs w:val="21"/>
              </w:rPr>
            </w:pPr>
            <w:r>
              <w:rPr>
                <w:rFonts w:ascii="宋体" w:hAnsi="宋体"/>
                <w:kern w:val="0"/>
                <w:szCs w:val="21"/>
              </w:rPr>
              <w:t>韩冰</w:t>
            </w:r>
          </w:p>
        </w:tc>
        <w:tc>
          <w:tcPr>
            <w:tcW w:w="869" w:type="pct"/>
            <w:noWrap w:val="0"/>
            <w:vAlign w:val="center"/>
          </w:tcPr>
          <w:p>
            <w:pPr>
              <w:widowControl/>
              <w:snapToGrid w:val="0"/>
              <w:jc w:val="center"/>
              <w:rPr>
                <w:rFonts w:ascii="宋体" w:hAnsi="宋体"/>
                <w:kern w:val="0"/>
                <w:szCs w:val="21"/>
              </w:rPr>
            </w:pPr>
            <w:r>
              <w:rPr>
                <w:rFonts w:hint="eastAsia" w:ascii="宋体" w:hAnsi="宋体"/>
                <w:kern w:val="0"/>
                <w:szCs w:val="21"/>
              </w:rPr>
              <w:t>煤炭相关</w:t>
            </w:r>
          </w:p>
        </w:tc>
        <w:tc>
          <w:tcPr>
            <w:tcW w:w="459" w:type="pct"/>
            <w:noWrap w:val="0"/>
            <w:vAlign w:val="center"/>
          </w:tcPr>
          <w:p>
            <w:pPr>
              <w:widowControl/>
              <w:snapToGrid w:val="0"/>
              <w:jc w:val="center"/>
              <w:rPr>
                <w:rFonts w:ascii="宋体" w:hAnsi="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6" w:type="pct"/>
            <w:noWrap w:val="0"/>
            <w:vAlign w:val="center"/>
          </w:tcPr>
          <w:p>
            <w:pPr>
              <w:widowControl/>
              <w:snapToGrid w:val="0"/>
              <w:jc w:val="center"/>
              <w:rPr>
                <w:rFonts w:ascii="宋体" w:hAnsi="宋体"/>
                <w:kern w:val="0"/>
                <w:szCs w:val="21"/>
              </w:rPr>
            </w:pPr>
            <w:r>
              <w:rPr>
                <w:rFonts w:hint="eastAsia" w:ascii="宋体" w:hAnsi="宋体"/>
                <w:kern w:val="0"/>
                <w:szCs w:val="21"/>
              </w:rPr>
              <w:t>2</w:t>
            </w:r>
          </w:p>
        </w:tc>
        <w:tc>
          <w:tcPr>
            <w:tcW w:w="1005" w:type="pct"/>
            <w:noWrap w:val="0"/>
            <w:vAlign w:val="center"/>
          </w:tcPr>
          <w:p>
            <w:pPr>
              <w:widowControl/>
              <w:snapToGrid w:val="0"/>
              <w:jc w:val="center"/>
              <w:rPr>
                <w:rFonts w:ascii="宋体" w:hAnsi="宋体"/>
                <w:kern w:val="0"/>
                <w:szCs w:val="21"/>
              </w:rPr>
            </w:pPr>
            <w:r>
              <w:rPr>
                <w:rFonts w:hint="eastAsia" w:ascii="宋体" w:hAnsi="宋体"/>
                <w:kern w:val="0"/>
                <w:szCs w:val="21"/>
              </w:rPr>
              <w:t>正宇实业公司</w:t>
            </w:r>
          </w:p>
        </w:tc>
        <w:tc>
          <w:tcPr>
            <w:tcW w:w="729" w:type="pct"/>
            <w:noWrap w:val="0"/>
            <w:vAlign w:val="center"/>
          </w:tcPr>
          <w:p>
            <w:pPr>
              <w:widowControl/>
              <w:snapToGrid w:val="0"/>
              <w:jc w:val="center"/>
              <w:rPr>
                <w:rFonts w:ascii="宋体" w:hAnsi="宋体"/>
                <w:kern w:val="0"/>
                <w:szCs w:val="21"/>
              </w:rPr>
            </w:pPr>
            <w:r>
              <w:rPr>
                <w:rFonts w:hint="eastAsia" w:ascii="宋体" w:hAnsi="宋体"/>
                <w:kern w:val="0"/>
                <w:szCs w:val="21"/>
              </w:rPr>
              <w:t>2021.11.8</w:t>
            </w:r>
          </w:p>
        </w:tc>
        <w:tc>
          <w:tcPr>
            <w:tcW w:w="603" w:type="pct"/>
            <w:noWrap w:val="0"/>
            <w:vAlign w:val="center"/>
          </w:tcPr>
          <w:p>
            <w:pPr>
              <w:widowControl/>
              <w:snapToGrid w:val="0"/>
              <w:jc w:val="center"/>
              <w:rPr>
                <w:rFonts w:ascii="宋体" w:hAnsi="宋体"/>
                <w:kern w:val="0"/>
                <w:szCs w:val="21"/>
              </w:rPr>
            </w:pPr>
            <w:r>
              <w:rPr>
                <w:rFonts w:hint="eastAsia" w:ascii="宋体" w:hAnsi="宋体"/>
                <w:kern w:val="0"/>
                <w:szCs w:val="21"/>
              </w:rPr>
              <w:t>8500</w:t>
            </w:r>
          </w:p>
        </w:tc>
        <w:tc>
          <w:tcPr>
            <w:tcW w:w="483" w:type="pct"/>
            <w:noWrap w:val="0"/>
            <w:vAlign w:val="center"/>
          </w:tcPr>
          <w:p>
            <w:pPr>
              <w:widowControl/>
              <w:snapToGrid w:val="0"/>
              <w:jc w:val="center"/>
              <w:rPr>
                <w:rFonts w:ascii="宋体" w:hAnsi="宋体"/>
                <w:kern w:val="0"/>
                <w:szCs w:val="21"/>
              </w:rPr>
            </w:pPr>
            <w:r>
              <w:rPr>
                <w:rFonts w:hint="eastAsia" w:ascii="宋体" w:hAnsi="宋体"/>
                <w:kern w:val="0"/>
                <w:szCs w:val="21"/>
              </w:rPr>
              <w:t>100%</w:t>
            </w:r>
          </w:p>
        </w:tc>
        <w:tc>
          <w:tcPr>
            <w:tcW w:w="582" w:type="pct"/>
            <w:noWrap/>
            <w:vAlign w:val="center"/>
          </w:tcPr>
          <w:p>
            <w:pPr>
              <w:widowControl/>
              <w:snapToGrid w:val="0"/>
              <w:jc w:val="center"/>
              <w:rPr>
                <w:rFonts w:ascii="宋体" w:hAnsi="宋体"/>
                <w:kern w:val="0"/>
                <w:szCs w:val="21"/>
              </w:rPr>
            </w:pPr>
            <w:r>
              <w:rPr>
                <w:rFonts w:ascii="宋体" w:hAnsi="宋体"/>
                <w:kern w:val="0"/>
                <w:szCs w:val="21"/>
              </w:rPr>
              <w:t>蔺铭</w:t>
            </w:r>
          </w:p>
        </w:tc>
        <w:tc>
          <w:tcPr>
            <w:tcW w:w="869" w:type="pct"/>
            <w:noWrap w:val="0"/>
            <w:vAlign w:val="center"/>
          </w:tcPr>
          <w:p>
            <w:pPr>
              <w:widowControl/>
              <w:snapToGrid w:val="0"/>
              <w:jc w:val="center"/>
              <w:rPr>
                <w:rFonts w:ascii="宋体" w:hAnsi="宋体"/>
                <w:kern w:val="0"/>
                <w:szCs w:val="21"/>
              </w:rPr>
            </w:pPr>
            <w:r>
              <w:rPr>
                <w:rFonts w:hint="eastAsia" w:ascii="宋体" w:hAnsi="宋体"/>
                <w:kern w:val="0"/>
                <w:szCs w:val="21"/>
              </w:rPr>
              <w:t>商务服务、投资等</w:t>
            </w:r>
          </w:p>
        </w:tc>
        <w:tc>
          <w:tcPr>
            <w:tcW w:w="459" w:type="pct"/>
            <w:noWrap w:val="0"/>
            <w:vAlign w:val="center"/>
          </w:tcPr>
          <w:p>
            <w:pPr>
              <w:widowControl/>
              <w:snapToGrid w:val="0"/>
              <w:jc w:val="center"/>
              <w:rPr>
                <w:rFonts w:ascii="宋体" w:hAnsi="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6"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3</w:t>
            </w:r>
          </w:p>
        </w:tc>
        <w:tc>
          <w:tcPr>
            <w:tcW w:w="1005"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国有资产营运公司</w:t>
            </w:r>
          </w:p>
        </w:tc>
        <w:tc>
          <w:tcPr>
            <w:tcW w:w="729" w:type="pct"/>
            <w:noWrap w:val="0"/>
            <w:vAlign w:val="center"/>
          </w:tcPr>
          <w:p>
            <w:pPr>
              <w:widowControl/>
              <w:snapToGrid w:val="0"/>
              <w:jc w:val="center"/>
              <w:rPr>
                <w:rFonts w:ascii="宋体" w:hAnsi="宋体"/>
                <w:kern w:val="0"/>
                <w:szCs w:val="21"/>
              </w:rPr>
            </w:pPr>
            <w:r>
              <w:rPr>
                <w:rFonts w:hint="eastAsia" w:ascii="宋体" w:hAnsi="宋体"/>
                <w:kern w:val="0"/>
                <w:szCs w:val="21"/>
              </w:rPr>
              <w:t>2000.8.21</w:t>
            </w:r>
          </w:p>
        </w:tc>
        <w:tc>
          <w:tcPr>
            <w:tcW w:w="603" w:type="pct"/>
            <w:noWrap w:val="0"/>
            <w:vAlign w:val="center"/>
          </w:tcPr>
          <w:p>
            <w:pPr>
              <w:widowControl/>
              <w:snapToGrid w:val="0"/>
              <w:jc w:val="center"/>
              <w:rPr>
                <w:rFonts w:ascii="宋体" w:hAnsi="宋体"/>
                <w:kern w:val="0"/>
                <w:szCs w:val="21"/>
              </w:rPr>
            </w:pPr>
            <w:r>
              <w:rPr>
                <w:rFonts w:hint="eastAsia" w:ascii="宋体" w:hAnsi="宋体"/>
                <w:kern w:val="0"/>
                <w:szCs w:val="21"/>
              </w:rPr>
              <w:t>20000</w:t>
            </w:r>
          </w:p>
        </w:tc>
        <w:tc>
          <w:tcPr>
            <w:tcW w:w="483" w:type="pct"/>
            <w:noWrap w:val="0"/>
            <w:vAlign w:val="center"/>
          </w:tcPr>
          <w:p>
            <w:pPr>
              <w:widowControl/>
              <w:snapToGrid w:val="0"/>
              <w:jc w:val="center"/>
              <w:rPr>
                <w:rFonts w:ascii="宋体" w:hAnsi="宋体"/>
                <w:kern w:val="0"/>
                <w:szCs w:val="21"/>
              </w:rPr>
            </w:pPr>
            <w:r>
              <w:rPr>
                <w:rFonts w:hint="eastAsia" w:ascii="宋体" w:hAnsi="宋体"/>
                <w:kern w:val="0"/>
                <w:szCs w:val="21"/>
              </w:rPr>
              <w:t>100%</w:t>
            </w:r>
          </w:p>
        </w:tc>
        <w:tc>
          <w:tcPr>
            <w:tcW w:w="582" w:type="pct"/>
            <w:noWrap/>
            <w:vAlign w:val="center"/>
          </w:tcPr>
          <w:p>
            <w:pPr>
              <w:widowControl/>
              <w:snapToGrid w:val="0"/>
              <w:jc w:val="center"/>
              <w:rPr>
                <w:rFonts w:hint="eastAsia" w:ascii="宋体" w:hAnsi="宋体"/>
                <w:kern w:val="0"/>
                <w:szCs w:val="21"/>
              </w:rPr>
            </w:pPr>
            <w:r>
              <w:rPr>
                <w:rFonts w:hint="eastAsia" w:ascii="宋体" w:hAnsi="宋体"/>
                <w:kern w:val="0"/>
                <w:szCs w:val="21"/>
              </w:rPr>
              <w:t>郭永波</w:t>
            </w:r>
          </w:p>
        </w:tc>
        <w:tc>
          <w:tcPr>
            <w:tcW w:w="869" w:type="pct"/>
            <w:noWrap w:val="0"/>
            <w:vAlign w:val="center"/>
          </w:tcPr>
          <w:p>
            <w:pPr>
              <w:widowControl/>
              <w:snapToGrid w:val="0"/>
              <w:jc w:val="center"/>
              <w:rPr>
                <w:rFonts w:ascii="宋体" w:hAnsi="宋体"/>
                <w:kern w:val="0"/>
                <w:szCs w:val="21"/>
              </w:rPr>
            </w:pPr>
            <w:r>
              <w:rPr>
                <w:rFonts w:ascii="宋体" w:hAnsi="宋体"/>
                <w:kern w:val="0"/>
                <w:szCs w:val="21"/>
              </w:rPr>
              <w:t>国有资产物业管理、处置及对外投资</w:t>
            </w:r>
            <w:r>
              <w:rPr>
                <w:rFonts w:hint="eastAsia" w:ascii="宋体" w:hAnsi="宋体"/>
                <w:kern w:val="0"/>
                <w:szCs w:val="21"/>
              </w:rPr>
              <w:t>等</w:t>
            </w:r>
          </w:p>
        </w:tc>
        <w:tc>
          <w:tcPr>
            <w:tcW w:w="459" w:type="pct"/>
            <w:noWrap w:val="0"/>
            <w:vAlign w:val="center"/>
          </w:tcPr>
          <w:p>
            <w:pPr>
              <w:widowControl/>
              <w:snapToGrid w:val="0"/>
              <w:jc w:val="center"/>
              <w:rPr>
                <w:rFonts w:ascii="宋体" w:hAnsi="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6"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4</w:t>
            </w:r>
          </w:p>
        </w:tc>
        <w:tc>
          <w:tcPr>
            <w:tcW w:w="1005"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圣圆实业公司</w:t>
            </w:r>
          </w:p>
        </w:tc>
        <w:tc>
          <w:tcPr>
            <w:tcW w:w="729" w:type="pct"/>
            <w:noWrap w:val="0"/>
            <w:vAlign w:val="center"/>
          </w:tcPr>
          <w:p>
            <w:pPr>
              <w:widowControl/>
              <w:snapToGrid w:val="0"/>
              <w:jc w:val="center"/>
              <w:rPr>
                <w:rFonts w:ascii="宋体" w:hAnsi="宋体"/>
                <w:kern w:val="0"/>
                <w:szCs w:val="21"/>
              </w:rPr>
            </w:pPr>
            <w:r>
              <w:rPr>
                <w:rFonts w:hint="eastAsia" w:ascii="宋体" w:hAnsi="宋体"/>
                <w:kern w:val="0"/>
                <w:szCs w:val="21"/>
              </w:rPr>
              <w:t>2013.7.19</w:t>
            </w:r>
          </w:p>
        </w:tc>
        <w:tc>
          <w:tcPr>
            <w:tcW w:w="603" w:type="pct"/>
            <w:noWrap w:val="0"/>
            <w:vAlign w:val="center"/>
          </w:tcPr>
          <w:p>
            <w:pPr>
              <w:widowControl/>
              <w:snapToGrid w:val="0"/>
              <w:jc w:val="center"/>
              <w:rPr>
                <w:rFonts w:ascii="宋体" w:hAnsi="宋体"/>
                <w:kern w:val="0"/>
                <w:szCs w:val="21"/>
              </w:rPr>
            </w:pPr>
            <w:r>
              <w:rPr>
                <w:rFonts w:hint="eastAsia" w:ascii="宋体" w:hAnsi="宋体"/>
                <w:kern w:val="0"/>
                <w:szCs w:val="21"/>
              </w:rPr>
              <w:t>5000</w:t>
            </w:r>
          </w:p>
        </w:tc>
        <w:tc>
          <w:tcPr>
            <w:tcW w:w="483"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100%</w:t>
            </w:r>
          </w:p>
        </w:tc>
        <w:tc>
          <w:tcPr>
            <w:tcW w:w="582" w:type="pct"/>
            <w:noWrap/>
            <w:vAlign w:val="center"/>
          </w:tcPr>
          <w:p>
            <w:pPr>
              <w:widowControl/>
              <w:snapToGrid w:val="0"/>
              <w:jc w:val="center"/>
              <w:rPr>
                <w:rFonts w:ascii="宋体" w:hAnsi="宋体"/>
                <w:kern w:val="0"/>
                <w:szCs w:val="21"/>
              </w:rPr>
            </w:pPr>
            <w:r>
              <w:rPr>
                <w:rFonts w:hint="eastAsia" w:ascii="宋体" w:hAnsi="宋体"/>
                <w:kern w:val="0"/>
                <w:szCs w:val="21"/>
              </w:rPr>
              <w:t>张青</w:t>
            </w:r>
          </w:p>
        </w:tc>
        <w:tc>
          <w:tcPr>
            <w:tcW w:w="869" w:type="pct"/>
            <w:noWrap w:val="0"/>
            <w:vAlign w:val="center"/>
          </w:tcPr>
          <w:p>
            <w:pPr>
              <w:widowControl/>
              <w:snapToGrid w:val="0"/>
              <w:jc w:val="center"/>
              <w:rPr>
                <w:rFonts w:ascii="宋体" w:hAnsi="宋体"/>
                <w:kern w:val="0"/>
                <w:szCs w:val="21"/>
              </w:rPr>
            </w:pPr>
            <w:r>
              <w:rPr>
                <w:rFonts w:hint="eastAsia" w:ascii="宋体" w:hAnsi="宋体"/>
                <w:kern w:val="0"/>
                <w:szCs w:val="21"/>
              </w:rPr>
              <w:t>市政工程、建筑业等</w:t>
            </w:r>
          </w:p>
        </w:tc>
        <w:tc>
          <w:tcPr>
            <w:tcW w:w="459" w:type="pct"/>
            <w:noWrap w:val="0"/>
            <w:vAlign w:val="center"/>
          </w:tcPr>
          <w:p>
            <w:pPr>
              <w:widowControl/>
              <w:snapToGrid w:val="0"/>
              <w:jc w:val="center"/>
              <w:rPr>
                <w:rFonts w:hint="eastAsia" w:ascii="宋体" w:hAnsi="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6"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5</w:t>
            </w:r>
          </w:p>
        </w:tc>
        <w:tc>
          <w:tcPr>
            <w:tcW w:w="1005"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圣圆纳林陶亥实业公司</w:t>
            </w:r>
          </w:p>
        </w:tc>
        <w:tc>
          <w:tcPr>
            <w:tcW w:w="729" w:type="pct"/>
            <w:noWrap w:val="0"/>
            <w:vAlign w:val="center"/>
          </w:tcPr>
          <w:p>
            <w:pPr>
              <w:widowControl/>
              <w:snapToGrid w:val="0"/>
              <w:jc w:val="center"/>
              <w:rPr>
                <w:rFonts w:ascii="宋体" w:hAnsi="宋体"/>
                <w:kern w:val="0"/>
                <w:szCs w:val="21"/>
              </w:rPr>
            </w:pPr>
            <w:r>
              <w:rPr>
                <w:rFonts w:hint="eastAsia" w:ascii="宋体" w:hAnsi="宋体"/>
                <w:kern w:val="0"/>
                <w:szCs w:val="21"/>
              </w:rPr>
              <w:t>2016.7.13</w:t>
            </w:r>
          </w:p>
        </w:tc>
        <w:tc>
          <w:tcPr>
            <w:tcW w:w="603" w:type="pct"/>
            <w:noWrap w:val="0"/>
            <w:vAlign w:val="center"/>
          </w:tcPr>
          <w:p>
            <w:pPr>
              <w:widowControl/>
              <w:snapToGrid w:val="0"/>
              <w:jc w:val="center"/>
              <w:rPr>
                <w:rFonts w:ascii="宋体" w:hAnsi="宋体"/>
                <w:kern w:val="0"/>
                <w:szCs w:val="21"/>
              </w:rPr>
            </w:pPr>
            <w:r>
              <w:rPr>
                <w:rFonts w:hint="eastAsia" w:ascii="宋体" w:hAnsi="宋体"/>
                <w:kern w:val="0"/>
                <w:szCs w:val="21"/>
              </w:rPr>
              <w:t>2000</w:t>
            </w:r>
          </w:p>
        </w:tc>
        <w:tc>
          <w:tcPr>
            <w:tcW w:w="483"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100%</w:t>
            </w:r>
          </w:p>
        </w:tc>
        <w:tc>
          <w:tcPr>
            <w:tcW w:w="582" w:type="pct"/>
            <w:noWrap/>
            <w:vAlign w:val="center"/>
          </w:tcPr>
          <w:p>
            <w:pPr>
              <w:widowControl/>
              <w:snapToGrid w:val="0"/>
              <w:jc w:val="center"/>
              <w:rPr>
                <w:rFonts w:ascii="宋体" w:hAnsi="宋体"/>
                <w:kern w:val="0"/>
                <w:szCs w:val="21"/>
              </w:rPr>
            </w:pPr>
            <w:r>
              <w:rPr>
                <w:rFonts w:ascii="宋体" w:hAnsi="宋体"/>
                <w:kern w:val="0"/>
                <w:szCs w:val="21"/>
              </w:rPr>
              <w:t>武金秀</w:t>
            </w:r>
          </w:p>
        </w:tc>
        <w:tc>
          <w:tcPr>
            <w:tcW w:w="869" w:type="pct"/>
            <w:noWrap w:val="0"/>
            <w:vAlign w:val="center"/>
          </w:tcPr>
          <w:p>
            <w:pPr>
              <w:widowControl/>
              <w:snapToGrid w:val="0"/>
              <w:jc w:val="center"/>
              <w:rPr>
                <w:rFonts w:ascii="宋体" w:hAnsi="宋体"/>
                <w:kern w:val="0"/>
                <w:szCs w:val="21"/>
              </w:rPr>
            </w:pPr>
            <w:r>
              <w:rPr>
                <w:rFonts w:hint="eastAsia" w:ascii="宋体" w:hAnsi="宋体"/>
                <w:kern w:val="0"/>
                <w:szCs w:val="21"/>
              </w:rPr>
              <w:t>市政工程、建筑业等</w:t>
            </w:r>
          </w:p>
        </w:tc>
        <w:tc>
          <w:tcPr>
            <w:tcW w:w="459" w:type="pct"/>
            <w:noWrap w:val="0"/>
            <w:vAlign w:val="center"/>
          </w:tcPr>
          <w:p>
            <w:pPr>
              <w:widowControl/>
              <w:snapToGrid w:val="0"/>
              <w:jc w:val="center"/>
              <w:rPr>
                <w:rFonts w:hint="eastAsia" w:ascii="宋体" w:hAnsi="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6"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6</w:t>
            </w:r>
          </w:p>
        </w:tc>
        <w:tc>
          <w:tcPr>
            <w:tcW w:w="1005"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宏焱工贸公司</w:t>
            </w:r>
          </w:p>
        </w:tc>
        <w:tc>
          <w:tcPr>
            <w:tcW w:w="729" w:type="pct"/>
            <w:noWrap w:val="0"/>
            <w:vAlign w:val="center"/>
          </w:tcPr>
          <w:p>
            <w:pPr>
              <w:widowControl/>
              <w:snapToGrid w:val="0"/>
              <w:jc w:val="center"/>
              <w:rPr>
                <w:rFonts w:ascii="宋体" w:hAnsi="宋体"/>
                <w:kern w:val="0"/>
                <w:szCs w:val="21"/>
              </w:rPr>
            </w:pPr>
            <w:r>
              <w:rPr>
                <w:rFonts w:hint="eastAsia" w:ascii="宋体" w:hAnsi="宋体"/>
                <w:kern w:val="0"/>
                <w:szCs w:val="21"/>
              </w:rPr>
              <w:t>2018.8.22</w:t>
            </w:r>
          </w:p>
        </w:tc>
        <w:tc>
          <w:tcPr>
            <w:tcW w:w="603" w:type="pct"/>
            <w:noWrap w:val="0"/>
            <w:vAlign w:val="center"/>
          </w:tcPr>
          <w:p>
            <w:pPr>
              <w:widowControl/>
              <w:snapToGrid w:val="0"/>
              <w:jc w:val="center"/>
              <w:rPr>
                <w:rFonts w:ascii="宋体" w:hAnsi="宋体"/>
                <w:kern w:val="0"/>
                <w:szCs w:val="21"/>
              </w:rPr>
            </w:pPr>
            <w:r>
              <w:rPr>
                <w:rFonts w:hint="eastAsia" w:ascii="宋体" w:hAnsi="宋体"/>
                <w:kern w:val="0"/>
                <w:szCs w:val="21"/>
              </w:rPr>
              <w:t>5000</w:t>
            </w:r>
          </w:p>
        </w:tc>
        <w:tc>
          <w:tcPr>
            <w:tcW w:w="483" w:type="pct"/>
            <w:noWrap w:val="0"/>
            <w:vAlign w:val="center"/>
          </w:tcPr>
          <w:p>
            <w:pPr>
              <w:widowControl/>
              <w:snapToGrid w:val="0"/>
              <w:jc w:val="center"/>
              <w:rPr>
                <w:rFonts w:ascii="宋体" w:hAnsi="宋体"/>
                <w:kern w:val="0"/>
                <w:szCs w:val="21"/>
              </w:rPr>
            </w:pPr>
            <w:r>
              <w:rPr>
                <w:rFonts w:hint="eastAsia" w:ascii="宋体" w:hAnsi="宋体"/>
                <w:kern w:val="0"/>
                <w:szCs w:val="21"/>
              </w:rPr>
              <w:t>100%</w:t>
            </w:r>
          </w:p>
        </w:tc>
        <w:tc>
          <w:tcPr>
            <w:tcW w:w="582" w:type="pct"/>
            <w:noWrap/>
            <w:vAlign w:val="center"/>
          </w:tcPr>
          <w:p>
            <w:pPr>
              <w:widowControl/>
              <w:snapToGrid w:val="0"/>
              <w:jc w:val="center"/>
              <w:rPr>
                <w:rFonts w:ascii="宋体" w:hAnsi="宋体"/>
                <w:kern w:val="0"/>
                <w:szCs w:val="21"/>
              </w:rPr>
            </w:pPr>
            <w:r>
              <w:rPr>
                <w:rFonts w:ascii="宋体" w:hAnsi="宋体"/>
                <w:kern w:val="0"/>
                <w:szCs w:val="21"/>
              </w:rPr>
              <w:t>屈瑞</w:t>
            </w:r>
          </w:p>
        </w:tc>
        <w:tc>
          <w:tcPr>
            <w:tcW w:w="869" w:type="pct"/>
            <w:noWrap w:val="0"/>
            <w:vAlign w:val="center"/>
          </w:tcPr>
          <w:p>
            <w:pPr>
              <w:widowControl/>
              <w:snapToGrid w:val="0"/>
              <w:jc w:val="center"/>
              <w:rPr>
                <w:rFonts w:ascii="宋体" w:hAnsi="宋体"/>
                <w:kern w:val="0"/>
                <w:szCs w:val="21"/>
              </w:rPr>
            </w:pPr>
            <w:r>
              <w:rPr>
                <w:rFonts w:hint="eastAsia" w:ascii="宋体" w:hAnsi="宋体"/>
                <w:kern w:val="0"/>
                <w:szCs w:val="21"/>
              </w:rPr>
              <w:t>工程建设活动等</w:t>
            </w:r>
          </w:p>
        </w:tc>
        <w:tc>
          <w:tcPr>
            <w:tcW w:w="459" w:type="pct"/>
            <w:noWrap w:val="0"/>
            <w:vAlign w:val="center"/>
          </w:tcPr>
          <w:p>
            <w:pPr>
              <w:widowControl/>
              <w:snapToGrid w:val="0"/>
              <w:jc w:val="center"/>
              <w:rPr>
                <w:rFonts w:hint="eastAsia" w:ascii="宋体" w:hAnsi="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6"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7</w:t>
            </w:r>
          </w:p>
        </w:tc>
        <w:tc>
          <w:tcPr>
            <w:tcW w:w="1005"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天骄呼和满德禄资产控股公司</w:t>
            </w:r>
          </w:p>
        </w:tc>
        <w:tc>
          <w:tcPr>
            <w:tcW w:w="729" w:type="pct"/>
            <w:noWrap w:val="0"/>
            <w:vAlign w:val="center"/>
          </w:tcPr>
          <w:p>
            <w:pPr>
              <w:widowControl/>
              <w:snapToGrid w:val="0"/>
              <w:jc w:val="center"/>
              <w:rPr>
                <w:rFonts w:ascii="宋体" w:hAnsi="宋体"/>
                <w:kern w:val="0"/>
                <w:szCs w:val="21"/>
              </w:rPr>
            </w:pPr>
            <w:r>
              <w:rPr>
                <w:rFonts w:hint="eastAsia" w:ascii="宋体" w:hAnsi="宋体"/>
                <w:kern w:val="0"/>
                <w:szCs w:val="21"/>
              </w:rPr>
              <w:t>2020.8.4</w:t>
            </w:r>
          </w:p>
        </w:tc>
        <w:tc>
          <w:tcPr>
            <w:tcW w:w="603" w:type="pct"/>
            <w:noWrap w:val="0"/>
            <w:vAlign w:val="center"/>
          </w:tcPr>
          <w:p>
            <w:pPr>
              <w:widowControl/>
              <w:snapToGrid w:val="0"/>
              <w:jc w:val="center"/>
              <w:rPr>
                <w:rFonts w:ascii="宋体" w:hAnsi="宋体"/>
                <w:kern w:val="0"/>
                <w:szCs w:val="21"/>
              </w:rPr>
            </w:pPr>
            <w:r>
              <w:rPr>
                <w:rFonts w:hint="eastAsia" w:ascii="宋体" w:hAnsi="宋体"/>
                <w:kern w:val="0"/>
                <w:szCs w:val="21"/>
              </w:rPr>
              <w:t>20000</w:t>
            </w:r>
          </w:p>
        </w:tc>
        <w:tc>
          <w:tcPr>
            <w:tcW w:w="483"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100%</w:t>
            </w:r>
          </w:p>
        </w:tc>
        <w:tc>
          <w:tcPr>
            <w:tcW w:w="582" w:type="pct"/>
            <w:noWrap/>
            <w:vAlign w:val="center"/>
          </w:tcPr>
          <w:p>
            <w:pPr>
              <w:widowControl/>
              <w:snapToGrid w:val="0"/>
              <w:jc w:val="center"/>
              <w:rPr>
                <w:rFonts w:ascii="宋体" w:hAnsi="宋体"/>
                <w:kern w:val="0"/>
                <w:szCs w:val="21"/>
              </w:rPr>
            </w:pPr>
            <w:r>
              <w:rPr>
                <w:rFonts w:hint="eastAsia" w:ascii="宋体" w:hAnsi="宋体"/>
                <w:kern w:val="0"/>
                <w:szCs w:val="21"/>
              </w:rPr>
              <w:t>郭平</w:t>
            </w:r>
          </w:p>
        </w:tc>
        <w:tc>
          <w:tcPr>
            <w:tcW w:w="869" w:type="pct"/>
            <w:noWrap w:val="0"/>
            <w:vAlign w:val="center"/>
          </w:tcPr>
          <w:p>
            <w:pPr>
              <w:widowControl/>
              <w:snapToGrid w:val="0"/>
              <w:jc w:val="center"/>
              <w:rPr>
                <w:rFonts w:ascii="宋体" w:hAnsi="宋体"/>
                <w:kern w:val="0"/>
                <w:szCs w:val="21"/>
              </w:rPr>
            </w:pPr>
            <w:r>
              <w:rPr>
                <w:rFonts w:hint="eastAsia" w:ascii="宋体" w:hAnsi="宋体"/>
                <w:kern w:val="0"/>
                <w:szCs w:val="21"/>
              </w:rPr>
              <w:t>设计、活动策划等</w:t>
            </w:r>
          </w:p>
        </w:tc>
        <w:tc>
          <w:tcPr>
            <w:tcW w:w="459" w:type="pct"/>
            <w:noWrap w:val="0"/>
            <w:vAlign w:val="center"/>
          </w:tcPr>
          <w:p>
            <w:pPr>
              <w:widowControl/>
              <w:snapToGrid w:val="0"/>
              <w:jc w:val="center"/>
              <w:rPr>
                <w:rFonts w:hint="eastAsia" w:ascii="宋体" w:hAnsi="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6"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8</w:t>
            </w:r>
          </w:p>
        </w:tc>
        <w:tc>
          <w:tcPr>
            <w:tcW w:w="1005"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圣圆乌兰木伦实业公司</w:t>
            </w:r>
          </w:p>
        </w:tc>
        <w:tc>
          <w:tcPr>
            <w:tcW w:w="729" w:type="pct"/>
            <w:noWrap w:val="0"/>
            <w:vAlign w:val="center"/>
          </w:tcPr>
          <w:p>
            <w:pPr>
              <w:widowControl/>
              <w:snapToGrid w:val="0"/>
              <w:jc w:val="center"/>
              <w:rPr>
                <w:rFonts w:ascii="宋体" w:hAnsi="宋体"/>
                <w:kern w:val="0"/>
                <w:szCs w:val="21"/>
              </w:rPr>
            </w:pPr>
            <w:r>
              <w:rPr>
                <w:rFonts w:hint="eastAsia" w:ascii="宋体" w:hAnsi="宋体"/>
                <w:kern w:val="0"/>
                <w:szCs w:val="21"/>
              </w:rPr>
              <w:t>2013.10.29</w:t>
            </w:r>
          </w:p>
        </w:tc>
        <w:tc>
          <w:tcPr>
            <w:tcW w:w="603" w:type="pct"/>
            <w:noWrap w:val="0"/>
            <w:vAlign w:val="center"/>
          </w:tcPr>
          <w:p>
            <w:pPr>
              <w:widowControl/>
              <w:snapToGrid w:val="0"/>
              <w:jc w:val="center"/>
              <w:rPr>
                <w:rFonts w:ascii="宋体" w:hAnsi="宋体"/>
                <w:kern w:val="0"/>
                <w:szCs w:val="21"/>
              </w:rPr>
            </w:pPr>
            <w:r>
              <w:rPr>
                <w:rFonts w:hint="eastAsia" w:ascii="宋体" w:hAnsi="宋体"/>
                <w:kern w:val="0"/>
                <w:szCs w:val="21"/>
              </w:rPr>
              <w:t>2000</w:t>
            </w:r>
          </w:p>
        </w:tc>
        <w:tc>
          <w:tcPr>
            <w:tcW w:w="483"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100%</w:t>
            </w:r>
          </w:p>
        </w:tc>
        <w:tc>
          <w:tcPr>
            <w:tcW w:w="582" w:type="pct"/>
            <w:noWrap/>
            <w:vAlign w:val="center"/>
          </w:tcPr>
          <w:p>
            <w:pPr>
              <w:widowControl/>
              <w:snapToGrid w:val="0"/>
              <w:jc w:val="center"/>
              <w:rPr>
                <w:rFonts w:ascii="宋体" w:hAnsi="宋体"/>
                <w:kern w:val="0"/>
                <w:szCs w:val="21"/>
              </w:rPr>
            </w:pPr>
            <w:r>
              <w:rPr>
                <w:rFonts w:hint="eastAsia" w:ascii="宋体" w:hAnsi="宋体"/>
                <w:kern w:val="0"/>
                <w:szCs w:val="21"/>
              </w:rPr>
              <w:t>李玉刚</w:t>
            </w:r>
          </w:p>
        </w:tc>
        <w:tc>
          <w:tcPr>
            <w:tcW w:w="869" w:type="pct"/>
            <w:noWrap w:val="0"/>
            <w:vAlign w:val="center"/>
          </w:tcPr>
          <w:p>
            <w:pPr>
              <w:widowControl/>
              <w:snapToGrid w:val="0"/>
              <w:jc w:val="center"/>
              <w:rPr>
                <w:rFonts w:ascii="宋体" w:hAnsi="宋体"/>
                <w:kern w:val="0"/>
                <w:szCs w:val="21"/>
              </w:rPr>
            </w:pPr>
            <w:r>
              <w:rPr>
                <w:rFonts w:hint="eastAsia" w:ascii="宋体" w:hAnsi="宋体"/>
                <w:kern w:val="0"/>
                <w:szCs w:val="21"/>
              </w:rPr>
              <w:t>设计、市政工程等</w:t>
            </w:r>
          </w:p>
        </w:tc>
        <w:tc>
          <w:tcPr>
            <w:tcW w:w="459" w:type="pct"/>
            <w:noWrap w:val="0"/>
            <w:vAlign w:val="center"/>
          </w:tcPr>
          <w:p>
            <w:pPr>
              <w:widowControl/>
              <w:snapToGrid w:val="0"/>
              <w:jc w:val="center"/>
              <w:rPr>
                <w:rFonts w:hint="eastAsia" w:ascii="宋体" w:hAnsi="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6"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9</w:t>
            </w:r>
          </w:p>
        </w:tc>
        <w:tc>
          <w:tcPr>
            <w:tcW w:w="1005"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中腾智慧社区运营公司</w:t>
            </w:r>
          </w:p>
        </w:tc>
        <w:tc>
          <w:tcPr>
            <w:tcW w:w="729" w:type="pct"/>
            <w:noWrap w:val="0"/>
            <w:vAlign w:val="center"/>
          </w:tcPr>
          <w:p>
            <w:pPr>
              <w:widowControl/>
              <w:snapToGrid w:val="0"/>
              <w:jc w:val="center"/>
              <w:rPr>
                <w:rFonts w:ascii="宋体" w:hAnsi="宋体"/>
                <w:kern w:val="0"/>
                <w:szCs w:val="21"/>
              </w:rPr>
            </w:pPr>
            <w:r>
              <w:rPr>
                <w:rFonts w:hint="eastAsia" w:ascii="宋体" w:hAnsi="宋体"/>
                <w:kern w:val="0"/>
                <w:szCs w:val="21"/>
              </w:rPr>
              <w:t>2017.8.31</w:t>
            </w:r>
          </w:p>
        </w:tc>
        <w:tc>
          <w:tcPr>
            <w:tcW w:w="603" w:type="pct"/>
            <w:noWrap w:val="0"/>
            <w:vAlign w:val="center"/>
          </w:tcPr>
          <w:p>
            <w:pPr>
              <w:widowControl/>
              <w:snapToGrid w:val="0"/>
              <w:jc w:val="center"/>
              <w:rPr>
                <w:rFonts w:ascii="宋体" w:hAnsi="宋体"/>
                <w:kern w:val="0"/>
                <w:szCs w:val="21"/>
              </w:rPr>
            </w:pPr>
            <w:r>
              <w:rPr>
                <w:rFonts w:hint="eastAsia" w:ascii="宋体" w:hAnsi="宋体"/>
                <w:kern w:val="0"/>
                <w:szCs w:val="21"/>
              </w:rPr>
              <w:t>500</w:t>
            </w:r>
          </w:p>
        </w:tc>
        <w:tc>
          <w:tcPr>
            <w:tcW w:w="483"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100%</w:t>
            </w:r>
          </w:p>
        </w:tc>
        <w:tc>
          <w:tcPr>
            <w:tcW w:w="582" w:type="pct"/>
            <w:noWrap/>
            <w:vAlign w:val="center"/>
          </w:tcPr>
          <w:p>
            <w:pPr>
              <w:widowControl/>
              <w:snapToGrid w:val="0"/>
              <w:jc w:val="center"/>
              <w:rPr>
                <w:rFonts w:ascii="宋体" w:hAnsi="宋体"/>
                <w:kern w:val="0"/>
                <w:szCs w:val="21"/>
              </w:rPr>
            </w:pPr>
            <w:r>
              <w:rPr>
                <w:rFonts w:hint="eastAsia" w:ascii="宋体" w:hAnsi="宋体"/>
                <w:kern w:val="0"/>
                <w:szCs w:val="21"/>
              </w:rPr>
              <w:t>王荣</w:t>
            </w:r>
          </w:p>
        </w:tc>
        <w:tc>
          <w:tcPr>
            <w:tcW w:w="869" w:type="pct"/>
            <w:noWrap w:val="0"/>
            <w:vAlign w:val="center"/>
          </w:tcPr>
          <w:p>
            <w:pPr>
              <w:widowControl/>
              <w:snapToGrid w:val="0"/>
              <w:jc w:val="center"/>
              <w:rPr>
                <w:rFonts w:ascii="宋体" w:hAnsi="宋体"/>
                <w:kern w:val="0"/>
                <w:szCs w:val="21"/>
              </w:rPr>
            </w:pPr>
            <w:r>
              <w:rPr>
                <w:rFonts w:hint="eastAsia" w:ascii="宋体" w:hAnsi="宋体"/>
                <w:kern w:val="0"/>
                <w:szCs w:val="21"/>
              </w:rPr>
              <w:t>居民服务等</w:t>
            </w:r>
          </w:p>
        </w:tc>
        <w:tc>
          <w:tcPr>
            <w:tcW w:w="459" w:type="pct"/>
            <w:noWrap w:val="0"/>
            <w:vAlign w:val="center"/>
          </w:tcPr>
          <w:p>
            <w:pPr>
              <w:widowControl/>
              <w:snapToGrid w:val="0"/>
              <w:jc w:val="center"/>
              <w:rPr>
                <w:rFonts w:hint="eastAsia" w:ascii="宋体" w:hAnsi="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6" w:type="pct"/>
            <w:noWrap w:val="0"/>
            <w:vAlign w:val="center"/>
          </w:tcPr>
          <w:p>
            <w:pPr>
              <w:widowControl/>
              <w:snapToGrid w:val="0"/>
              <w:jc w:val="center"/>
              <w:rPr>
                <w:rFonts w:ascii="宋体" w:hAnsi="宋体"/>
                <w:kern w:val="0"/>
                <w:szCs w:val="21"/>
              </w:rPr>
            </w:pPr>
            <w:r>
              <w:rPr>
                <w:rFonts w:hint="eastAsia" w:ascii="宋体" w:hAnsi="宋体"/>
                <w:kern w:val="0"/>
                <w:szCs w:val="21"/>
              </w:rPr>
              <w:t>10</w:t>
            </w:r>
          </w:p>
        </w:tc>
        <w:tc>
          <w:tcPr>
            <w:tcW w:w="1005" w:type="pct"/>
            <w:noWrap w:val="0"/>
            <w:vAlign w:val="center"/>
          </w:tcPr>
          <w:p>
            <w:pPr>
              <w:widowControl/>
              <w:snapToGrid w:val="0"/>
              <w:jc w:val="center"/>
              <w:rPr>
                <w:rFonts w:hint="eastAsia" w:ascii="宋体" w:hAnsi="宋体"/>
                <w:kern w:val="0"/>
                <w:szCs w:val="21"/>
              </w:rPr>
            </w:pPr>
            <w:r>
              <w:rPr>
                <w:rFonts w:hint="eastAsia" w:ascii="宋体" w:hAnsi="宋体"/>
                <w:kern w:val="0"/>
                <w:szCs w:val="21"/>
              </w:rPr>
              <w:t>繁荣商贸公司</w:t>
            </w:r>
          </w:p>
        </w:tc>
        <w:tc>
          <w:tcPr>
            <w:tcW w:w="729" w:type="pct"/>
            <w:noWrap w:val="0"/>
            <w:vAlign w:val="center"/>
          </w:tcPr>
          <w:p>
            <w:pPr>
              <w:widowControl/>
              <w:snapToGrid w:val="0"/>
              <w:jc w:val="center"/>
              <w:rPr>
                <w:rFonts w:ascii="宋体" w:hAnsi="宋体"/>
                <w:kern w:val="0"/>
                <w:szCs w:val="21"/>
              </w:rPr>
            </w:pPr>
            <w:r>
              <w:rPr>
                <w:rFonts w:hint="eastAsia" w:ascii="宋体" w:hAnsi="宋体"/>
                <w:kern w:val="0"/>
                <w:szCs w:val="21"/>
              </w:rPr>
              <w:t>2019.1.22</w:t>
            </w:r>
          </w:p>
        </w:tc>
        <w:tc>
          <w:tcPr>
            <w:tcW w:w="603" w:type="pct"/>
            <w:noWrap w:val="0"/>
            <w:vAlign w:val="center"/>
          </w:tcPr>
          <w:p>
            <w:pPr>
              <w:widowControl/>
              <w:snapToGrid w:val="0"/>
              <w:jc w:val="center"/>
              <w:rPr>
                <w:rFonts w:ascii="宋体" w:hAnsi="宋体"/>
                <w:kern w:val="0"/>
                <w:szCs w:val="21"/>
              </w:rPr>
            </w:pPr>
            <w:r>
              <w:rPr>
                <w:rFonts w:hint="eastAsia" w:ascii="宋体" w:hAnsi="宋体"/>
                <w:kern w:val="0"/>
                <w:szCs w:val="21"/>
              </w:rPr>
              <w:t>5000</w:t>
            </w:r>
          </w:p>
        </w:tc>
        <w:tc>
          <w:tcPr>
            <w:tcW w:w="483" w:type="pct"/>
            <w:noWrap w:val="0"/>
            <w:vAlign w:val="center"/>
          </w:tcPr>
          <w:p>
            <w:pPr>
              <w:widowControl/>
              <w:snapToGrid w:val="0"/>
              <w:jc w:val="center"/>
              <w:rPr>
                <w:rFonts w:ascii="宋体" w:hAnsi="宋体"/>
                <w:kern w:val="0"/>
                <w:szCs w:val="21"/>
              </w:rPr>
            </w:pPr>
            <w:r>
              <w:rPr>
                <w:rFonts w:hint="eastAsia" w:ascii="宋体" w:hAnsi="宋体"/>
                <w:kern w:val="0"/>
                <w:szCs w:val="21"/>
              </w:rPr>
              <w:t>100%</w:t>
            </w:r>
          </w:p>
        </w:tc>
        <w:tc>
          <w:tcPr>
            <w:tcW w:w="582" w:type="pct"/>
            <w:noWrap/>
            <w:vAlign w:val="center"/>
          </w:tcPr>
          <w:p>
            <w:pPr>
              <w:widowControl/>
              <w:snapToGrid w:val="0"/>
              <w:jc w:val="center"/>
              <w:rPr>
                <w:rFonts w:ascii="宋体" w:hAnsi="宋体"/>
                <w:kern w:val="0"/>
                <w:szCs w:val="21"/>
              </w:rPr>
            </w:pPr>
            <w:r>
              <w:rPr>
                <w:rFonts w:hint="eastAsia" w:ascii="宋体" w:hAnsi="宋体"/>
                <w:kern w:val="0"/>
                <w:szCs w:val="21"/>
              </w:rPr>
              <w:t>王继明</w:t>
            </w:r>
          </w:p>
        </w:tc>
        <w:tc>
          <w:tcPr>
            <w:tcW w:w="869" w:type="pct"/>
            <w:noWrap w:val="0"/>
            <w:vAlign w:val="center"/>
          </w:tcPr>
          <w:p>
            <w:pPr>
              <w:widowControl/>
              <w:snapToGrid w:val="0"/>
              <w:jc w:val="center"/>
              <w:rPr>
                <w:rFonts w:ascii="宋体" w:hAnsi="宋体"/>
                <w:kern w:val="0"/>
                <w:szCs w:val="21"/>
              </w:rPr>
            </w:pPr>
            <w:r>
              <w:rPr>
                <w:rFonts w:ascii="宋体" w:hAnsi="宋体"/>
                <w:kern w:val="0"/>
                <w:szCs w:val="21"/>
              </w:rPr>
              <w:t>园林绿化工程</w:t>
            </w:r>
            <w:r>
              <w:rPr>
                <w:rFonts w:hint="eastAsia" w:ascii="宋体" w:hAnsi="宋体"/>
                <w:kern w:val="0"/>
                <w:szCs w:val="21"/>
              </w:rPr>
              <w:t>、</w:t>
            </w:r>
            <w:r>
              <w:rPr>
                <w:rFonts w:ascii="宋体" w:hAnsi="宋体"/>
                <w:kern w:val="0"/>
                <w:szCs w:val="21"/>
              </w:rPr>
              <w:t>市政建设工程</w:t>
            </w:r>
            <w:r>
              <w:rPr>
                <w:rFonts w:hint="eastAsia" w:ascii="宋体" w:hAnsi="宋体"/>
                <w:kern w:val="0"/>
                <w:szCs w:val="21"/>
              </w:rPr>
              <w:t>等</w:t>
            </w:r>
          </w:p>
        </w:tc>
        <w:tc>
          <w:tcPr>
            <w:tcW w:w="459" w:type="pct"/>
            <w:noWrap w:val="0"/>
            <w:vAlign w:val="center"/>
          </w:tcPr>
          <w:p>
            <w:pPr>
              <w:widowControl/>
              <w:snapToGrid w:val="0"/>
              <w:jc w:val="center"/>
              <w:rPr>
                <w:rFonts w:hint="eastAsia" w:ascii="宋体" w:hAnsi="宋体"/>
                <w:kern w:val="0"/>
                <w:szCs w:val="21"/>
              </w:rPr>
            </w:pPr>
            <w:r>
              <w:rPr>
                <w:rFonts w:hint="eastAsia" w:ascii="宋体" w:hAnsi="宋体" w:cs="宋体"/>
                <w:kern w:val="0"/>
                <w:szCs w:val="21"/>
              </w:rPr>
              <w:t>存续</w:t>
            </w:r>
          </w:p>
        </w:tc>
      </w:tr>
    </w:tbl>
    <w:p>
      <w:pPr>
        <w:adjustRightInd w:val="0"/>
        <w:snapToGrid w:val="0"/>
        <w:spacing w:before="156" w:beforeLines="50" w:line="360" w:lineRule="auto"/>
        <w:ind w:firstLine="602" w:firstLineChars="200"/>
        <w:outlineLvl w:val="2"/>
        <w:rPr>
          <w:rFonts w:hint="eastAsia" w:ascii="仿宋" w:hAnsi="仿宋" w:eastAsia="仿宋" w:cs="仿宋"/>
          <w:b/>
          <w:caps/>
          <w:sz w:val="30"/>
          <w:szCs w:val="30"/>
        </w:rPr>
      </w:pPr>
      <w:bookmarkStart w:id="12" w:name="_Toc26416"/>
      <w:bookmarkStart w:id="13" w:name="_Toc9507"/>
      <w:r>
        <w:rPr>
          <w:rFonts w:hint="eastAsia" w:ascii="仿宋" w:hAnsi="仿宋" w:eastAsia="仿宋" w:cs="仿宋"/>
          <w:b/>
          <w:caps/>
          <w:sz w:val="30"/>
          <w:szCs w:val="30"/>
        </w:rPr>
        <w:t>3.企业财务状况</w:t>
      </w:r>
      <w:bookmarkEnd w:id="12"/>
      <w:bookmarkEnd w:id="13"/>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2021年企业财务状况。根据蒙西正和集团2021年合并财务报表审计报告，截至2021年12月31日，蒙西集团资产总额50,462.30万元，其中流动资产48,111.01万元，非流动资产2,351.29万元；负债总额25,137.69万元，其中流动负债25,137.69万，非流动负债0万元；所有者权益25,324.61万元；营业收入52,792.98万元，营业成本50,506.05万元,净利润435.85万元。</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2022年企业财务状况。根据蒙西正和集团2022年合并财务报表审计报告，截至2022年12月31日，蒙西集团资产总额324,549.45万元，其中流动资产258,055.55万元，非流动资产66,493.90万元；负债总额268,722.31万元，其中流动负债255,332.80万，非流动负债13,389.51万元；所有者权益55,827.14万元；营业收入160,218.69万元，营业成本14</w:t>
      </w:r>
      <w:r>
        <w:rPr>
          <w:rFonts w:ascii="仿宋" w:hAnsi="仿宋" w:eastAsia="仿宋" w:cs="仿宋"/>
          <w:bCs/>
          <w:caps/>
          <w:sz w:val="30"/>
          <w:szCs w:val="30"/>
        </w:rPr>
        <w:t>9</w:t>
      </w:r>
      <w:r>
        <w:rPr>
          <w:rFonts w:hint="eastAsia" w:ascii="仿宋" w:hAnsi="仿宋" w:eastAsia="仿宋" w:cs="仿宋"/>
          <w:bCs/>
          <w:caps/>
          <w:sz w:val="30"/>
          <w:szCs w:val="30"/>
        </w:rPr>
        <w:t>,838.94万元,净利润1877.16万元。</w:t>
      </w:r>
    </w:p>
    <w:p>
      <w:pPr>
        <w:adjustRightInd w:val="0"/>
        <w:snapToGrid w:val="0"/>
        <w:spacing w:line="360" w:lineRule="auto"/>
        <w:ind w:firstLine="600" w:firstLineChars="200"/>
        <w:rPr>
          <w:rFonts w:hint="default" w:eastAsia="仿宋"/>
          <w:lang w:val="en-US" w:eastAsia="zh-CN"/>
        </w:rPr>
      </w:pPr>
      <w:r>
        <w:rPr>
          <w:rFonts w:hint="eastAsia" w:ascii="仿宋" w:hAnsi="仿宋" w:eastAsia="仿宋" w:cs="仿宋"/>
          <w:bCs/>
          <w:caps/>
          <w:sz w:val="30"/>
          <w:szCs w:val="30"/>
        </w:rPr>
        <w:t>根据《伊金霍洛旗财政局关于旗属国有企业上缴2021年国有资本经营收益的通知》（伊财发</w:t>
      </w:r>
      <w:r>
        <w:rPr>
          <w:rFonts w:hint="eastAsia" w:ascii="仿宋" w:hAnsi="仿宋" w:eastAsia="仿宋" w:cs="仿宋"/>
          <w:bCs/>
          <w:caps/>
          <w:spacing w:val="-6"/>
          <w:sz w:val="30"/>
          <w:szCs w:val="30"/>
        </w:rPr>
        <w:t>〔2021〕</w:t>
      </w:r>
      <w:r>
        <w:rPr>
          <w:rFonts w:hint="eastAsia" w:ascii="仿宋" w:hAnsi="仿宋" w:eastAsia="仿宋" w:cs="仿宋"/>
          <w:bCs/>
          <w:caps/>
          <w:sz w:val="30"/>
          <w:szCs w:val="30"/>
        </w:rPr>
        <w:t>93号）中上缴利润比例10%的要求，2022年12月集团</w:t>
      </w:r>
      <w:r>
        <w:rPr>
          <w:rFonts w:hint="eastAsia" w:ascii="仿宋" w:hAnsi="仿宋" w:eastAsia="仿宋" w:cs="仿宋"/>
          <w:bCs/>
          <w:caps/>
          <w:sz w:val="30"/>
          <w:szCs w:val="30"/>
          <w:lang w:val="en-US" w:eastAsia="zh-CN"/>
        </w:rPr>
        <w:t>上缴2021年度</w:t>
      </w:r>
      <w:r>
        <w:rPr>
          <w:rFonts w:hint="eastAsia" w:ascii="仿宋" w:hAnsi="仿宋" w:eastAsia="仿宋" w:cs="仿宋"/>
          <w:bCs/>
          <w:caps/>
          <w:sz w:val="30"/>
          <w:szCs w:val="30"/>
        </w:rPr>
        <w:t>收益额8.39万元</w:t>
      </w:r>
      <w:r>
        <w:rPr>
          <w:rFonts w:hint="eastAsia" w:ascii="仿宋" w:hAnsi="仿宋" w:eastAsia="仿宋" w:cs="仿宋"/>
          <w:bCs/>
          <w:caps/>
          <w:sz w:val="30"/>
          <w:szCs w:val="30"/>
          <w:lang w:eastAsia="zh-CN"/>
        </w:rPr>
        <w:t>，</w:t>
      </w:r>
      <w:r>
        <w:rPr>
          <w:rFonts w:hint="eastAsia" w:ascii="仿宋" w:hAnsi="仿宋" w:eastAsia="仿宋" w:cs="仿宋"/>
          <w:bCs/>
          <w:caps/>
          <w:sz w:val="30"/>
          <w:szCs w:val="30"/>
          <w:lang w:val="en-US" w:eastAsia="zh-CN"/>
        </w:rPr>
        <w:t>2022年度收益额计划于2023年年底上缴。</w:t>
      </w:r>
    </w:p>
    <w:bookmarkEnd w:id="5"/>
    <w:bookmarkEnd w:id="6"/>
    <w:bookmarkEnd w:id="7"/>
    <w:p>
      <w:pPr>
        <w:adjustRightInd w:val="0"/>
        <w:snapToGrid w:val="0"/>
        <w:spacing w:line="360" w:lineRule="auto"/>
        <w:ind w:firstLine="642" w:firstLineChars="200"/>
        <w:outlineLvl w:val="1"/>
        <w:rPr>
          <w:rFonts w:hint="eastAsia" w:ascii="楷体" w:hAnsi="楷体" w:eastAsia="楷体" w:cs="Arial"/>
          <w:b/>
          <w:kern w:val="0"/>
          <w:sz w:val="32"/>
          <w:szCs w:val="32"/>
        </w:rPr>
      </w:pPr>
      <w:bookmarkStart w:id="14" w:name="_Toc15381"/>
      <w:r>
        <w:rPr>
          <w:rFonts w:hint="eastAsia" w:ascii="楷体" w:hAnsi="楷体" w:eastAsia="楷体" w:cs="Arial"/>
          <w:b/>
          <w:kern w:val="0"/>
          <w:sz w:val="32"/>
          <w:szCs w:val="32"/>
        </w:rPr>
        <w:t>（二）项目基本情况</w:t>
      </w:r>
      <w:bookmarkEnd w:id="14"/>
    </w:p>
    <w:p>
      <w:pPr>
        <w:adjustRightInd w:val="0"/>
        <w:snapToGrid w:val="0"/>
        <w:spacing w:line="360" w:lineRule="auto"/>
        <w:ind w:firstLine="602" w:firstLineChars="200"/>
        <w:outlineLvl w:val="2"/>
        <w:rPr>
          <w:rFonts w:hint="eastAsia" w:ascii="仿宋" w:hAnsi="仿宋" w:eastAsia="仿宋" w:cs="仿宋"/>
          <w:b/>
          <w:caps/>
          <w:sz w:val="30"/>
          <w:szCs w:val="30"/>
        </w:rPr>
      </w:pPr>
      <w:bookmarkStart w:id="15" w:name="_Toc6240"/>
      <w:bookmarkStart w:id="16" w:name="_Toc16355"/>
      <w:r>
        <w:rPr>
          <w:rFonts w:hint="eastAsia" w:ascii="仿宋" w:hAnsi="仿宋" w:eastAsia="仿宋" w:cs="仿宋"/>
          <w:b/>
          <w:caps/>
          <w:sz w:val="30"/>
          <w:szCs w:val="30"/>
        </w:rPr>
        <w:t>1.项目背景及内容</w:t>
      </w:r>
      <w:bookmarkEnd w:id="15"/>
      <w:bookmarkEnd w:id="16"/>
    </w:p>
    <w:p>
      <w:pPr>
        <w:adjustRightInd w:val="0"/>
        <w:snapToGrid w:val="0"/>
        <w:spacing w:line="360" w:lineRule="auto"/>
        <w:ind w:firstLine="602" w:firstLineChars="200"/>
        <w:outlineLvl w:val="3"/>
        <w:rPr>
          <w:rFonts w:hint="eastAsia" w:ascii="仿宋" w:hAnsi="仿宋" w:eastAsia="仿宋" w:cs="仿宋"/>
          <w:bCs/>
          <w:caps/>
          <w:sz w:val="30"/>
          <w:szCs w:val="30"/>
        </w:rPr>
      </w:pPr>
      <w:r>
        <w:rPr>
          <w:rFonts w:hint="eastAsia" w:ascii="仿宋" w:hAnsi="仿宋" w:eastAsia="仿宋" w:cs="仿宋"/>
          <w:b/>
          <w:caps/>
          <w:sz w:val="30"/>
          <w:szCs w:val="30"/>
        </w:rPr>
        <w:t>（1）蒙西正和集团申请注册资本金</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2021年3月，新华社授权播发《中华人民共和国国民经济和社会发展第十四个五年规划和2035年远景目标纲要》，规划中提出：加快国有经济布局优化、结构调整和战略性重组，增强国有经济竞争力、创新力、控制力、影响力、抗风险能力，做强做优做大国有资本和国有企业。2021年12月，鄂尔多斯人民政府印发《鄂尔多斯市国民经济和社会发展第十四个五年规划和2035年远景目标纲要》，规划中提出：推动国有资产资源向资本运营、产业投资、城市运营、水务农牧、文化旅游等板块集聚，实现资源、资本向优势产业、优势企业聚集，降低企业同质化竞争程度，优化国有资本配置，进一步增强规模实力。</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为响应国有企业及国有资本相关规划和要求，落实旗委、旗政府及国资委确定的战略目标和要求，进一步发挥蒙西正和集团战略性国有资本投资、运营平台的作用，不断增强综合实力，集团于2022年申请拨付注册资本金，用于东台铁路项目及向远景红杉碳中和基金出资项目。项目主要内容如下：</w:t>
      </w:r>
    </w:p>
    <w:p>
      <w:pPr>
        <w:adjustRightInd w:val="0"/>
        <w:snapToGrid w:val="0"/>
        <w:spacing w:line="360" w:lineRule="auto"/>
        <w:ind w:firstLine="602" w:firstLineChars="200"/>
        <w:rPr>
          <w:bCs/>
          <w:sz w:val="30"/>
          <w:szCs w:val="30"/>
        </w:rPr>
      </w:pPr>
      <w:r>
        <w:rPr>
          <w:rFonts w:hint="eastAsia" w:ascii="仿宋" w:hAnsi="仿宋" w:eastAsia="仿宋" w:cs="仿宋"/>
          <w:b/>
          <w:caps/>
          <w:sz w:val="30"/>
          <w:szCs w:val="30"/>
        </w:rPr>
        <w:t>一是</w:t>
      </w:r>
      <w:r>
        <w:rPr>
          <w:rFonts w:hint="eastAsia" w:ascii="仿宋" w:hAnsi="仿宋" w:eastAsia="仿宋" w:cs="仿宋"/>
          <w:bCs/>
          <w:caps/>
          <w:sz w:val="30"/>
          <w:szCs w:val="30"/>
        </w:rPr>
        <w:t>东台铁路项目。东台铁路项目为煤炭供应链物流体系建设及能源经济示范区相关项目的一部分，起止自国铁呼鄂铁路东胜东站，终至台格庙矿区月牙树湾装车站。项目拟分两期建设，一期工期3.5年，二期工期2年。</w:t>
      </w:r>
    </w:p>
    <w:p>
      <w:pPr>
        <w:pStyle w:val="2"/>
        <w:adjustRightInd w:val="0"/>
        <w:snapToGrid w:val="0"/>
        <w:spacing w:line="360" w:lineRule="auto"/>
        <w:ind w:firstLine="602"/>
        <w:rPr>
          <w:b/>
          <w:szCs w:val="30"/>
        </w:rPr>
      </w:pPr>
      <w:r>
        <w:rPr>
          <w:rFonts w:hint="eastAsia" w:ascii="仿宋" w:hAnsi="仿宋" w:eastAsia="仿宋" w:cs="仿宋"/>
          <w:b/>
          <w:caps/>
          <w:szCs w:val="30"/>
        </w:rPr>
        <w:t>二是</w:t>
      </w:r>
      <w:r>
        <w:rPr>
          <w:rFonts w:hint="eastAsia" w:ascii="仿宋" w:hAnsi="仿宋" w:eastAsia="仿宋" w:cs="仿宋"/>
          <w:bCs/>
          <w:caps/>
          <w:szCs w:val="30"/>
        </w:rPr>
        <w:t>向远景红杉碳中和基金出资。为加快零碳产业园建设、培育零碳产业，由蒙西正和集团代表鄂尔多斯市向远景红杉碳中和基金出资3亿元，并约定截至基金退出届满之日，返投义务主体应返投鄂尔多斯市地域范围内注册企业或产业。</w:t>
      </w:r>
    </w:p>
    <w:p>
      <w:pPr>
        <w:adjustRightInd w:val="0"/>
        <w:snapToGrid w:val="0"/>
        <w:spacing w:line="360" w:lineRule="auto"/>
        <w:ind w:firstLine="602" w:firstLineChars="200"/>
        <w:outlineLvl w:val="3"/>
        <w:rPr>
          <w:rFonts w:hint="eastAsia" w:ascii="仿宋" w:hAnsi="仿宋" w:eastAsia="仿宋" w:cs="仿宋"/>
          <w:bCs/>
          <w:caps/>
          <w:sz w:val="30"/>
          <w:szCs w:val="30"/>
        </w:rPr>
      </w:pPr>
      <w:r>
        <w:rPr>
          <w:rFonts w:hint="eastAsia" w:ascii="仿宋" w:hAnsi="仿宋" w:eastAsia="仿宋" w:cs="仿宋"/>
          <w:b/>
          <w:caps/>
          <w:sz w:val="30"/>
          <w:szCs w:val="30"/>
        </w:rPr>
        <w:t>（2）内蒙古宏焱工贸有限责任公司申请注册资本金</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宏焱工贸公司为蒙西正和集团子公司，主要经营范围包括各类工程建设活动、房屋建筑和市政基础设施项目工程总承包、林木种子生产经营等，公司位于伊金霍洛旗红庆河镇。</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十四五”时期，是乘势而上开启全面建设社会主义现代化国家新征程、向第二个百年奋斗目标进军的第一个五年。民族要复兴，乡村必振兴。2021年11月，国务院印发《“十四五”推进农业农村现代化规划》，规划中提出：“三农”工作重心历史性转向全面推进乡村振兴，加快中国特色农业农村现代化进程。并将“农村基础设施建设取得新进展”、“农村生态环境明显改善”、“农业质量效益和竞争力稳步提高”等内容设为规划的主要目标。</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为响应国家政策，做好乡村振兴</w:t>
      </w:r>
      <w:r>
        <w:rPr>
          <w:rFonts w:hint="eastAsia" w:ascii="仿宋" w:hAnsi="仿宋" w:eastAsia="仿宋" w:cs="仿宋"/>
          <w:bCs/>
          <w:caps/>
          <w:sz w:val="30"/>
          <w:szCs w:val="30"/>
          <w:lang w:val="en-US" w:eastAsia="zh-CN"/>
        </w:rPr>
        <w:t>工作</w:t>
      </w:r>
      <w:r>
        <w:rPr>
          <w:rFonts w:hint="eastAsia" w:ascii="仿宋" w:hAnsi="仿宋" w:eastAsia="仿宋" w:cs="仿宋"/>
          <w:bCs/>
          <w:caps/>
          <w:sz w:val="30"/>
          <w:szCs w:val="30"/>
        </w:rPr>
        <w:t>，红庆河镇政府委托宏焱工贸公司进行了一系列重点项目建设。为确保项目顺利进行，宏焱工贸公司申请共计600.35万元注册资本金主要用于乌阿线道路两侧绿化、红庆河镇地产食品加工园区和农贸与机修服务区项目。项目主要内容如下：</w:t>
      </w:r>
    </w:p>
    <w:p>
      <w:pPr>
        <w:pStyle w:val="2"/>
        <w:adjustRightInd w:val="0"/>
        <w:snapToGrid w:val="0"/>
        <w:spacing w:line="360" w:lineRule="auto"/>
        <w:ind w:firstLine="602"/>
        <w:rPr>
          <w:rFonts w:ascii="仿宋" w:hAnsi="仿宋" w:eastAsia="仿宋" w:cs="仿宋"/>
          <w:bCs/>
          <w:caps/>
          <w:szCs w:val="30"/>
        </w:rPr>
      </w:pPr>
      <w:r>
        <w:rPr>
          <w:rFonts w:hint="eastAsia" w:ascii="仿宋" w:hAnsi="仿宋" w:eastAsia="仿宋" w:cs="仿宋"/>
          <w:b/>
          <w:caps/>
          <w:szCs w:val="30"/>
        </w:rPr>
        <w:t>一是</w:t>
      </w:r>
      <w:r>
        <w:rPr>
          <w:rFonts w:hint="eastAsia" w:ascii="仿宋" w:hAnsi="仿宋" w:eastAsia="仿宋" w:cs="仿宋"/>
          <w:bCs/>
          <w:caps/>
          <w:szCs w:val="30"/>
        </w:rPr>
        <w:t>乌阿线道路两侧绿化项目。项目主要建设内容为乌阿线10.8公里到50公里道路两侧各9米范围绿化，建设年限为2019年9月</w:t>
      </w:r>
      <w:r>
        <w:rPr>
          <w:rFonts w:hint="eastAsia" w:ascii="仿宋" w:hAnsi="仿宋" w:eastAsia="仿宋" w:cs="仿宋"/>
          <w:bCs/>
          <w:caps/>
          <w:szCs w:val="30"/>
          <w:lang w:val="en-US" w:eastAsia="zh-CN"/>
        </w:rPr>
        <w:t>至</w:t>
      </w:r>
      <w:r>
        <w:rPr>
          <w:rFonts w:hint="eastAsia" w:ascii="仿宋" w:hAnsi="仿宋" w:eastAsia="仿宋" w:cs="仿宋"/>
          <w:bCs/>
          <w:caps/>
          <w:szCs w:val="30"/>
        </w:rPr>
        <w:t>2019年11月。</w:t>
      </w:r>
    </w:p>
    <w:p>
      <w:pPr>
        <w:pStyle w:val="2"/>
        <w:adjustRightInd w:val="0"/>
        <w:snapToGrid w:val="0"/>
        <w:spacing w:line="360" w:lineRule="auto"/>
        <w:ind w:firstLine="602"/>
        <w:rPr>
          <w:rFonts w:ascii="仿宋" w:hAnsi="仿宋" w:eastAsia="仿宋" w:cs="仿宋"/>
          <w:b/>
          <w:caps/>
          <w:szCs w:val="30"/>
        </w:rPr>
      </w:pPr>
      <w:r>
        <w:rPr>
          <w:rFonts w:hint="eastAsia" w:ascii="仿宋" w:hAnsi="仿宋" w:eastAsia="仿宋" w:cs="仿宋"/>
          <w:b/>
          <w:caps/>
          <w:szCs w:val="30"/>
        </w:rPr>
        <w:t>二是</w:t>
      </w:r>
      <w:r>
        <w:rPr>
          <w:rFonts w:hint="eastAsia" w:ascii="仿宋" w:hAnsi="仿宋" w:eastAsia="仿宋" w:cs="仿宋"/>
          <w:bCs/>
          <w:caps/>
          <w:szCs w:val="30"/>
        </w:rPr>
        <w:t>红庆河镇地产食品加工园区项目。项目主要建设内容为在红庆河镇哈达图淖尔村五社建设地产食品加工园区，厂房内容包括1#小米谷物类加工车间、2#小麦石磨制粉加工车间及3#黑枸杞加工车间，建设年限为2019年</w:t>
      </w:r>
      <w:r>
        <w:rPr>
          <w:rFonts w:hint="eastAsia" w:ascii="仿宋" w:hAnsi="仿宋" w:eastAsia="仿宋" w:cs="仿宋"/>
          <w:bCs/>
          <w:caps/>
          <w:szCs w:val="30"/>
          <w:lang w:val="en-US" w:eastAsia="zh-CN"/>
        </w:rPr>
        <w:t>至</w:t>
      </w:r>
      <w:r>
        <w:rPr>
          <w:rFonts w:hint="eastAsia" w:ascii="仿宋" w:hAnsi="仿宋" w:eastAsia="仿宋" w:cs="仿宋"/>
          <w:bCs/>
          <w:caps/>
          <w:szCs w:val="30"/>
        </w:rPr>
        <w:t>2021年。</w:t>
      </w:r>
    </w:p>
    <w:p>
      <w:pPr>
        <w:pStyle w:val="2"/>
        <w:adjustRightInd w:val="0"/>
        <w:snapToGrid w:val="0"/>
        <w:spacing w:line="360" w:lineRule="auto"/>
        <w:ind w:firstLine="602"/>
        <w:rPr>
          <w:rFonts w:hint="eastAsia" w:ascii="仿宋" w:hAnsi="仿宋" w:eastAsia="仿宋" w:cs="仿宋"/>
          <w:bCs/>
          <w:caps/>
          <w:szCs w:val="30"/>
        </w:rPr>
      </w:pPr>
      <w:r>
        <w:rPr>
          <w:rFonts w:hint="eastAsia" w:ascii="仿宋" w:hAnsi="仿宋" w:eastAsia="仿宋" w:cs="仿宋"/>
          <w:b/>
          <w:caps/>
          <w:szCs w:val="30"/>
        </w:rPr>
        <w:t>三是</w:t>
      </w:r>
      <w:r>
        <w:rPr>
          <w:rFonts w:hint="eastAsia" w:ascii="仿宋" w:hAnsi="仿宋" w:eastAsia="仿宋" w:cs="仿宋"/>
          <w:bCs/>
          <w:caps/>
          <w:szCs w:val="30"/>
        </w:rPr>
        <w:t>农贸与机修服务区项目。项目主要建设内容包括：新建商务楼1#、3#、4#、5#、#6共5栋，防水池及泵房、道路硬化及绿化、室外给水、室外排水、室外消防、室外热力、室外供电及其他附属设施。建设年限为2020年</w:t>
      </w:r>
      <w:r>
        <w:rPr>
          <w:rFonts w:hint="eastAsia" w:ascii="仿宋" w:hAnsi="仿宋" w:eastAsia="仿宋" w:cs="仿宋"/>
          <w:bCs/>
          <w:caps/>
          <w:szCs w:val="30"/>
          <w:lang w:val="en-US" w:eastAsia="zh-CN"/>
        </w:rPr>
        <w:t>至</w:t>
      </w:r>
      <w:r>
        <w:rPr>
          <w:rFonts w:hint="eastAsia" w:ascii="仿宋" w:hAnsi="仿宋" w:eastAsia="仿宋" w:cs="仿宋"/>
          <w:bCs/>
          <w:caps/>
          <w:szCs w:val="30"/>
        </w:rPr>
        <w:t>2022年。</w:t>
      </w:r>
    </w:p>
    <w:p>
      <w:pPr>
        <w:adjustRightInd w:val="0"/>
        <w:snapToGrid w:val="0"/>
        <w:spacing w:line="360" w:lineRule="auto"/>
        <w:ind w:firstLine="602" w:firstLineChars="200"/>
        <w:outlineLvl w:val="2"/>
        <w:rPr>
          <w:rFonts w:hint="eastAsia" w:ascii="仿宋" w:hAnsi="仿宋" w:eastAsia="仿宋" w:cs="仿宋"/>
          <w:b/>
          <w:caps/>
          <w:sz w:val="30"/>
          <w:szCs w:val="30"/>
        </w:rPr>
      </w:pPr>
      <w:bookmarkStart w:id="17" w:name="_Toc21183"/>
      <w:bookmarkStart w:id="18" w:name="_Toc25999"/>
      <w:r>
        <w:rPr>
          <w:rFonts w:ascii="仿宋" w:hAnsi="仿宋" w:eastAsia="仿宋" w:cs="仿宋"/>
          <w:b/>
          <w:caps/>
          <w:sz w:val="30"/>
          <w:szCs w:val="30"/>
        </w:rPr>
        <w:t>2.</w:t>
      </w:r>
      <w:r>
        <w:rPr>
          <w:rFonts w:hint="eastAsia" w:ascii="仿宋" w:hAnsi="仿宋" w:eastAsia="仿宋" w:cs="仿宋"/>
          <w:b/>
          <w:caps/>
          <w:sz w:val="30"/>
          <w:szCs w:val="30"/>
        </w:rPr>
        <w:t>项目实施情况</w:t>
      </w:r>
      <w:bookmarkEnd w:id="17"/>
      <w:bookmarkEnd w:id="18"/>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（1）蒙西正和集团申请注册资本金</w:t>
      </w:r>
    </w:p>
    <w:p>
      <w:pPr>
        <w:adjustRightInd w:val="0"/>
        <w:snapToGrid w:val="0"/>
        <w:spacing w:line="360" w:lineRule="auto"/>
        <w:ind w:firstLine="602" w:firstLineChars="200"/>
        <w:rPr>
          <w:bCs/>
          <w:sz w:val="30"/>
          <w:szCs w:val="30"/>
        </w:rPr>
      </w:pPr>
      <w:r>
        <w:rPr>
          <w:rFonts w:hint="eastAsia" w:ascii="仿宋" w:hAnsi="仿宋" w:eastAsia="仿宋" w:cs="仿宋"/>
          <w:b/>
          <w:caps/>
          <w:sz w:val="30"/>
          <w:szCs w:val="30"/>
        </w:rPr>
        <w:t>一是</w:t>
      </w:r>
      <w:r>
        <w:rPr>
          <w:rFonts w:hint="eastAsia" w:ascii="仿宋" w:hAnsi="仿宋" w:eastAsia="仿宋" w:cs="仿宋"/>
          <w:bCs/>
          <w:caps/>
          <w:sz w:val="30"/>
          <w:szCs w:val="30"/>
        </w:rPr>
        <w:t>东台铁路项目。截至评价日，东台铁路项目已完成土地预审、规划选址、地质勘探、社会稳定风险评估、土地勘测定界等部分前期工作，并根据东台铁路最新设计方案修改完成了可行性研究报告。2023年3月7月，国能包神东月铁路有限公司完成工商注册，其中蒙西正和集团占股35%,国能包神铁路集团有限责任公司占股65%，负责东台铁路的建设与运营，项目资料现已全部移交至东月铁路公司。</w:t>
      </w:r>
    </w:p>
    <w:p>
      <w:pPr>
        <w:pStyle w:val="2"/>
        <w:adjustRightInd w:val="0"/>
        <w:snapToGrid w:val="0"/>
        <w:spacing w:line="360" w:lineRule="auto"/>
        <w:ind w:firstLine="602"/>
        <w:rPr>
          <w:b/>
          <w:szCs w:val="30"/>
        </w:rPr>
      </w:pPr>
      <w:r>
        <w:rPr>
          <w:rFonts w:hint="eastAsia" w:ascii="仿宋" w:hAnsi="仿宋" w:eastAsia="仿宋" w:cs="仿宋"/>
          <w:b/>
          <w:caps/>
          <w:szCs w:val="30"/>
        </w:rPr>
        <w:t>二是</w:t>
      </w:r>
      <w:r>
        <w:rPr>
          <w:rFonts w:hint="eastAsia" w:ascii="仿宋" w:hAnsi="仿宋" w:eastAsia="仿宋" w:cs="仿宋"/>
          <w:bCs/>
          <w:caps/>
          <w:szCs w:val="30"/>
        </w:rPr>
        <w:t>向远景红杉碳中和基金出资。2022年4月，蒙西正和集团与红杉文德股权投资管理（北京）有限公司、远景能源科技（上海）有限公司签订了《投资合作协议》，约定了基金规模、出资比例、返投要求以及其他内容。2022年10月，蒙西正和集团与无锡远杉红杉碳中和股权投资基金（有限合伙）签订了有限合伙协议，并实际缴付出资人民币3亿元,完成出资任务。</w:t>
      </w:r>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（2）宏焱工贸公司申请注册资本金</w:t>
      </w:r>
    </w:p>
    <w:p>
      <w:pPr>
        <w:adjustRightInd w:val="0"/>
        <w:snapToGrid w:val="0"/>
        <w:spacing w:line="360" w:lineRule="auto"/>
        <w:ind w:firstLine="602" w:firstLineChars="200"/>
        <w:rPr>
          <w:rFonts w:ascii="仿宋" w:hAnsi="仿宋" w:eastAsia="仿宋" w:cs="仿宋"/>
          <w:bCs/>
          <w:caps/>
          <w:sz w:val="30"/>
          <w:szCs w:val="30"/>
        </w:rPr>
      </w:pPr>
      <w:r>
        <w:rPr>
          <w:rFonts w:hint="eastAsia" w:ascii="仿宋" w:hAnsi="仿宋" w:eastAsia="仿宋" w:cs="仿宋"/>
          <w:b/>
          <w:caps/>
          <w:sz w:val="30"/>
          <w:szCs w:val="30"/>
        </w:rPr>
        <w:t>一是</w:t>
      </w:r>
      <w:r>
        <w:rPr>
          <w:rFonts w:hint="eastAsia" w:ascii="仿宋" w:hAnsi="仿宋" w:eastAsia="仿宋" w:cs="仿宋"/>
          <w:bCs/>
          <w:caps/>
          <w:sz w:val="30"/>
          <w:szCs w:val="30"/>
        </w:rPr>
        <w:t>乌阿线道路两侧绿化项目。项目已于2021年12月完工，并完成三年养护工作，但由于项目处于审计阶段，故暂未出具竣工验收报告。</w:t>
      </w:r>
    </w:p>
    <w:p>
      <w:pPr>
        <w:adjustRightInd w:val="0"/>
        <w:snapToGrid w:val="0"/>
        <w:spacing w:line="360" w:lineRule="auto"/>
        <w:ind w:firstLine="602" w:firstLineChars="200"/>
        <w:rPr>
          <w:rFonts w:ascii="仿宋" w:hAnsi="仿宋" w:eastAsia="仿宋" w:cs="仿宋"/>
          <w:bCs/>
          <w:caps/>
          <w:sz w:val="30"/>
          <w:szCs w:val="30"/>
        </w:rPr>
      </w:pPr>
      <w:r>
        <w:rPr>
          <w:rFonts w:hint="eastAsia" w:ascii="仿宋" w:hAnsi="仿宋" w:eastAsia="仿宋" w:cs="仿宋"/>
          <w:b/>
          <w:caps/>
          <w:sz w:val="30"/>
          <w:szCs w:val="30"/>
        </w:rPr>
        <w:t>二是</w:t>
      </w:r>
      <w:r>
        <w:rPr>
          <w:rFonts w:hint="eastAsia" w:ascii="仿宋" w:hAnsi="仿宋" w:eastAsia="仿宋" w:cs="仿宋"/>
          <w:bCs/>
          <w:caps/>
          <w:sz w:val="30"/>
          <w:szCs w:val="30"/>
        </w:rPr>
        <w:t>红庆河镇地产食品加工园区项目。项目已完成1#小米等谷物类加工车间、2#小麦石磨制粉加工车间及3#黑枸杞加工车间的建设，但因项目部分手续未完成，故工程未出具竣工验收报告。</w:t>
      </w:r>
    </w:p>
    <w:p>
      <w:pPr>
        <w:adjustRightInd w:val="0"/>
        <w:snapToGrid w:val="0"/>
        <w:spacing w:line="360" w:lineRule="auto"/>
        <w:ind w:firstLine="602" w:firstLineChars="200"/>
        <w:rPr>
          <w:rFonts w:ascii="仿宋" w:hAnsi="仿宋" w:eastAsia="仿宋" w:cs="仿宋"/>
          <w:bCs/>
          <w:caps/>
          <w:sz w:val="30"/>
          <w:szCs w:val="30"/>
        </w:rPr>
      </w:pPr>
      <w:r>
        <w:rPr>
          <w:rFonts w:hint="eastAsia" w:ascii="仿宋" w:hAnsi="仿宋" w:eastAsia="仿宋" w:cs="仿宋"/>
          <w:b/>
          <w:caps/>
          <w:sz w:val="30"/>
          <w:szCs w:val="30"/>
        </w:rPr>
        <w:t>三是</w:t>
      </w:r>
      <w:r>
        <w:rPr>
          <w:rFonts w:hint="eastAsia" w:ascii="仿宋" w:hAnsi="仿宋" w:eastAsia="仿宋" w:cs="仿宋"/>
          <w:bCs/>
          <w:caps/>
          <w:sz w:val="30"/>
          <w:szCs w:val="30"/>
        </w:rPr>
        <w:t>农贸与机修服务区项目。项目已完成农贸与机修服务区内1#、3#、4#、5#、6#共5栋商业楼的建设，但由于项目部分手续未完成，故工程未出具竣工验收报告。</w:t>
      </w:r>
    </w:p>
    <w:p>
      <w:pPr>
        <w:adjustRightInd w:val="0"/>
        <w:snapToGrid w:val="0"/>
        <w:spacing w:line="360" w:lineRule="auto"/>
        <w:ind w:firstLine="602" w:firstLineChars="200"/>
        <w:outlineLvl w:val="2"/>
        <w:rPr>
          <w:rFonts w:hint="eastAsia" w:ascii="仿宋" w:hAnsi="仿宋" w:eastAsia="仿宋" w:cs="仿宋"/>
          <w:b/>
          <w:caps/>
          <w:sz w:val="30"/>
          <w:szCs w:val="30"/>
        </w:rPr>
      </w:pPr>
      <w:bookmarkStart w:id="19" w:name="_Toc66"/>
      <w:bookmarkStart w:id="20" w:name="_Toc21838"/>
      <w:r>
        <w:rPr>
          <w:rFonts w:ascii="仿宋" w:hAnsi="仿宋" w:eastAsia="仿宋" w:cs="仿宋"/>
          <w:b/>
          <w:caps/>
          <w:sz w:val="30"/>
          <w:szCs w:val="30"/>
        </w:rPr>
        <w:t>3</w:t>
      </w:r>
      <w:r>
        <w:rPr>
          <w:rFonts w:hint="eastAsia" w:ascii="仿宋" w:hAnsi="仿宋" w:eastAsia="仿宋" w:cs="仿宋"/>
          <w:b/>
          <w:caps/>
          <w:sz w:val="30"/>
          <w:szCs w:val="30"/>
        </w:rPr>
        <w:t>.项目资金情况</w:t>
      </w:r>
      <w:bookmarkEnd w:id="19"/>
      <w:bookmarkEnd w:id="20"/>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（1）蒙西正和集团申请注册资本金</w:t>
      </w:r>
    </w:p>
    <w:p>
      <w:pPr>
        <w:adjustRightInd w:val="0"/>
        <w:snapToGrid w:val="0"/>
        <w:spacing w:line="360" w:lineRule="auto"/>
        <w:ind w:firstLine="602" w:firstLineChars="200"/>
        <w:rPr>
          <w:bCs/>
          <w:sz w:val="30"/>
          <w:szCs w:val="30"/>
        </w:rPr>
      </w:pPr>
      <w:r>
        <w:rPr>
          <w:rFonts w:hint="eastAsia" w:ascii="仿宋" w:hAnsi="仿宋" w:eastAsia="仿宋" w:cs="仿宋"/>
          <w:b/>
          <w:caps/>
          <w:sz w:val="30"/>
          <w:szCs w:val="30"/>
        </w:rPr>
        <w:t>一是</w:t>
      </w:r>
      <w:r>
        <w:rPr>
          <w:rFonts w:hint="eastAsia" w:ascii="仿宋" w:hAnsi="仿宋" w:eastAsia="仿宋" w:cs="仿宋"/>
          <w:bCs/>
          <w:caps/>
          <w:sz w:val="30"/>
          <w:szCs w:val="30"/>
        </w:rPr>
        <w:t>东台铁路项目。项目一期计划总投资113.5亿元，蒙西正和集团于2022年申请注册资本金3400万元用于本项目，现已全部到位。截至评价日，注册资本金已全部支出，预算执行率为100%。</w:t>
      </w:r>
    </w:p>
    <w:p>
      <w:pPr>
        <w:adjustRightInd w:val="0"/>
        <w:snapToGrid w:val="0"/>
        <w:spacing w:line="360" w:lineRule="auto"/>
        <w:ind w:firstLine="602" w:firstLineChars="200"/>
        <w:rPr>
          <w:rFonts w:ascii="仿宋" w:hAnsi="仿宋" w:eastAsia="仿宋" w:cs="仿宋"/>
          <w:bCs/>
          <w:caps/>
          <w:sz w:val="30"/>
          <w:szCs w:val="30"/>
          <w:highlight w:val="yellow"/>
        </w:rPr>
      </w:pPr>
      <w:r>
        <w:rPr>
          <w:rFonts w:hint="eastAsia" w:ascii="仿宋" w:hAnsi="仿宋" w:eastAsia="仿宋" w:cs="仿宋"/>
          <w:b/>
          <w:caps/>
          <w:sz w:val="30"/>
          <w:szCs w:val="30"/>
        </w:rPr>
        <w:t>二是</w:t>
      </w:r>
      <w:r>
        <w:rPr>
          <w:rFonts w:hint="eastAsia" w:ascii="仿宋" w:hAnsi="仿宋" w:eastAsia="仿宋" w:cs="仿宋"/>
          <w:bCs/>
          <w:caps/>
          <w:sz w:val="30"/>
          <w:szCs w:val="30"/>
        </w:rPr>
        <w:t>向远景红杉碳中和基金出资。蒙西正和集团计划向碳中和基金出资共计3亿元，其中由鄂尔多斯市市政府出资1.5亿元，伊金霍洛旗旗政府出资1.5亿元。集团于2022年向伊金霍洛旗国资国企营运中心申请注册资本金1.5亿元用于出资基金，截至评价日，资金已到位并全部支出，预算执行率为100%。</w:t>
      </w:r>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（2）宏焱工贸公司申请注册资本金</w:t>
      </w:r>
    </w:p>
    <w:p>
      <w:pPr>
        <w:pStyle w:val="2"/>
        <w:adjustRightInd w:val="0"/>
        <w:snapToGrid w:val="0"/>
        <w:spacing w:line="360" w:lineRule="auto"/>
        <w:ind w:firstLine="600"/>
        <w:rPr>
          <w:rFonts w:ascii="仿宋" w:hAnsi="仿宋" w:eastAsia="仿宋" w:cs="仿宋"/>
          <w:bCs/>
          <w:caps/>
          <w:szCs w:val="30"/>
        </w:rPr>
      </w:pPr>
      <w:r>
        <w:rPr>
          <w:rFonts w:hint="eastAsia" w:ascii="仿宋" w:hAnsi="仿宋" w:eastAsia="仿宋" w:cs="仿宋"/>
          <w:bCs/>
          <w:caps/>
          <w:szCs w:val="30"/>
        </w:rPr>
        <w:t>2020年11月至2021年7月，宏焱工贸公司向国资委申请3笔注册资本金共计600.35万元用于红庆河镇重点项目建设，资金于2021年已全部到位。截至评价日，注册资本金已支出554.555万元，预算执行率为92.3</w:t>
      </w:r>
      <w:r>
        <w:rPr>
          <w:rFonts w:hint="eastAsia" w:ascii="仿宋" w:hAnsi="仿宋" w:eastAsia="仿宋" w:cs="仿宋"/>
          <w:bCs/>
          <w:caps/>
          <w:szCs w:val="30"/>
          <w:lang w:val="en-US" w:eastAsia="zh-CN"/>
        </w:rPr>
        <w:t>7</w:t>
      </w:r>
      <w:r>
        <w:rPr>
          <w:rFonts w:hint="eastAsia" w:ascii="仿宋" w:hAnsi="仿宋" w:eastAsia="仿宋" w:cs="仿宋"/>
          <w:bCs/>
          <w:caps/>
          <w:szCs w:val="30"/>
        </w:rPr>
        <w:t>%，资金主要用于乌阿线道路两侧绿化工程、地产食品加工园区、农贸与机修服务区一期及公司日常运营经费等。</w:t>
      </w:r>
    </w:p>
    <w:p>
      <w:pPr>
        <w:pStyle w:val="4"/>
        <w:adjustRightInd w:val="0"/>
        <w:snapToGrid w:val="0"/>
        <w:spacing w:before="0" w:after="0" w:line="360" w:lineRule="auto"/>
        <w:ind w:firstLine="600" w:firstLineChars="200"/>
        <w:rPr>
          <w:rFonts w:eastAsia="黑体"/>
          <w:b w:val="0"/>
          <w:bCs w:val="0"/>
          <w:sz w:val="30"/>
          <w:szCs w:val="30"/>
        </w:rPr>
      </w:pPr>
      <w:bookmarkStart w:id="21" w:name="_Toc6732"/>
      <w:r>
        <w:rPr>
          <w:rFonts w:eastAsia="黑体"/>
          <w:b w:val="0"/>
          <w:bCs w:val="0"/>
          <w:sz w:val="30"/>
          <w:szCs w:val="30"/>
        </w:rPr>
        <w:t>二、</w:t>
      </w:r>
      <w:bookmarkEnd w:id="21"/>
      <w:bookmarkStart w:id="22" w:name="_Toc14493"/>
      <w:r>
        <w:rPr>
          <w:rFonts w:hint="eastAsia" w:eastAsia="黑体"/>
          <w:b w:val="0"/>
          <w:bCs w:val="0"/>
          <w:sz w:val="30"/>
          <w:szCs w:val="30"/>
        </w:rPr>
        <w:t>综合评价结论</w:t>
      </w:r>
      <w:bookmarkEnd w:id="22"/>
    </w:p>
    <w:p>
      <w:pPr>
        <w:adjustRightInd w:val="0"/>
        <w:snapToGrid w:val="0"/>
        <w:spacing w:line="360" w:lineRule="auto"/>
        <w:ind w:firstLine="602" w:firstLineChars="200"/>
        <w:rPr>
          <w:rFonts w:hint="eastAsia" w:ascii="仿宋" w:hAnsi="仿宋" w:eastAsia="仿宋" w:cs="仿宋"/>
          <w:b/>
          <w:caps/>
          <w:sz w:val="30"/>
          <w:szCs w:val="30"/>
        </w:rPr>
      </w:pPr>
      <w:r>
        <w:rPr>
          <w:rFonts w:hint="eastAsia" w:ascii="仿宋" w:hAnsi="仿宋" w:eastAsia="仿宋" w:cs="仿宋"/>
          <w:b/>
          <w:caps/>
          <w:sz w:val="30"/>
          <w:szCs w:val="30"/>
        </w:rPr>
        <w:t>该项目绩效评价得分为8</w:t>
      </w:r>
      <w:r>
        <w:rPr>
          <w:rFonts w:hint="eastAsia" w:ascii="仿宋" w:hAnsi="仿宋" w:eastAsia="仿宋" w:cs="仿宋"/>
          <w:b/>
          <w:caps/>
          <w:sz w:val="30"/>
          <w:szCs w:val="30"/>
          <w:lang w:val="en-US" w:eastAsia="zh-CN"/>
        </w:rPr>
        <w:t>4</w:t>
      </w:r>
      <w:r>
        <w:rPr>
          <w:rFonts w:hint="eastAsia" w:ascii="仿宋" w:hAnsi="仿宋" w:eastAsia="仿宋" w:cs="仿宋"/>
          <w:b/>
          <w:caps/>
          <w:sz w:val="30"/>
          <w:szCs w:val="30"/>
        </w:rPr>
        <w:t>.</w:t>
      </w:r>
      <w:r>
        <w:rPr>
          <w:rFonts w:hint="eastAsia" w:ascii="仿宋" w:hAnsi="仿宋" w:eastAsia="仿宋" w:cs="仿宋"/>
          <w:b/>
          <w:caps/>
          <w:sz w:val="30"/>
          <w:szCs w:val="30"/>
          <w:lang w:val="en-US" w:eastAsia="zh-CN"/>
        </w:rPr>
        <w:t>5</w:t>
      </w:r>
      <w:r>
        <w:rPr>
          <w:rFonts w:hint="eastAsia" w:ascii="仿宋" w:hAnsi="仿宋" w:eastAsia="仿宋" w:cs="仿宋"/>
          <w:b/>
          <w:caps/>
          <w:sz w:val="30"/>
          <w:szCs w:val="30"/>
        </w:rPr>
        <w:t>0分，综合评价等级为“良”。</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评价认为，蒙西正和集团已完成向远景红杉碳中和基金的出资，推动了零碳产业发展；乌阿线道路两侧绿化施工工程已完成道路两侧苗木栽植工作与绿化养护工作，提高了道路绿化水平；特色地产食品加工园区建设项目已完成1#小米等谷物类加工车间、2#小麦石磨制粉加工车间及3#黑枸杞加工车间的建设，工程完成及时，提升了农产品附加值；农贸与机修服务区项目已完成1#、3#、4#、5#、6#共5栋商业楼的建设，规范了市场经营秩序，提升了镇区经营环境。</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此外，项目还存在经营目标科学性有待加强、</w:t>
      </w:r>
      <w:r>
        <w:rPr>
          <w:rFonts w:hint="eastAsia" w:ascii="仿宋" w:hAnsi="仿宋" w:eastAsia="仿宋" w:cs="仿宋"/>
          <w:bCs/>
          <w:caps/>
          <w:sz w:val="30"/>
          <w:szCs w:val="30"/>
          <w:lang w:val="en-US" w:eastAsia="zh-CN"/>
        </w:rPr>
        <w:t>集团</w:t>
      </w:r>
      <w:r>
        <w:rPr>
          <w:rFonts w:hint="eastAsia" w:ascii="仿宋" w:hAnsi="仿宋" w:eastAsia="仿宋" w:cs="仿宋"/>
          <w:bCs/>
          <w:caps/>
          <w:sz w:val="30"/>
          <w:szCs w:val="30"/>
        </w:rPr>
        <w:t>经营业绩与资金使用合规性有待加强等问题。</w:t>
      </w:r>
    </w:p>
    <w:p>
      <w:pPr>
        <w:pStyle w:val="4"/>
        <w:adjustRightInd w:val="0"/>
        <w:snapToGrid w:val="0"/>
        <w:spacing w:before="0" w:after="0" w:line="360" w:lineRule="auto"/>
        <w:ind w:firstLine="600" w:firstLineChars="200"/>
        <w:rPr>
          <w:rFonts w:hint="eastAsia" w:eastAsia="黑体"/>
          <w:b w:val="0"/>
          <w:bCs w:val="0"/>
          <w:sz w:val="30"/>
          <w:szCs w:val="30"/>
          <w:lang w:eastAsia="zh-Hans"/>
        </w:rPr>
      </w:pPr>
      <w:bookmarkStart w:id="23" w:name="_Toc42596185"/>
      <w:bookmarkStart w:id="24" w:name="_Toc15825"/>
      <w:r>
        <w:rPr>
          <w:rFonts w:hint="eastAsia" w:eastAsia="黑体"/>
          <w:b w:val="0"/>
          <w:bCs w:val="0"/>
          <w:sz w:val="30"/>
          <w:szCs w:val="30"/>
          <w:lang w:eastAsia="zh-CN"/>
        </w:rPr>
        <w:t>三</w:t>
      </w:r>
      <w:r>
        <w:rPr>
          <w:rFonts w:hint="eastAsia" w:eastAsia="黑体"/>
          <w:b w:val="0"/>
          <w:bCs w:val="0"/>
          <w:sz w:val="30"/>
          <w:szCs w:val="30"/>
        </w:rPr>
        <w:t>、主要问题</w:t>
      </w:r>
      <w:bookmarkEnd w:id="23"/>
      <w:bookmarkEnd w:id="24"/>
    </w:p>
    <w:p>
      <w:pPr>
        <w:adjustRightInd w:val="0"/>
        <w:snapToGrid w:val="0"/>
        <w:spacing w:line="360" w:lineRule="auto"/>
        <w:ind w:firstLine="602" w:firstLineChars="200"/>
        <w:outlineLvl w:val="1"/>
        <w:rPr>
          <w:rFonts w:ascii="楷体" w:hAnsi="楷体" w:eastAsia="楷体" w:cs="Arial"/>
          <w:b/>
          <w:kern w:val="0"/>
          <w:sz w:val="30"/>
          <w:szCs w:val="30"/>
        </w:rPr>
      </w:pPr>
      <w:bookmarkStart w:id="25" w:name="_Toc42596188"/>
      <w:bookmarkStart w:id="26" w:name="_Toc15956"/>
      <w:bookmarkStart w:id="27" w:name="_Toc23408"/>
      <w:bookmarkStart w:id="28" w:name="_Toc5526"/>
      <w:r>
        <w:rPr>
          <w:rFonts w:hint="eastAsia" w:ascii="楷体" w:hAnsi="楷体" w:eastAsia="楷体" w:cs="Arial"/>
          <w:b/>
          <w:kern w:val="0"/>
          <w:sz w:val="30"/>
          <w:szCs w:val="30"/>
          <w:lang w:eastAsia="zh-Hans"/>
        </w:rPr>
        <w:t>（一）</w:t>
      </w:r>
      <w:bookmarkEnd w:id="25"/>
      <w:r>
        <w:rPr>
          <w:rFonts w:hint="eastAsia" w:ascii="楷体" w:hAnsi="楷体" w:eastAsia="楷体" w:cs="Arial"/>
          <w:b/>
          <w:kern w:val="0"/>
          <w:sz w:val="30"/>
          <w:szCs w:val="30"/>
        </w:rPr>
        <w:t>经营目标覆盖不全面</w:t>
      </w:r>
      <w:bookmarkEnd w:id="26"/>
      <w:bookmarkEnd w:id="27"/>
      <w:bookmarkEnd w:id="28"/>
    </w:p>
    <w:p>
      <w:pPr>
        <w:adjustRightInd w:val="0"/>
        <w:snapToGrid w:val="0"/>
        <w:spacing w:line="360" w:lineRule="auto"/>
        <w:ind w:firstLine="600" w:firstLineChars="200"/>
        <w:rPr>
          <w:rFonts w:hint="eastAsia" w:ascii="楷体" w:hAnsi="楷体" w:eastAsia="楷体" w:cs="Arial"/>
          <w:b/>
          <w:kern w:val="0"/>
          <w:sz w:val="30"/>
          <w:szCs w:val="30"/>
          <w:lang w:eastAsia="zh-Hans"/>
        </w:rPr>
      </w:pPr>
      <w:bookmarkStart w:id="29" w:name="_Toc42596189"/>
      <w:r>
        <w:rPr>
          <w:rFonts w:hint="eastAsia" w:ascii="仿宋" w:hAnsi="仿宋" w:eastAsia="仿宋" w:cs="仿宋"/>
          <w:bCs/>
          <w:caps/>
          <w:sz w:val="30"/>
          <w:szCs w:val="30"/>
        </w:rPr>
        <w:t>蒙西正和集团设置了2021年度与2022年度经营业绩考核目标，其中功能性指标“新建东胜东至台格庙线路”与国资预算注资定位东台铁路项目相符。但2022年蒙西正和集团除申请注册资本金用于东台铁路项目外，还申请了1.5亿注册资本金用于向远景红杉碳中和基金出资，而经营目标未包含国资预算注资定位中“向远景红杉碳中和基金出资”的相关内容，经营目标覆盖不全面。</w:t>
      </w:r>
      <w:bookmarkEnd w:id="29"/>
    </w:p>
    <w:p>
      <w:pPr>
        <w:adjustRightInd w:val="0"/>
        <w:snapToGrid w:val="0"/>
        <w:spacing w:line="360" w:lineRule="auto"/>
        <w:ind w:firstLine="602" w:firstLineChars="200"/>
        <w:outlineLvl w:val="1"/>
        <w:rPr>
          <w:rFonts w:ascii="楷体" w:hAnsi="楷体" w:eastAsia="楷体" w:cs="Arial"/>
          <w:b/>
          <w:kern w:val="0"/>
          <w:sz w:val="30"/>
          <w:szCs w:val="30"/>
        </w:rPr>
      </w:pPr>
      <w:bookmarkStart w:id="30" w:name="_Toc30725"/>
      <w:bookmarkStart w:id="31" w:name="_Toc22728"/>
      <w:bookmarkStart w:id="32" w:name="_Toc23721"/>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二</w:t>
      </w:r>
      <w:r>
        <w:rPr>
          <w:rFonts w:hint="eastAsia" w:ascii="楷体" w:hAnsi="楷体" w:eastAsia="楷体" w:cs="Arial"/>
          <w:b/>
          <w:kern w:val="0"/>
          <w:sz w:val="30"/>
          <w:szCs w:val="30"/>
          <w:lang w:eastAsia="zh-Hans"/>
        </w:rPr>
        <w:t>）</w:t>
      </w:r>
      <w:bookmarkEnd w:id="30"/>
      <w:bookmarkEnd w:id="31"/>
      <w:r>
        <w:rPr>
          <w:rFonts w:hint="eastAsia" w:ascii="楷体" w:hAnsi="楷体" w:eastAsia="楷体" w:cs="Arial"/>
          <w:b/>
          <w:kern w:val="0"/>
          <w:sz w:val="30"/>
          <w:szCs w:val="30"/>
        </w:rPr>
        <w:t>资金使用规范性有待提高</w:t>
      </w:r>
      <w:bookmarkEnd w:id="32"/>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宏焱工贸公司于2021年向旗国资委申请了3笔资金共计600.35万元，用于地产食品加工园区、乌阿线道路两侧绿化工程及农贸与机修服务区等重点项目的建设，但经查看相关凭证及支出明细表，部分资金实际用于支付了公司人员工资与临时工工资，资金使用用途与预算资金申请用途存在偏差。</w:t>
      </w:r>
    </w:p>
    <w:p>
      <w:pPr>
        <w:adjustRightInd w:val="0"/>
        <w:snapToGrid w:val="0"/>
        <w:spacing w:line="360" w:lineRule="auto"/>
        <w:ind w:firstLine="600" w:firstLineChars="200"/>
        <w:rPr>
          <w:rFonts w:hint="eastAsia" w:ascii="仿宋" w:hAnsi="仿宋" w:eastAsia="仿宋" w:cs="仿宋"/>
          <w:bCs/>
          <w:caps/>
          <w:sz w:val="30"/>
          <w:szCs w:val="30"/>
          <w:lang w:eastAsia="zh-Hans"/>
        </w:rPr>
      </w:pPr>
      <w:r>
        <w:rPr>
          <w:rFonts w:hint="eastAsia" w:ascii="仿宋" w:hAnsi="仿宋" w:eastAsia="仿宋" w:cs="仿宋"/>
          <w:bCs/>
          <w:caps/>
          <w:sz w:val="30"/>
          <w:szCs w:val="30"/>
        </w:rPr>
        <w:t>此外，宏焱工贸公司与红庆河镇政府签订了乌阿线道路两侧绿化项目委托代建协议，但代建方确定方式未经过投标流程。且根据代建协议约定，红庆河镇政府负责按照工程进度和审计情况向宏焱工贸公司支付工程款项，而宏焱工贸公司向旗国资委申请了部分项目资金并用于乌阿线道路两侧绿化项目，项目资金来源与协议约定存在偏差。</w:t>
      </w:r>
    </w:p>
    <w:p>
      <w:pPr>
        <w:adjustRightInd w:val="0"/>
        <w:snapToGrid w:val="0"/>
        <w:spacing w:line="360" w:lineRule="auto"/>
        <w:ind w:firstLine="602" w:firstLineChars="200"/>
        <w:outlineLvl w:val="1"/>
        <w:rPr>
          <w:rFonts w:hint="default" w:ascii="楷体" w:hAnsi="楷体" w:eastAsia="楷体" w:cs="Arial"/>
          <w:b/>
          <w:kern w:val="0"/>
          <w:sz w:val="30"/>
          <w:szCs w:val="30"/>
          <w:lang w:val="en-US" w:eastAsia="zh-CN"/>
        </w:rPr>
      </w:pPr>
      <w:bookmarkStart w:id="33" w:name="_Toc31238"/>
      <w:bookmarkStart w:id="34" w:name="_Toc7492"/>
      <w:bookmarkStart w:id="35" w:name="_Toc22652"/>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三</w:t>
      </w:r>
      <w:r>
        <w:rPr>
          <w:rFonts w:hint="eastAsia" w:ascii="楷体" w:hAnsi="楷体" w:eastAsia="楷体" w:cs="Arial"/>
          <w:b/>
          <w:kern w:val="0"/>
          <w:sz w:val="30"/>
          <w:szCs w:val="30"/>
          <w:lang w:eastAsia="zh-Hans"/>
        </w:rPr>
        <w:t>）</w:t>
      </w:r>
      <w:bookmarkEnd w:id="33"/>
      <w:bookmarkEnd w:id="34"/>
      <w:r>
        <w:rPr>
          <w:rFonts w:hint="eastAsia" w:ascii="楷体" w:hAnsi="楷体" w:eastAsia="楷体" w:cs="Arial"/>
          <w:b/>
          <w:kern w:val="0"/>
          <w:sz w:val="30"/>
          <w:szCs w:val="30"/>
          <w:lang w:val="en-US" w:eastAsia="zh-CN"/>
        </w:rPr>
        <w:t>营业利润率较低，资产负债率较高</w:t>
      </w:r>
      <w:bookmarkEnd w:id="35"/>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经查看蒙西正和集团2021年度与2022年度合并财务报表审计报告，2022年度管理费用年度变动明显高于营业收入变动幅度，并将财务指标与《企业绩效评价标准值2021年度》《企业绩效评价标准值2022年度》对比，2021年度、2022年度集团营业利润率实际值分别为0.37%、0.90%，均低于行业平均值6.60%、6.20%，主要是因为</w:t>
      </w:r>
      <w:r>
        <w:rPr>
          <w:rFonts w:hint="eastAsia" w:ascii="仿宋" w:hAnsi="仿宋" w:eastAsia="仿宋" w:cs="仿宋"/>
          <w:bCs/>
          <w:caps/>
          <w:sz w:val="30"/>
          <w:szCs w:val="30"/>
          <w:lang w:val="en-US" w:eastAsia="zh-CN"/>
        </w:rPr>
        <w:t>贸易毛利相对较低</w:t>
      </w:r>
      <w:r>
        <w:rPr>
          <w:rFonts w:hint="eastAsia" w:ascii="仿宋" w:hAnsi="仿宋" w:eastAsia="仿宋" w:cs="仿宋"/>
          <w:bCs/>
          <w:caps/>
          <w:sz w:val="30"/>
          <w:szCs w:val="30"/>
        </w:rPr>
        <w:t>；2022年度集团由于新增贷款，资产负债率为82.80%，高于行业较低值73.20%，存在债务风险。综上，集团经营业绩有待提升。</w:t>
      </w:r>
    </w:p>
    <w:p>
      <w:pPr>
        <w:adjustRightInd w:val="0"/>
        <w:snapToGrid w:val="0"/>
        <w:spacing w:line="360" w:lineRule="auto"/>
        <w:ind w:firstLine="602" w:firstLineChars="200"/>
        <w:outlineLvl w:val="1"/>
        <w:rPr>
          <w:rFonts w:ascii="楷体" w:hAnsi="楷体" w:eastAsia="楷体" w:cs="Arial"/>
          <w:b/>
          <w:kern w:val="0"/>
          <w:sz w:val="30"/>
          <w:szCs w:val="30"/>
        </w:rPr>
      </w:pPr>
      <w:bookmarkStart w:id="36" w:name="_Toc32080"/>
      <w:bookmarkStart w:id="37" w:name="_Toc28409"/>
      <w:bookmarkStart w:id="38" w:name="_Toc3765"/>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四</w:t>
      </w:r>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部分工程未竣工验收</w:t>
      </w:r>
      <w:bookmarkEnd w:id="36"/>
      <w:bookmarkEnd w:id="37"/>
      <w:bookmarkEnd w:id="38"/>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经查看宏焱工贸公司项目情况说明，乌阿线道路两侧绿化项目、红庆河镇地产食品加工园区项目与农贸与机修服务区</w:t>
      </w:r>
      <w:r>
        <w:rPr>
          <w:rFonts w:hint="eastAsia" w:ascii="仿宋" w:hAnsi="仿宋" w:eastAsia="仿宋" w:cs="仿宋"/>
          <w:bCs/>
          <w:caps/>
          <w:sz w:val="30"/>
          <w:szCs w:val="30"/>
          <w:lang w:val="en-US" w:eastAsia="zh-CN"/>
        </w:rPr>
        <w:t>已完工但</w:t>
      </w:r>
      <w:r>
        <w:rPr>
          <w:rFonts w:hint="eastAsia" w:ascii="仿宋" w:hAnsi="仿宋" w:eastAsia="仿宋" w:cs="仿宋"/>
          <w:bCs/>
          <w:caps/>
          <w:sz w:val="30"/>
          <w:szCs w:val="30"/>
        </w:rPr>
        <w:t>尚未竣工验收，不利于对工程质量的把控。</w:t>
      </w:r>
    </w:p>
    <w:p>
      <w:pPr>
        <w:pStyle w:val="4"/>
        <w:adjustRightInd w:val="0"/>
        <w:snapToGrid w:val="0"/>
        <w:spacing w:before="0" w:after="0" w:line="360" w:lineRule="auto"/>
        <w:ind w:firstLine="600" w:firstLineChars="200"/>
        <w:rPr>
          <w:rFonts w:hint="eastAsia" w:eastAsia="黑体"/>
          <w:b w:val="0"/>
          <w:bCs w:val="0"/>
          <w:sz w:val="30"/>
          <w:szCs w:val="30"/>
        </w:rPr>
      </w:pPr>
      <w:bookmarkStart w:id="39" w:name="_Toc25504"/>
      <w:bookmarkStart w:id="40" w:name="_Toc42596191"/>
      <w:r>
        <w:rPr>
          <w:rFonts w:hint="eastAsia" w:eastAsia="黑体"/>
          <w:b w:val="0"/>
          <w:bCs w:val="0"/>
          <w:sz w:val="30"/>
          <w:szCs w:val="30"/>
          <w:lang w:eastAsia="zh-CN"/>
        </w:rPr>
        <w:t>四</w:t>
      </w:r>
      <w:r>
        <w:rPr>
          <w:rFonts w:hint="eastAsia" w:eastAsia="黑体"/>
          <w:b w:val="0"/>
          <w:bCs w:val="0"/>
          <w:sz w:val="30"/>
          <w:szCs w:val="30"/>
        </w:rPr>
        <w:t>、有关建议</w:t>
      </w:r>
      <w:bookmarkEnd w:id="39"/>
      <w:bookmarkEnd w:id="40"/>
    </w:p>
    <w:p>
      <w:pPr>
        <w:adjustRightInd w:val="0"/>
        <w:snapToGrid w:val="0"/>
        <w:spacing w:line="360" w:lineRule="auto"/>
        <w:ind w:firstLine="602" w:firstLineChars="200"/>
        <w:outlineLvl w:val="1"/>
        <w:rPr>
          <w:rFonts w:hint="eastAsia" w:ascii="楷体" w:hAnsi="楷体" w:eastAsia="楷体" w:cs="Arial"/>
          <w:b/>
          <w:kern w:val="0"/>
          <w:sz w:val="30"/>
          <w:szCs w:val="30"/>
          <w:lang w:eastAsia="zh-Hans"/>
        </w:rPr>
      </w:pPr>
      <w:bookmarkStart w:id="41" w:name="_Toc2477"/>
      <w:bookmarkStart w:id="42" w:name="_Toc27963"/>
      <w:bookmarkStart w:id="43" w:name="_Toc6458"/>
      <w:bookmarkStart w:id="44" w:name="_Toc29218"/>
      <w:bookmarkStart w:id="45" w:name="_Toc359523377"/>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一</w:t>
      </w:r>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提高经营目标完整性，</w:t>
      </w:r>
      <w:bookmarkEnd w:id="41"/>
      <w:bookmarkEnd w:id="42"/>
      <w:r>
        <w:rPr>
          <w:rFonts w:hint="eastAsia" w:ascii="楷体" w:hAnsi="楷体" w:eastAsia="楷体" w:cs="Arial"/>
          <w:b/>
          <w:kern w:val="0"/>
          <w:sz w:val="30"/>
          <w:szCs w:val="30"/>
        </w:rPr>
        <w:t>完善项目绩效体系</w:t>
      </w:r>
      <w:bookmarkEnd w:id="43"/>
    </w:p>
    <w:p>
      <w:pPr>
        <w:adjustRightInd w:val="0"/>
        <w:snapToGrid w:val="0"/>
        <w:spacing w:line="360" w:lineRule="auto"/>
        <w:ind w:firstLine="602" w:firstLineChars="200"/>
        <w:rPr>
          <w:rFonts w:hint="eastAsia" w:ascii="仿宋" w:hAnsi="仿宋" w:eastAsia="仿宋" w:cs="仿宋"/>
          <w:bCs/>
          <w:caps/>
          <w:sz w:val="30"/>
          <w:szCs w:val="30"/>
        </w:rPr>
      </w:pPr>
      <w:r>
        <w:rPr>
          <w:rFonts w:hint="eastAsia" w:ascii="仿宋" w:hAnsi="仿宋" w:eastAsia="仿宋" w:cs="仿宋"/>
          <w:b/>
          <w:caps/>
          <w:sz w:val="30"/>
          <w:szCs w:val="30"/>
        </w:rPr>
        <w:t>一是</w:t>
      </w:r>
      <w:r>
        <w:rPr>
          <w:rFonts w:hint="eastAsia" w:ascii="仿宋" w:hAnsi="仿宋" w:eastAsia="仿宋" w:cs="仿宋"/>
          <w:bCs/>
          <w:caps/>
          <w:sz w:val="30"/>
          <w:szCs w:val="30"/>
        </w:rPr>
        <w:t>编制经营目标时，将资金投入高、规模大的项目纳入到指标里，确保经营目标全面性，充分反映项目绩效。</w:t>
      </w:r>
      <w:r>
        <w:rPr>
          <w:rFonts w:hint="eastAsia" w:ascii="仿宋" w:hAnsi="仿宋" w:eastAsia="仿宋" w:cs="仿宋"/>
          <w:b/>
          <w:caps/>
          <w:sz w:val="30"/>
          <w:szCs w:val="30"/>
        </w:rPr>
        <w:t>二是</w:t>
      </w:r>
      <w:r>
        <w:rPr>
          <w:rFonts w:hint="eastAsia" w:ascii="仿宋" w:hAnsi="仿宋" w:eastAsia="仿宋" w:cs="仿宋"/>
          <w:bCs/>
          <w:caps/>
          <w:sz w:val="30"/>
          <w:szCs w:val="30"/>
        </w:rPr>
        <w:t>建议集团开展预算绩效管理相关培训工作，科学设定项目管理绩效目标和指标，明确绩效指标的应用标准，完善项目绩效体系，强化绩效和预算约束，提高项目管理水平，节约财政资金，增强财政资金的使用效益。</w:t>
      </w:r>
    </w:p>
    <w:p>
      <w:pPr>
        <w:adjustRightInd w:val="0"/>
        <w:snapToGrid w:val="0"/>
        <w:spacing w:line="360" w:lineRule="auto"/>
        <w:ind w:firstLine="602" w:firstLineChars="200"/>
        <w:outlineLvl w:val="1"/>
        <w:rPr>
          <w:rFonts w:hint="eastAsia" w:ascii="楷体" w:hAnsi="楷体" w:eastAsia="楷体" w:cs="Arial"/>
          <w:b/>
          <w:kern w:val="0"/>
          <w:sz w:val="30"/>
          <w:szCs w:val="30"/>
        </w:rPr>
      </w:pPr>
      <w:bookmarkStart w:id="46" w:name="_Toc28511"/>
      <w:bookmarkStart w:id="47" w:name="_Toc3881"/>
      <w:bookmarkStart w:id="48" w:name="_Toc18944"/>
      <w:r>
        <w:rPr>
          <w:rFonts w:hint="eastAsia" w:ascii="楷体" w:hAnsi="楷体" w:eastAsia="楷体" w:cs="Arial"/>
          <w:b/>
          <w:kern w:val="0"/>
          <w:sz w:val="30"/>
          <w:szCs w:val="30"/>
          <w:lang w:eastAsia="zh-Hans"/>
        </w:rPr>
        <w:t>（二）</w:t>
      </w:r>
      <w:bookmarkEnd w:id="44"/>
      <w:bookmarkEnd w:id="45"/>
      <w:r>
        <w:rPr>
          <w:rFonts w:hint="eastAsia" w:ascii="楷体" w:hAnsi="楷体" w:eastAsia="楷体" w:cs="Arial"/>
          <w:b/>
          <w:kern w:val="0"/>
          <w:sz w:val="30"/>
          <w:szCs w:val="30"/>
        </w:rPr>
        <w:t>提高资金使用规范性</w:t>
      </w:r>
      <w:bookmarkEnd w:id="46"/>
      <w:bookmarkEnd w:id="47"/>
      <w:bookmarkEnd w:id="48"/>
    </w:p>
    <w:p>
      <w:pPr>
        <w:pStyle w:val="2"/>
        <w:adjustRightInd w:val="0"/>
        <w:snapToGrid w:val="0"/>
        <w:spacing w:line="360" w:lineRule="auto"/>
        <w:ind w:firstLine="600"/>
        <w:rPr>
          <w:rFonts w:ascii="仿宋" w:hAnsi="仿宋" w:eastAsia="仿宋" w:cs="仿宋"/>
          <w:bCs/>
          <w:caps/>
          <w:szCs w:val="30"/>
        </w:rPr>
      </w:pPr>
      <w:r>
        <w:rPr>
          <w:rFonts w:hint="eastAsia" w:ascii="仿宋" w:hAnsi="仿宋" w:eastAsia="仿宋" w:cs="仿宋"/>
          <w:bCs/>
          <w:caps/>
          <w:szCs w:val="30"/>
        </w:rPr>
        <w:t>建</w:t>
      </w:r>
      <w:r>
        <w:rPr>
          <w:rFonts w:ascii="仿宋" w:hAnsi="仿宋" w:eastAsia="仿宋" w:cs="仿宋"/>
          <w:bCs/>
          <w:caps/>
          <w:szCs w:val="30"/>
        </w:rPr>
        <w:t>议</w:t>
      </w:r>
      <w:bookmarkStart w:id="49" w:name="_Toc9230"/>
      <w:bookmarkStart w:id="50" w:name="_Toc1637898228"/>
      <w:r>
        <w:rPr>
          <w:rFonts w:hint="eastAsia" w:ascii="仿宋" w:hAnsi="仿宋" w:eastAsia="仿宋" w:cs="仿宋"/>
          <w:bCs/>
          <w:caps/>
          <w:szCs w:val="30"/>
        </w:rPr>
        <w:t>宏焱工贸公司在预算资金到位前</w:t>
      </w:r>
      <w:r>
        <w:rPr>
          <w:rFonts w:ascii="仿宋" w:hAnsi="仿宋" w:eastAsia="仿宋" w:cs="仿宋"/>
          <w:bCs/>
          <w:caps/>
          <w:szCs w:val="30"/>
        </w:rPr>
        <w:t>制定明确的资金使用计划</w:t>
      </w:r>
      <w:r>
        <w:rPr>
          <w:rFonts w:hint="eastAsia" w:ascii="仿宋" w:hAnsi="仿宋" w:eastAsia="仿宋" w:cs="仿宋"/>
          <w:bCs/>
          <w:caps/>
          <w:szCs w:val="30"/>
        </w:rPr>
        <w:t>或</w:t>
      </w:r>
      <w:r>
        <w:rPr>
          <w:rFonts w:ascii="仿宋" w:hAnsi="仿宋" w:eastAsia="仿宋" w:cs="仿宋"/>
          <w:bCs/>
          <w:caps/>
          <w:szCs w:val="30"/>
        </w:rPr>
        <w:t>预算方案，确保资金使用的目标和用途明确，避免资金使用偏离原定目标。</w:t>
      </w:r>
      <w:r>
        <w:rPr>
          <w:rFonts w:hint="eastAsia" w:ascii="仿宋" w:hAnsi="仿宋" w:eastAsia="仿宋" w:cs="仿宋"/>
          <w:bCs/>
          <w:caps/>
          <w:szCs w:val="30"/>
        </w:rPr>
        <w:t>同时，</w:t>
      </w:r>
      <w:r>
        <w:rPr>
          <w:rFonts w:ascii="仿宋" w:hAnsi="仿宋" w:eastAsia="仿宋" w:cs="仿宋"/>
          <w:bCs/>
          <w:caps/>
          <w:szCs w:val="30"/>
        </w:rPr>
        <w:t>加强</w:t>
      </w:r>
      <w:r>
        <w:rPr>
          <w:rFonts w:hint="eastAsia" w:ascii="仿宋" w:hAnsi="仿宋" w:eastAsia="仿宋" w:cs="仿宋"/>
          <w:bCs/>
          <w:caps/>
          <w:szCs w:val="30"/>
        </w:rPr>
        <w:t>对预算资金的</w:t>
      </w:r>
      <w:r>
        <w:rPr>
          <w:rFonts w:ascii="仿宋" w:hAnsi="仿宋" w:eastAsia="仿宋" w:cs="仿宋"/>
          <w:bCs/>
          <w:caps/>
          <w:szCs w:val="30"/>
        </w:rPr>
        <w:t>监督，定期对资金使用情况进行</w:t>
      </w:r>
      <w:r>
        <w:rPr>
          <w:rFonts w:hint="eastAsia" w:ascii="仿宋" w:hAnsi="仿宋" w:eastAsia="仿宋" w:cs="仿宋"/>
          <w:bCs/>
          <w:caps/>
          <w:szCs w:val="30"/>
        </w:rPr>
        <w:t>内部</w:t>
      </w:r>
      <w:r>
        <w:rPr>
          <w:rFonts w:ascii="仿宋" w:hAnsi="仿宋" w:eastAsia="仿宋" w:cs="仿宋"/>
          <w:bCs/>
          <w:caps/>
          <w:szCs w:val="30"/>
        </w:rPr>
        <w:t>审计和检查，及时发现和纠正问题，保障资金</w:t>
      </w:r>
      <w:r>
        <w:rPr>
          <w:rFonts w:hint="eastAsia" w:ascii="仿宋" w:hAnsi="仿宋" w:eastAsia="仿宋" w:cs="仿宋"/>
          <w:bCs/>
          <w:caps/>
          <w:szCs w:val="30"/>
        </w:rPr>
        <w:t>申请与</w:t>
      </w:r>
      <w:r>
        <w:rPr>
          <w:rFonts w:ascii="仿宋" w:hAnsi="仿宋" w:eastAsia="仿宋" w:cs="仿宋"/>
          <w:bCs/>
          <w:caps/>
          <w:szCs w:val="30"/>
        </w:rPr>
        <w:t>使用的合理性和有效性。</w:t>
      </w:r>
    </w:p>
    <w:p>
      <w:pPr>
        <w:adjustRightInd w:val="0"/>
        <w:snapToGrid w:val="0"/>
        <w:spacing w:line="360" w:lineRule="auto"/>
        <w:ind w:firstLine="602" w:firstLineChars="200"/>
        <w:outlineLvl w:val="1"/>
        <w:rPr>
          <w:rFonts w:ascii="楷体" w:hAnsi="楷体" w:eastAsia="楷体" w:cs="Arial"/>
          <w:b/>
          <w:kern w:val="0"/>
          <w:sz w:val="30"/>
          <w:szCs w:val="30"/>
        </w:rPr>
      </w:pPr>
      <w:bookmarkStart w:id="51" w:name="_Toc19662"/>
      <w:bookmarkStart w:id="52" w:name="_Toc9210"/>
      <w:bookmarkStart w:id="53" w:name="_Toc24927"/>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三</w:t>
      </w:r>
      <w:r>
        <w:rPr>
          <w:rFonts w:hint="eastAsia" w:ascii="楷体" w:hAnsi="楷体" w:eastAsia="楷体" w:cs="Arial"/>
          <w:b/>
          <w:kern w:val="0"/>
          <w:sz w:val="30"/>
          <w:szCs w:val="30"/>
          <w:lang w:eastAsia="zh-Hans"/>
        </w:rPr>
        <w:t>）</w:t>
      </w:r>
      <w:bookmarkEnd w:id="49"/>
      <w:bookmarkEnd w:id="50"/>
      <w:bookmarkEnd w:id="51"/>
      <w:bookmarkEnd w:id="52"/>
      <w:r>
        <w:rPr>
          <w:rFonts w:hint="eastAsia" w:ascii="楷体" w:hAnsi="楷体" w:eastAsia="楷体" w:cs="Arial"/>
          <w:b/>
          <w:kern w:val="0"/>
          <w:sz w:val="30"/>
          <w:szCs w:val="30"/>
          <w:lang w:val="en-US" w:eastAsia="zh-CN"/>
        </w:rPr>
        <w:t>提高营业利润率，降低资产负债率</w:t>
      </w:r>
      <w:bookmarkEnd w:id="53"/>
    </w:p>
    <w:p>
      <w:pPr>
        <w:pStyle w:val="2"/>
        <w:adjustRightInd w:val="0"/>
        <w:snapToGrid w:val="0"/>
        <w:spacing w:line="360" w:lineRule="auto"/>
        <w:ind w:firstLine="602"/>
        <w:rPr>
          <w:rFonts w:hint="eastAsia" w:ascii="仿宋" w:hAnsi="仿宋" w:eastAsia="仿宋" w:cs="仿宋"/>
          <w:bCs/>
          <w:caps/>
          <w:szCs w:val="30"/>
        </w:rPr>
      </w:pPr>
      <w:bookmarkStart w:id="54" w:name="_Toc24134"/>
      <w:r>
        <w:rPr>
          <w:rFonts w:hint="eastAsia" w:ascii="仿宋" w:hAnsi="仿宋" w:eastAsia="仿宋" w:cs="仿宋"/>
          <w:b/>
          <w:caps/>
          <w:szCs w:val="30"/>
        </w:rPr>
        <w:t>一是</w:t>
      </w:r>
      <w:r>
        <w:rPr>
          <w:rFonts w:hint="eastAsia" w:ascii="仿宋" w:hAnsi="仿宋" w:eastAsia="仿宋" w:cs="仿宋"/>
          <w:bCs/>
          <w:caps/>
          <w:szCs w:val="30"/>
          <w:lang w:val="en-US" w:eastAsia="zh-CN"/>
        </w:rPr>
        <w:t>建议集团在平</w:t>
      </w:r>
      <w:r>
        <w:rPr>
          <w:rFonts w:hint="eastAsia" w:ascii="仿宋" w:hAnsi="仿宋" w:eastAsia="仿宋" w:cs="仿宋"/>
          <w:bCs/>
          <w:caps/>
          <w:szCs w:val="30"/>
        </w:rPr>
        <w:t>衡市场需求和竞争力</w:t>
      </w:r>
      <w:r>
        <w:rPr>
          <w:rFonts w:hint="eastAsia" w:ascii="仿宋" w:hAnsi="仿宋" w:eastAsia="仿宋" w:cs="仿宋"/>
          <w:bCs/>
          <w:caps/>
          <w:szCs w:val="30"/>
          <w:lang w:val="en-US" w:eastAsia="zh-CN"/>
        </w:rPr>
        <w:t>的前提下评估贸易定价策略，同时</w:t>
      </w:r>
      <w:r>
        <w:rPr>
          <w:rFonts w:hint="eastAsia" w:ascii="仿宋" w:hAnsi="仿宋" w:eastAsia="仿宋" w:cs="仿宋"/>
          <w:bCs/>
          <w:caps/>
          <w:szCs w:val="30"/>
        </w:rPr>
        <w:t>分析成本结构，审查和</w:t>
      </w:r>
      <w:r>
        <w:rPr>
          <w:rFonts w:hint="eastAsia" w:ascii="仿宋" w:hAnsi="仿宋" w:eastAsia="仿宋" w:cs="仿宋"/>
          <w:bCs/>
          <w:caps/>
          <w:szCs w:val="30"/>
          <w:lang w:val="en-US" w:eastAsia="zh-CN"/>
        </w:rPr>
        <w:t>优化</w:t>
      </w:r>
      <w:r>
        <w:rPr>
          <w:rFonts w:hint="eastAsia" w:ascii="仿宋" w:hAnsi="仿宋" w:eastAsia="仿宋" w:cs="仿宋"/>
          <w:bCs/>
          <w:caps/>
          <w:szCs w:val="30"/>
        </w:rPr>
        <w:t>采购成本、生产成本、运营成本等各项成本，</w:t>
      </w:r>
      <w:r>
        <w:rPr>
          <w:rFonts w:hint="eastAsia" w:ascii="仿宋" w:hAnsi="仿宋" w:eastAsia="仿宋" w:cs="仿宋"/>
          <w:bCs/>
          <w:caps/>
          <w:szCs w:val="30"/>
          <w:lang w:val="en-US" w:eastAsia="zh-CN"/>
        </w:rPr>
        <w:t>尽可能减少</w:t>
      </w:r>
      <w:r>
        <w:rPr>
          <w:rFonts w:hint="eastAsia" w:ascii="仿宋" w:hAnsi="仿宋" w:eastAsia="仿宋" w:cs="仿宋"/>
          <w:bCs/>
          <w:caps/>
          <w:szCs w:val="30"/>
        </w:rPr>
        <w:t>不必要的费用支出，合理规划和使用资金，提高资金使用效益与营业利润率</w:t>
      </w:r>
      <w:r>
        <w:rPr>
          <w:rFonts w:hint="eastAsia" w:ascii="仿宋" w:hAnsi="仿宋" w:eastAsia="仿宋" w:cs="仿宋"/>
          <w:bCs/>
          <w:caps/>
          <w:szCs w:val="30"/>
          <w:lang w:eastAsia="zh-CN"/>
        </w:rPr>
        <w:t>。</w:t>
      </w:r>
      <w:r>
        <w:rPr>
          <w:rFonts w:hint="eastAsia" w:ascii="仿宋" w:hAnsi="仿宋" w:eastAsia="仿宋" w:cs="仿宋"/>
          <w:b/>
          <w:caps/>
          <w:szCs w:val="30"/>
        </w:rPr>
        <w:t>二是</w:t>
      </w:r>
      <w:r>
        <w:rPr>
          <w:rFonts w:hint="eastAsia" w:ascii="仿宋" w:hAnsi="仿宋" w:eastAsia="仿宋" w:cs="仿宋"/>
          <w:bCs/>
          <w:caps/>
          <w:szCs w:val="30"/>
        </w:rPr>
        <w:t>通过加强资产管理、优化资产配置、提高资产利用效率、优化资产负债结构和有序消化债务等措施，有效降低资产负债率。</w:t>
      </w:r>
    </w:p>
    <w:p>
      <w:pPr>
        <w:adjustRightInd w:val="0"/>
        <w:snapToGrid w:val="0"/>
        <w:spacing w:line="360" w:lineRule="auto"/>
        <w:ind w:firstLine="602" w:firstLineChars="200"/>
        <w:outlineLvl w:val="1"/>
        <w:rPr>
          <w:rFonts w:hint="eastAsia" w:ascii="楷体" w:hAnsi="楷体" w:eastAsia="楷体" w:cs="Arial"/>
          <w:b/>
          <w:kern w:val="0"/>
          <w:sz w:val="30"/>
          <w:szCs w:val="30"/>
          <w:lang w:eastAsia="zh-Hans"/>
        </w:rPr>
      </w:pPr>
      <w:bookmarkStart w:id="55" w:name="_Toc21637"/>
      <w:bookmarkStart w:id="56" w:name="_Toc733"/>
      <w:r>
        <w:rPr>
          <w:rFonts w:hint="eastAsia" w:ascii="楷体" w:hAnsi="楷体" w:eastAsia="楷体" w:cs="Arial"/>
          <w:b/>
          <w:kern w:val="0"/>
          <w:sz w:val="30"/>
          <w:szCs w:val="30"/>
          <w:lang w:eastAsia="zh-Hans"/>
        </w:rPr>
        <w:t>（</w:t>
      </w:r>
      <w:r>
        <w:rPr>
          <w:rFonts w:hint="eastAsia" w:ascii="楷体" w:hAnsi="楷体" w:eastAsia="楷体" w:cs="Arial"/>
          <w:b/>
          <w:kern w:val="0"/>
          <w:sz w:val="30"/>
          <w:szCs w:val="30"/>
        </w:rPr>
        <w:t>四</w:t>
      </w:r>
      <w:r>
        <w:rPr>
          <w:rFonts w:hint="eastAsia" w:ascii="楷体" w:hAnsi="楷体" w:eastAsia="楷体" w:cs="Arial"/>
          <w:b/>
          <w:kern w:val="0"/>
          <w:sz w:val="30"/>
          <w:szCs w:val="30"/>
          <w:lang w:eastAsia="zh-Hans"/>
        </w:rPr>
        <w:t>）加快验收进度，</w:t>
      </w:r>
      <w:bookmarkEnd w:id="54"/>
      <w:r>
        <w:rPr>
          <w:rFonts w:hint="eastAsia" w:ascii="楷体" w:hAnsi="楷体" w:eastAsia="楷体" w:cs="Arial"/>
          <w:b/>
          <w:kern w:val="0"/>
          <w:sz w:val="30"/>
          <w:szCs w:val="30"/>
        </w:rPr>
        <w:t>规范项目管理</w:t>
      </w:r>
      <w:bookmarkEnd w:id="55"/>
      <w:bookmarkEnd w:id="56"/>
    </w:p>
    <w:p>
      <w:pPr>
        <w:pStyle w:val="2"/>
        <w:adjustRightInd w:val="0"/>
        <w:snapToGrid w:val="0"/>
        <w:spacing w:line="360" w:lineRule="auto"/>
        <w:ind w:firstLine="600"/>
        <w:rPr>
          <w:rFonts w:hint="eastAsia"/>
          <w:lang w:eastAsia="zh-Hans"/>
        </w:rPr>
      </w:pPr>
      <w:r>
        <w:rPr>
          <w:rFonts w:hint="eastAsia" w:ascii="仿宋" w:hAnsi="仿宋" w:eastAsia="仿宋" w:cs="仿宋"/>
          <w:bCs/>
          <w:caps/>
          <w:szCs w:val="30"/>
          <w:lang w:eastAsia="zh-Hans"/>
        </w:rPr>
        <w:t>建议</w:t>
      </w:r>
      <w:r>
        <w:rPr>
          <w:rFonts w:hint="eastAsia" w:ascii="仿宋" w:hAnsi="仿宋" w:eastAsia="仿宋" w:cs="仿宋"/>
          <w:bCs/>
          <w:caps/>
          <w:szCs w:val="30"/>
        </w:rPr>
        <w:t>宏焱工贸公司加快对</w:t>
      </w:r>
      <w:r>
        <w:rPr>
          <w:rFonts w:hint="eastAsia" w:ascii="仿宋" w:hAnsi="仿宋" w:eastAsia="仿宋" w:cs="仿宋"/>
          <w:bCs/>
          <w:caps/>
          <w:szCs w:val="30"/>
          <w:lang w:val="en-US" w:eastAsia="zh-CN"/>
        </w:rPr>
        <w:t>乌</w:t>
      </w:r>
      <w:r>
        <w:rPr>
          <w:rFonts w:hint="eastAsia" w:ascii="仿宋" w:hAnsi="仿宋" w:eastAsia="仿宋" w:cs="仿宋"/>
          <w:bCs/>
          <w:caps/>
          <w:szCs w:val="30"/>
        </w:rPr>
        <w:t>阿线道路两侧绿化项目、红庆河镇地产食品加工园区项目与农贸与机修服务区项目的竣工</w:t>
      </w:r>
      <w:r>
        <w:rPr>
          <w:rFonts w:hint="eastAsia" w:ascii="仿宋" w:hAnsi="仿宋" w:eastAsia="仿宋" w:cs="仿宋"/>
          <w:bCs/>
          <w:caps/>
          <w:szCs w:val="30"/>
          <w:lang w:eastAsia="zh-Hans"/>
        </w:rPr>
        <w:t>验收</w:t>
      </w:r>
      <w:r>
        <w:rPr>
          <w:rFonts w:hint="eastAsia" w:ascii="仿宋" w:hAnsi="仿宋" w:eastAsia="仿宋" w:cs="仿宋"/>
          <w:bCs/>
          <w:caps/>
          <w:szCs w:val="30"/>
        </w:rPr>
        <w:t>工作</w:t>
      </w:r>
      <w:r>
        <w:rPr>
          <w:rFonts w:hint="eastAsia" w:ascii="仿宋" w:hAnsi="仿宋" w:eastAsia="仿宋" w:cs="仿宋"/>
          <w:bCs/>
          <w:caps/>
          <w:szCs w:val="30"/>
          <w:lang w:eastAsia="zh-Hans"/>
        </w:rPr>
        <w:t>，</w:t>
      </w:r>
      <w:r>
        <w:rPr>
          <w:rFonts w:hint="eastAsia" w:ascii="仿宋" w:hAnsi="仿宋" w:eastAsia="仿宋" w:cs="仿宋"/>
          <w:bCs/>
          <w:caps/>
          <w:szCs w:val="30"/>
        </w:rPr>
        <w:t>加快</w:t>
      </w:r>
      <w:r>
        <w:rPr>
          <w:rFonts w:hint="eastAsia" w:ascii="仿宋" w:hAnsi="仿宋" w:eastAsia="仿宋" w:cs="仿宋"/>
          <w:bCs/>
          <w:caps/>
          <w:szCs w:val="30"/>
          <w:lang w:eastAsia="zh-Hans"/>
        </w:rPr>
        <w:t>解决影响项目验收进度的问题并制定相应措施，</w:t>
      </w:r>
      <w:r>
        <w:rPr>
          <w:rFonts w:hint="eastAsia" w:ascii="仿宋" w:hAnsi="仿宋" w:eastAsia="仿宋" w:cs="仿宋"/>
          <w:bCs/>
          <w:caps/>
          <w:szCs w:val="30"/>
        </w:rPr>
        <w:t>从而</w:t>
      </w:r>
      <w:r>
        <w:rPr>
          <w:rFonts w:hint="eastAsia" w:ascii="仿宋" w:hAnsi="仿宋" w:eastAsia="仿宋" w:cs="仿宋"/>
          <w:bCs/>
          <w:caps/>
          <w:szCs w:val="30"/>
          <w:lang w:eastAsia="zh-Hans"/>
        </w:rPr>
        <w:t>推进验收进度，</w:t>
      </w:r>
      <w:r>
        <w:rPr>
          <w:rFonts w:hint="eastAsia" w:ascii="仿宋" w:hAnsi="仿宋" w:eastAsia="仿宋" w:cs="仿宋"/>
          <w:bCs/>
          <w:caps/>
          <w:szCs w:val="30"/>
        </w:rPr>
        <w:t>规范项目管理</w:t>
      </w:r>
      <w:r>
        <w:rPr>
          <w:rFonts w:hint="eastAsia" w:ascii="仿宋" w:hAnsi="仿宋" w:eastAsia="仿宋" w:cs="仿宋"/>
          <w:bCs/>
          <w:caps/>
          <w:szCs w:val="30"/>
          <w:lang w:eastAsia="zh-Hans"/>
        </w:rPr>
        <w:t>。</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serif">
    <w:altName w:val="Noto Sans CJK HK"/>
    <w:panose1 w:val="020B0604020202020204"/>
    <w:charset w:val="00"/>
    <w:family w:val="auto"/>
    <w:pitch w:val="default"/>
    <w:sig w:usb0="00000000" w:usb1="00000000" w:usb2="00000000" w:usb3="00000000" w:csb0="00040001" w:csb1="00000000"/>
  </w:font>
  <w:font w:name="Noto Sans CJK HK">
    <w:panose1 w:val="020B0500000000000000"/>
    <w:charset w:val="88"/>
    <w:family w:val="auto"/>
    <w:pitch w:val="default"/>
    <w:sig w:usb0="30000083" w:usb1="2BDF3C10" w:usb2="00000016" w:usb3="00000000" w:csb0="603A0107"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35</w:t>
                          </w:r>
                          <w:r>
                            <w:rPr>
                              <w:sz w:val="1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LW7l30AAAAAIBAAAPAAAA&#10;AAAAAAEAIAAAADgAAABkcnMvZG93bnJldi54bWxQSwECFAAUAAAACACHTuJA1Heim84BAACWAwAA&#10;DgAAAAAAAAABACAAAAA1AQAAZHJzL2Uyb0RvYy54bWxQSwUGAAAAAAYABgBZAQAAdQU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35</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291FE6"/>
    <w:rsid w:val="00010517"/>
    <w:rsid w:val="00031159"/>
    <w:rsid w:val="00031348"/>
    <w:rsid w:val="00051A6C"/>
    <w:rsid w:val="00070477"/>
    <w:rsid w:val="000A1825"/>
    <w:rsid w:val="000A1F7E"/>
    <w:rsid w:val="000B5AE4"/>
    <w:rsid w:val="000D1B3A"/>
    <w:rsid w:val="000E483E"/>
    <w:rsid w:val="000F099F"/>
    <w:rsid w:val="000F1DBD"/>
    <w:rsid w:val="001006BD"/>
    <w:rsid w:val="0010173C"/>
    <w:rsid w:val="0012537D"/>
    <w:rsid w:val="00132748"/>
    <w:rsid w:val="00142311"/>
    <w:rsid w:val="00144436"/>
    <w:rsid w:val="00146FC8"/>
    <w:rsid w:val="00150EAD"/>
    <w:rsid w:val="00161F66"/>
    <w:rsid w:val="00170732"/>
    <w:rsid w:val="00172C3E"/>
    <w:rsid w:val="001750B0"/>
    <w:rsid w:val="001813BA"/>
    <w:rsid w:val="001A5184"/>
    <w:rsid w:val="001B2507"/>
    <w:rsid w:val="001E2363"/>
    <w:rsid w:val="001F1C93"/>
    <w:rsid w:val="0020597E"/>
    <w:rsid w:val="00213C6F"/>
    <w:rsid w:val="0022242A"/>
    <w:rsid w:val="00223A64"/>
    <w:rsid w:val="00225294"/>
    <w:rsid w:val="00230F47"/>
    <w:rsid w:val="00233D8D"/>
    <w:rsid w:val="002524BB"/>
    <w:rsid w:val="002663BB"/>
    <w:rsid w:val="00273CE0"/>
    <w:rsid w:val="00291FE6"/>
    <w:rsid w:val="002A3016"/>
    <w:rsid w:val="002D4534"/>
    <w:rsid w:val="002D65C6"/>
    <w:rsid w:val="002D6B03"/>
    <w:rsid w:val="002D7AAD"/>
    <w:rsid w:val="00304961"/>
    <w:rsid w:val="003148E7"/>
    <w:rsid w:val="00322680"/>
    <w:rsid w:val="00326FBC"/>
    <w:rsid w:val="00333E22"/>
    <w:rsid w:val="0034172A"/>
    <w:rsid w:val="00342339"/>
    <w:rsid w:val="00345562"/>
    <w:rsid w:val="003544E3"/>
    <w:rsid w:val="00357748"/>
    <w:rsid w:val="0036112B"/>
    <w:rsid w:val="00362314"/>
    <w:rsid w:val="003648E4"/>
    <w:rsid w:val="0037377A"/>
    <w:rsid w:val="00393A81"/>
    <w:rsid w:val="003A0CCC"/>
    <w:rsid w:val="003A6104"/>
    <w:rsid w:val="003A67AD"/>
    <w:rsid w:val="003B11F4"/>
    <w:rsid w:val="003D5876"/>
    <w:rsid w:val="003E4ABB"/>
    <w:rsid w:val="003F1F8C"/>
    <w:rsid w:val="003F604B"/>
    <w:rsid w:val="004225C5"/>
    <w:rsid w:val="0042795A"/>
    <w:rsid w:val="00435FAC"/>
    <w:rsid w:val="0044500C"/>
    <w:rsid w:val="00450EA4"/>
    <w:rsid w:val="00457C99"/>
    <w:rsid w:val="00470194"/>
    <w:rsid w:val="00473638"/>
    <w:rsid w:val="004905C2"/>
    <w:rsid w:val="00492630"/>
    <w:rsid w:val="004A11E7"/>
    <w:rsid w:val="004A2773"/>
    <w:rsid w:val="004B6DFC"/>
    <w:rsid w:val="004C7950"/>
    <w:rsid w:val="004E3B8B"/>
    <w:rsid w:val="004E4864"/>
    <w:rsid w:val="004F3C4B"/>
    <w:rsid w:val="0050750D"/>
    <w:rsid w:val="00520012"/>
    <w:rsid w:val="0052747F"/>
    <w:rsid w:val="00531132"/>
    <w:rsid w:val="005339D9"/>
    <w:rsid w:val="00536BBF"/>
    <w:rsid w:val="005572FA"/>
    <w:rsid w:val="00570F75"/>
    <w:rsid w:val="00582E2D"/>
    <w:rsid w:val="00584B52"/>
    <w:rsid w:val="00585063"/>
    <w:rsid w:val="00586714"/>
    <w:rsid w:val="005A2F1D"/>
    <w:rsid w:val="005A45CD"/>
    <w:rsid w:val="005A6007"/>
    <w:rsid w:val="005C7DBF"/>
    <w:rsid w:val="005E5052"/>
    <w:rsid w:val="005F6623"/>
    <w:rsid w:val="006016CE"/>
    <w:rsid w:val="00605E05"/>
    <w:rsid w:val="0062079B"/>
    <w:rsid w:val="00630741"/>
    <w:rsid w:val="006370E8"/>
    <w:rsid w:val="006A645D"/>
    <w:rsid w:val="006B2E0A"/>
    <w:rsid w:val="006C7B49"/>
    <w:rsid w:val="006E77C5"/>
    <w:rsid w:val="00703EA9"/>
    <w:rsid w:val="007051F0"/>
    <w:rsid w:val="00725354"/>
    <w:rsid w:val="0073455B"/>
    <w:rsid w:val="0075619A"/>
    <w:rsid w:val="00760F96"/>
    <w:rsid w:val="007740DA"/>
    <w:rsid w:val="007816FE"/>
    <w:rsid w:val="00783432"/>
    <w:rsid w:val="00787616"/>
    <w:rsid w:val="007B4641"/>
    <w:rsid w:val="007B5E22"/>
    <w:rsid w:val="007C0845"/>
    <w:rsid w:val="007D08AB"/>
    <w:rsid w:val="007D4EC0"/>
    <w:rsid w:val="007E0689"/>
    <w:rsid w:val="007E61CE"/>
    <w:rsid w:val="007F1EAC"/>
    <w:rsid w:val="007F3BB1"/>
    <w:rsid w:val="008260EB"/>
    <w:rsid w:val="00826960"/>
    <w:rsid w:val="008458C8"/>
    <w:rsid w:val="00861CA6"/>
    <w:rsid w:val="008671BC"/>
    <w:rsid w:val="008767F7"/>
    <w:rsid w:val="00890AB5"/>
    <w:rsid w:val="008A20F7"/>
    <w:rsid w:val="008A70BE"/>
    <w:rsid w:val="008B1A18"/>
    <w:rsid w:val="008B2B3E"/>
    <w:rsid w:val="008B69F0"/>
    <w:rsid w:val="008F0ECD"/>
    <w:rsid w:val="00912185"/>
    <w:rsid w:val="00914C1E"/>
    <w:rsid w:val="0091712A"/>
    <w:rsid w:val="00932A73"/>
    <w:rsid w:val="0094323B"/>
    <w:rsid w:val="00952C6F"/>
    <w:rsid w:val="00962B00"/>
    <w:rsid w:val="00972CA8"/>
    <w:rsid w:val="00991A14"/>
    <w:rsid w:val="00993569"/>
    <w:rsid w:val="00995A42"/>
    <w:rsid w:val="009A695A"/>
    <w:rsid w:val="009B0FA6"/>
    <w:rsid w:val="009C4244"/>
    <w:rsid w:val="009D28AB"/>
    <w:rsid w:val="009E5F69"/>
    <w:rsid w:val="009F6294"/>
    <w:rsid w:val="00A12403"/>
    <w:rsid w:val="00A245A8"/>
    <w:rsid w:val="00A34439"/>
    <w:rsid w:val="00A4336B"/>
    <w:rsid w:val="00A456A2"/>
    <w:rsid w:val="00A514BB"/>
    <w:rsid w:val="00A67228"/>
    <w:rsid w:val="00A95A6C"/>
    <w:rsid w:val="00A95A9A"/>
    <w:rsid w:val="00AC6BBC"/>
    <w:rsid w:val="00AE2FFE"/>
    <w:rsid w:val="00AF3813"/>
    <w:rsid w:val="00AF57E4"/>
    <w:rsid w:val="00B36FA0"/>
    <w:rsid w:val="00B4283B"/>
    <w:rsid w:val="00B511F0"/>
    <w:rsid w:val="00B512B7"/>
    <w:rsid w:val="00B536C5"/>
    <w:rsid w:val="00B74830"/>
    <w:rsid w:val="00B7552F"/>
    <w:rsid w:val="00B77B95"/>
    <w:rsid w:val="00B90D45"/>
    <w:rsid w:val="00B939A3"/>
    <w:rsid w:val="00BB6C44"/>
    <w:rsid w:val="00BC6069"/>
    <w:rsid w:val="00BD5D17"/>
    <w:rsid w:val="00BD7606"/>
    <w:rsid w:val="00BF6A1A"/>
    <w:rsid w:val="00BF7A08"/>
    <w:rsid w:val="00C11869"/>
    <w:rsid w:val="00C12E6C"/>
    <w:rsid w:val="00C177D0"/>
    <w:rsid w:val="00C4723F"/>
    <w:rsid w:val="00C81104"/>
    <w:rsid w:val="00C816EF"/>
    <w:rsid w:val="00C8670F"/>
    <w:rsid w:val="00C86CFA"/>
    <w:rsid w:val="00CA0ADC"/>
    <w:rsid w:val="00CC52F1"/>
    <w:rsid w:val="00CC69C7"/>
    <w:rsid w:val="00CD6E95"/>
    <w:rsid w:val="00CE2F25"/>
    <w:rsid w:val="00CE6642"/>
    <w:rsid w:val="00CF05CF"/>
    <w:rsid w:val="00CF10AE"/>
    <w:rsid w:val="00CF43B4"/>
    <w:rsid w:val="00D301A6"/>
    <w:rsid w:val="00D331D4"/>
    <w:rsid w:val="00D6351B"/>
    <w:rsid w:val="00D94311"/>
    <w:rsid w:val="00D97867"/>
    <w:rsid w:val="00DB57B4"/>
    <w:rsid w:val="00DB59CD"/>
    <w:rsid w:val="00DD6806"/>
    <w:rsid w:val="00DE01DD"/>
    <w:rsid w:val="00DF7A06"/>
    <w:rsid w:val="00E07025"/>
    <w:rsid w:val="00E07907"/>
    <w:rsid w:val="00E162E4"/>
    <w:rsid w:val="00E244F5"/>
    <w:rsid w:val="00E26078"/>
    <w:rsid w:val="00E435E6"/>
    <w:rsid w:val="00E470C0"/>
    <w:rsid w:val="00E65FB9"/>
    <w:rsid w:val="00E959DD"/>
    <w:rsid w:val="00EA3F49"/>
    <w:rsid w:val="00EC77BD"/>
    <w:rsid w:val="00EF3DD4"/>
    <w:rsid w:val="00F3274B"/>
    <w:rsid w:val="00F34CD2"/>
    <w:rsid w:val="00F378C7"/>
    <w:rsid w:val="00F72D32"/>
    <w:rsid w:val="00F96CE7"/>
    <w:rsid w:val="00FB75C2"/>
    <w:rsid w:val="00FC09EC"/>
    <w:rsid w:val="00FC45E9"/>
    <w:rsid w:val="00FD04F0"/>
    <w:rsid w:val="00FD76F6"/>
    <w:rsid w:val="00FE6D54"/>
    <w:rsid w:val="00FF1764"/>
    <w:rsid w:val="01012C73"/>
    <w:rsid w:val="01745DAD"/>
    <w:rsid w:val="01EA44FF"/>
    <w:rsid w:val="02242076"/>
    <w:rsid w:val="023766CA"/>
    <w:rsid w:val="025339B9"/>
    <w:rsid w:val="027520D7"/>
    <w:rsid w:val="02C668D9"/>
    <w:rsid w:val="02CF4893"/>
    <w:rsid w:val="02D84414"/>
    <w:rsid w:val="036A23C8"/>
    <w:rsid w:val="03982449"/>
    <w:rsid w:val="042518DB"/>
    <w:rsid w:val="04642403"/>
    <w:rsid w:val="047F6906"/>
    <w:rsid w:val="05042547"/>
    <w:rsid w:val="052B70BE"/>
    <w:rsid w:val="05DE55A9"/>
    <w:rsid w:val="05E82BC0"/>
    <w:rsid w:val="063302DF"/>
    <w:rsid w:val="064029FC"/>
    <w:rsid w:val="067C0DE7"/>
    <w:rsid w:val="069371C6"/>
    <w:rsid w:val="06F22278"/>
    <w:rsid w:val="06F51A39"/>
    <w:rsid w:val="074327A4"/>
    <w:rsid w:val="07446FF7"/>
    <w:rsid w:val="07474FE1"/>
    <w:rsid w:val="075B126D"/>
    <w:rsid w:val="07B216D8"/>
    <w:rsid w:val="07C03DF5"/>
    <w:rsid w:val="08886FD2"/>
    <w:rsid w:val="08A05E91"/>
    <w:rsid w:val="08C8178B"/>
    <w:rsid w:val="09371591"/>
    <w:rsid w:val="0990401D"/>
    <w:rsid w:val="09B57F05"/>
    <w:rsid w:val="09CF3419"/>
    <w:rsid w:val="09D43B87"/>
    <w:rsid w:val="0A654CFD"/>
    <w:rsid w:val="0A6C39B4"/>
    <w:rsid w:val="0AF3628F"/>
    <w:rsid w:val="0B084443"/>
    <w:rsid w:val="0B214D39"/>
    <w:rsid w:val="0B467AEB"/>
    <w:rsid w:val="0B4E0D85"/>
    <w:rsid w:val="0B64718D"/>
    <w:rsid w:val="0B767BF7"/>
    <w:rsid w:val="0B7B4BE3"/>
    <w:rsid w:val="0BB5572C"/>
    <w:rsid w:val="0BE16D20"/>
    <w:rsid w:val="0C0A3890"/>
    <w:rsid w:val="0C1F7787"/>
    <w:rsid w:val="0C2A44ED"/>
    <w:rsid w:val="0C6640A3"/>
    <w:rsid w:val="0D317AAB"/>
    <w:rsid w:val="0D420550"/>
    <w:rsid w:val="0D84608A"/>
    <w:rsid w:val="0D985A2E"/>
    <w:rsid w:val="0DC14423"/>
    <w:rsid w:val="0E2350DD"/>
    <w:rsid w:val="0EA3691A"/>
    <w:rsid w:val="0F070F37"/>
    <w:rsid w:val="0FD25609"/>
    <w:rsid w:val="0FEB5585"/>
    <w:rsid w:val="0FFF7484"/>
    <w:rsid w:val="10282ACD"/>
    <w:rsid w:val="103A670E"/>
    <w:rsid w:val="106614B4"/>
    <w:rsid w:val="106A31E0"/>
    <w:rsid w:val="11145021"/>
    <w:rsid w:val="11366ED6"/>
    <w:rsid w:val="11532320"/>
    <w:rsid w:val="11621E9A"/>
    <w:rsid w:val="118732D1"/>
    <w:rsid w:val="11C3393F"/>
    <w:rsid w:val="11CB5358"/>
    <w:rsid w:val="12865F21"/>
    <w:rsid w:val="128D0D77"/>
    <w:rsid w:val="12FD1AD8"/>
    <w:rsid w:val="13351681"/>
    <w:rsid w:val="13A74338"/>
    <w:rsid w:val="13AA46B7"/>
    <w:rsid w:val="13E35761"/>
    <w:rsid w:val="13ED5318"/>
    <w:rsid w:val="13FC4CB4"/>
    <w:rsid w:val="147C0D77"/>
    <w:rsid w:val="15201EB5"/>
    <w:rsid w:val="155344FA"/>
    <w:rsid w:val="156F31FC"/>
    <w:rsid w:val="157223B7"/>
    <w:rsid w:val="15B5537C"/>
    <w:rsid w:val="160F575E"/>
    <w:rsid w:val="16133C89"/>
    <w:rsid w:val="164B309C"/>
    <w:rsid w:val="16572F55"/>
    <w:rsid w:val="167B3E10"/>
    <w:rsid w:val="167E55A7"/>
    <w:rsid w:val="168C1346"/>
    <w:rsid w:val="16E22B6B"/>
    <w:rsid w:val="172C5003"/>
    <w:rsid w:val="173043C7"/>
    <w:rsid w:val="1763444D"/>
    <w:rsid w:val="17AA6880"/>
    <w:rsid w:val="17AF353E"/>
    <w:rsid w:val="17BB144B"/>
    <w:rsid w:val="17E86A50"/>
    <w:rsid w:val="181B5077"/>
    <w:rsid w:val="183C1C75"/>
    <w:rsid w:val="18742A39"/>
    <w:rsid w:val="18827A4C"/>
    <w:rsid w:val="18843061"/>
    <w:rsid w:val="18BD3D33"/>
    <w:rsid w:val="18CC0A2E"/>
    <w:rsid w:val="1903395F"/>
    <w:rsid w:val="19C72DC1"/>
    <w:rsid w:val="19D355FA"/>
    <w:rsid w:val="19D61256"/>
    <w:rsid w:val="19D95852"/>
    <w:rsid w:val="19DC4392"/>
    <w:rsid w:val="1A475CB0"/>
    <w:rsid w:val="1A4E6CEE"/>
    <w:rsid w:val="1B1965F5"/>
    <w:rsid w:val="1B8A6B2F"/>
    <w:rsid w:val="1BC6267A"/>
    <w:rsid w:val="1BE17361"/>
    <w:rsid w:val="1C0839F8"/>
    <w:rsid w:val="1C666204"/>
    <w:rsid w:val="1C80194D"/>
    <w:rsid w:val="1CBF06C7"/>
    <w:rsid w:val="1CC8206B"/>
    <w:rsid w:val="1CF540E9"/>
    <w:rsid w:val="1D16363F"/>
    <w:rsid w:val="1D5C7CC4"/>
    <w:rsid w:val="1D61136E"/>
    <w:rsid w:val="1D935BAD"/>
    <w:rsid w:val="1DB407A1"/>
    <w:rsid w:val="1DB6149E"/>
    <w:rsid w:val="1DBA49EB"/>
    <w:rsid w:val="1E0473CD"/>
    <w:rsid w:val="1E3241A2"/>
    <w:rsid w:val="1E7E635E"/>
    <w:rsid w:val="1EC577FD"/>
    <w:rsid w:val="1F290904"/>
    <w:rsid w:val="1FE019BC"/>
    <w:rsid w:val="1FFE71C3"/>
    <w:rsid w:val="203D0BFB"/>
    <w:rsid w:val="205B230F"/>
    <w:rsid w:val="205C1E24"/>
    <w:rsid w:val="20B83463"/>
    <w:rsid w:val="20EE7C74"/>
    <w:rsid w:val="21146958"/>
    <w:rsid w:val="214E3DC8"/>
    <w:rsid w:val="21611D4D"/>
    <w:rsid w:val="216713CE"/>
    <w:rsid w:val="21771570"/>
    <w:rsid w:val="21F5269D"/>
    <w:rsid w:val="22264989"/>
    <w:rsid w:val="222C2865"/>
    <w:rsid w:val="22C61EA2"/>
    <w:rsid w:val="22F453DF"/>
    <w:rsid w:val="22FF7E7D"/>
    <w:rsid w:val="23042488"/>
    <w:rsid w:val="2328623E"/>
    <w:rsid w:val="234142EF"/>
    <w:rsid w:val="237D0994"/>
    <w:rsid w:val="238166D6"/>
    <w:rsid w:val="23C759E1"/>
    <w:rsid w:val="242C1BDE"/>
    <w:rsid w:val="245A5C05"/>
    <w:rsid w:val="247E5D01"/>
    <w:rsid w:val="247F694A"/>
    <w:rsid w:val="24A140F3"/>
    <w:rsid w:val="24AF0512"/>
    <w:rsid w:val="24E601CC"/>
    <w:rsid w:val="24F55964"/>
    <w:rsid w:val="25004B0F"/>
    <w:rsid w:val="250D25ED"/>
    <w:rsid w:val="2520449C"/>
    <w:rsid w:val="252B4B4C"/>
    <w:rsid w:val="253467A8"/>
    <w:rsid w:val="254917C7"/>
    <w:rsid w:val="258768CA"/>
    <w:rsid w:val="25A96588"/>
    <w:rsid w:val="25E1345C"/>
    <w:rsid w:val="25E25EB3"/>
    <w:rsid w:val="25EB1945"/>
    <w:rsid w:val="26614F39"/>
    <w:rsid w:val="268944C1"/>
    <w:rsid w:val="26A83F7A"/>
    <w:rsid w:val="26BF6CF4"/>
    <w:rsid w:val="26CF1507"/>
    <w:rsid w:val="26EB4A32"/>
    <w:rsid w:val="26ED516B"/>
    <w:rsid w:val="2707406D"/>
    <w:rsid w:val="27156A20"/>
    <w:rsid w:val="27903CF9"/>
    <w:rsid w:val="28285372"/>
    <w:rsid w:val="28291ED0"/>
    <w:rsid w:val="28353CD9"/>
    <w:rsid w:val="283A32F8"/>
    <w:rsid w:val="289A2692"/>
    <w:rsid w:val="28A15125"/>
    <w:rsid w:val="28C7743E"/>
    <w:rsid w:val="28CA51A3"/>
    <w:rsid w:val="28F67D3D"/>
    <w:rsid w:val="29010282"/>
    <w:rsid w:val="293022BD"/>
    <w:rsid w:val="294A4892"/>
    <w:rsid w:val="29657DC5"/>
    <w:rsid w:val="298C36DF"/>
    <w:rsid w:val="29E45A09"/>
    <w:rsid w:val="29FA65C3"/>
    <w:rsid w:val="2A697EC4"/>
    <w:rsid w:val="2B2314F6"/>
    <w:rsid w:val="2B26772D"/>
    <w:rsid w:val="2BBB3F5F"/>
    <w:rsid w:val="2BCE6D3C"/>
    <w:rsid w:val="2C0B05E0"/>
    <w:rsid w:val="2C2A3CD0"/>
    <w:rsid w:val="2C3818FC"/>
    <w:rsid w:val="2C7405D1"/>
    <w:rsid w:val="2CB6795A"/>
    <w:rsid w:val="2CC868DD"/>
    <w:rsid w:val="2CD23429"/>
    <w:rsid w:val="2CD62E42"/>
    <w:rsid w:val="2D355424"/>
    <w:rsid w:val="2D41053B"/>
    <w:rsid w:val="2D51187C"/>
    <w:rsid w:val="2DAD1E76"/>
    <w:rsid w:val="2DB12D6A"/>
    <w:rsid w:val="2DB277B6"/>
    <w:rsid w:val="2DE23367"/>
    <w:rsid w:val="2DED18F2"/>
    <w:rsid w:val="2E227EF5"/>
    <w:rsid w:val="2E2C5491"/>
    <w:rsid w:val="2E3A7347"/>
    <w:rsid w:val="2E493B0E"/>
    <w:rsid w:val="2E685DFB"/>
    <w:rsid w:val="2E9F5C62"/>
    <w:rsid w:val="2EBD6A71"/>
    <w:rsid w:val="2EF73CF0"/>
    <w:rsid w:val="2F0D050F"/>
    <w:rsid w:val="2F177FAD"/>
    <w:rsid w:val="2F427063"/>
    <w:rsid w:val="2F5D606D"/>
    <w:rsid w:val="2F7C41F6"/>
    <w:rsid w:val="2F8310E0"/>
    <w:rsid w:val="2FAF59F5"/>
    <w:rsid w:val="300A061F"/>
    <w:rsid w:val="30183F1E"/>
    <w:rsid w:val="302525DF"/>
    <w:rsid w:val="3029612C"/>
    <w:rsid w:val="30536D0B"/>
    <w:rsid w:val="305D1E35"/>
    <w:rsid w:val="306C3E57"/>
    <w:rsid w:val="30757CE3"/>
    <w:rsid w:val="308C21C7"/>
    <w:rsid w:val="30EE0170"/>
    <w:rsid w:val="30FE75F7"/>
    <w:rsid w:val="311A6DF9"/>
    <w:rsid w:val="316F5DC0"/>
    <w:rsid w:val="31771119"/>
    <w:rsid w:val="32384404"/>
    <w:rsid w:val="32851613"/>
    <w:rsid w:val="32C401BF"/>
    <w:rsid w:val="32FF701B"/>
    <w:rsid w:val="333A23FE"/>
    <w:rsid w:val="33BA4A58"/>
    <w:rsid w:val="33EF79F1"/>
    <w:rsid w:val="340321F7"/>
    <w:rsid w:val="34343A54"/>
    <w:rsid w:val="345114C0"/>
    <w:rsid w:val="346A075D"/>
    <w:rsid w:val="346E3294"/>
    <w:rsid w:val="346F1A71"/>
    <w:rsid w:val="34F15C03"/>
    <w:rsid w:val="35157500"/>
    <w:rsid w:val="353310A9"/>
    <w:rsid w:val="355425EB"/>
    <w:rsid w:val="356911E6"/>
    <w:rsid w:val="357E1CD7"/>
    <w:rsid w:val="35C12962"/>
    <w:rsid w:val="360D1B6A"/>
    <w:rsid w:val="36486245"/>
    <w:rsid w:val="369E2CA4"/>
    <w:rsid w:val="36DF5796"/>
    <w:rsid w:val="3703359E"/>
    <w:rsid w:val="37507D57"/>
    <w:rsid w:val="379F064F"/>
    <w:rsid w:val="37B409D1"/>
    <w:rsid w:val="37C4498C"/>
    <w:rsid w:val="383549B8"/>
    <w:rsid w:val="387A13BD"/>
    <w:rsid w:val="38D549FA"/>
    <w:rsid w:val="38EB3A7B"/>
    <w:rsid w:val="38EC3A07"/>
    <w:rsid w:val="38FE2413"/>
    <w:rsid w:val="3903438C"/>
    <w:rsid w:val="395A1104"/>
    <w:rsid w:val="396F364F"/>
    <w:rsid w:val="3A3335B7"/>
    <w:rsid w:val="3A3A0F35"/>
    <w:rsid w:val="3A6F6E99"/>
    <w:rsid w:val="3A9932B0"/>
    <w:rsid w:val="3AB663CC"/>
    <w:rsid w:val="3AE157E3"/>
    <w:rsid w:val="3BAE1BDB"/>
    <w:rsid w:val="3BD553B9"/>
    <w:rsid w:val="3BDD7DCA"/>
    <w:rsid w:val="3BE86D6D"/>
    <w:rsid w:val="3C3C71E7"/>
    <w:rsid w:val="3C755230"/>
    <w:rsid w:val="3C9FEB83"/>
    <w:rsid w:val="3CCD4DB4"/>
    <w:rsid w:val="3CDD2F62"/>
    <w:rsid w:val="3CE07B72"/>
    <w:rsid w:val="3CEC6966"/>
    <w:rsid w:val="3D5E45C9"/>
    <w:rsid w:val="3D704DB0"/>
    <w:rsid w:val="3D8607D0"/>
    <w:rsid w:val="3E1A3557"/>
    <w:rsid w:val="3E304E87"/>
    <w:rsid w:val="3E856CBB"/>
    <w:rsid w:val="3ED731F7"/>
    <w:rsid w:val="3EF85D94"/>
    <w:rsid w:val="3FA26360"/>
    <w:rsid w:val="3FAB3AC9"/>
    <w:rsid w:val="3FB64363"/>
    <w:rsid w:val="403E3A69"/>
    <w:rsid w:val="408B4299"/>
    <w:rsid w:val="409B6282"/>
    <w:rsid w:val="40FC63F3"/>
    <w:rsid w:val="411A570D"/>
    <w:rsid w:val="41452699"/>
    <w:rsid w:val="41C0110D"/>
    <w:rsid w:val="41D43A1D"/>
    <w:rsid w:val="42187DAE"/>
    <w:rsid w:val="42DC7D90"/>
    <w:rsid w:val="42FF578F"/>
    <w:rsid w:val="436112E1"/>
    <w:rsid w:val="437A4E3C"/>
    <w:rsid w:val="43D11879"/>
    <w:rsid w:val="43EE526A"/>
    <w:rsid w:val="440B5086"/>
    <w:rsid w:val="44215270"/>
    <w:rsid w:val="442347E8"/>
    <w:rsid w:val="449C4424"/>
    <w:rsid w:val="44D020CD"/>
    <w:rsid w:val="44F004F5"/>
    <w:rsid w:val="454910CB"/>
    <w:rsid w:val="45570695"/>
    <w:rsid w:val="46051EF7"/>
    <w:rsid w:val="46156884"/>
    <w:rsid w:val="463158E2"/>
    <w:rsid w:val="47077B1F"/>
    <w:rsid w:val="472E3F97"/>
    <w:rsid w:val="475C757D"/>
    <w:rsid w:val="47637D1D"/>
    <w:rsid w:val="478101A3"/>
    <w:rsid w:val="47E214FF"/>
    <w:rsid w:val="48592ECE"/>
    <w:rsid w:val="485D651B"/>
    <w:rsid w:val="486F33C3"/>
    <w:rsid w:val="489F5472"/>
    <w:rsid w:val="48C621F7"/>
    <w:rsid w:val="48E11085"/>
    <w:rsid w:val="48EE06AE"/>
    <w:rsid w:val="48F76E20"/>
    <w:rsid w:val="49012FDB"/>
    <w:rsid w:val="49666217"/>
    <w:rsid w:val="497E6F68"/>
    <w:rsid w:val="499C3073"/>
    <w:rsid w:val="499C7EF9"/>
    <w:rsid w:val="49A34051"/>
    <w:rsid w:val="4A474A71"/>
    <w:rsid w:val="4AE13CE0"/>
    <w:rsid w:val="4AE427EC"/>
    <w:rsid w:val="4AF06D49"/>
    <w:rsid w:val="4AF55130"/>
    <w:rsid w:val="4B0709C0"/>
    <w:rsid w:val="4B0A2C46"/>
    <w:rsid w:val="4B285E44"/>
    <w:rsid w:val="4B6F293E"/>
    <w:rsid w:val="4B756271"/>
    <w:rsid w:val="4B761263"/>
    <w:rsid w:val="4BCF1B8A"/>
    <w:rsid w:val="4C0249A2"/>
    <w:rsid w:val="4C6D6041"/>
    <w:rsid w:val="4C991AEB"/>
    <w:rsid w:val="4CA02851"/>
    <w:rsid w:val="4CE60D9D"/>
    <w:rsid w:val="4CE92975"/>
    <w:rsid w:val="4D5F2D35"/>
    <w:rsid w:val="4D764C2D"/>
    <w:rsid w:val="4DFB47C8"/>
    <w:rsid w:val="4E1460AC"/>
    <w:rsid w:val="4E1A4A3C"/>
    <w:rsid w:val="4E347D1E"/>
    <w:rsid w:val="4E3917D8"/>
    <w:rsid w:val="4E4D273C"/>
    <w:rsid w:val="4E5841D3"/>
    <w:rsid w:val="4E802F63"/>
    <w:rsid w:val="4EE73765"/>
    <w:rsid w:val="4F244A2F"/>
    <w:rsid w:val="4F797786"/>
    <w:rsid w:val="4F8553A5"/>
    <w:rsid w:val="4F8922EB"/>
    <w:rsid w:val="50962F12"/>
    <w:rsid w:val="50AC7814"/>
    <w:rsid w:val="50B90CFD"/>
    <w:rsid w:val="511107EA"/>
    <w:rsid w:val="5160543E"/>
    <w:rsid w:val="51BA2C30"/>
    <w:rsid w:val="51C07B1A"/>
    <w:rsid w:val="51C6572A"/>
    <w:rsid w:val="51EB4B97"/>
    <w:rsid w:val="51F07734"/>
    <w:rsid w:val="521823EC"/>
    <w:rsid w:val="52D675F5"/>
    <w:rsid w:val="52DB741E"/>
    <w:rsid w:val="52DE6955"/>
    <w:rsid w:val="53287AE8"/>
    <w:rsid w:val="532A5B93"/>
    <w:rsid w:val="533ADBBF"/>
    <w:rsid w:val="534027FD"/>
    <w:rsid w:val="53767D7B"/>
    <w:rsid w:val="539D1358"/>
    <w:rsid w:val="53CA6D7A"/>
    <w:rsid w:val="540E7263"/>
    <w:rsid w:val="547A3DF7"/>
    <w:rsid w:val="54D16D13"/>
    <w:rsid w:val="551203E2"/>
    <w:rsid w:val="55290A1B"/>
    <w:rsid w:val="553966CD"/>
    <w:rsid w:val="553B1739"/>
    <w:rsid w:val="55485172"/>
    <w:rsid w:val="5569360C"/>
    <w:rsid w:val="558F7F2F"/>
    <w:rsid w:val="55FA0B9A"/>
    <w:rsid w:val="564C7A18"/>
    <w:rsid w:val="56551732"/>
    <w:rsid w:val="56682C5A"/>
    <w:rsid w:val="56C1680E"/>
    <w:rsid w:val="571E410B"/>
    <w:rsid w:val="573E401C"/>
    <w:rsid w:val="57416931"/>
    <w:rsid w:val="574246D8"/>
    <w:rsid w:val="575E6038"/>
    <w:rsid w:val="577E025B"/>
    <w:rsid w:val="57BB35E3"/>
    <w:rsid w:val="58125BA5"/>
    <w:rsid w:val="582F7907"/>
    <w:rsid w:val="599A7D1E"/>
    <w:rsid w:val="59C4289D"/>
    <w:rsid w:val="5A3517D2"/>
    <w:rsid w:val="5A490723"/>
    <w:rsid w:val="5B154B1A"/>
    <w:rsid w:val="5B484E08"/>
    <w:rsid w:val="5BD05618"/>
    <w:rsid w:val="5BDA4433"/>
    <w:rsid w:val="5BF428F1"/>
    <w:rsid w:val="5C3757E7"/>
    <w:rsid w:val="5C491D3E"/>
    <w:rsid w:val="5C952629"/>
    <w:rsid w:val="5C976ED0"/>
    <w:rsid w:val="5C9A0C9C"/>
    <w:rsid w:val="5CAE1D07"/>
    <w:rsid w:val="5D2E4BA1"/>
    <w:rsid w:val="5D4C1AED"/>
    <w:rsid w:val="5D704629"/>
    <w:rsid w:val="5D9B4391"/>
    <w:rsid w:val="5DBE37F8"/>
    <w:rsid w:val="5DCF1811"/>
    <w:rsid w:val="5DDD340B"/>
    <w:rsid w:val="5DE83630"/>
    <w:rsid w:val="5E1A6E03"/>
    <w:rsid w:val="5E251431"/>
    <w:rsid w:val="5E6D7E26"/>
    <w:rsid w:val="5EA56A83"/>
    <w:rsid w:val="5EAE041F"/>
    <w:rsid w:val="5EBF5F18"/>
    <w:rsid w:val="5F100A56"/>
    <w:rsid w:val="5F2B6F1B"/>
    <w:rsid w:val="5F712636"/>
    <w:rsid w:val="5F744E48"/>
    <w:rsid w:val="5F994E18"/>
    <w:rsid w:val="60107332"/>
    <w:rsid w:val="60291888"/>
    <w:rsid w:val="602F04FB"/>
    <w:rsid w:val="60574443"/>
    <w:rsid w:val="607521C4"/>
    <w:rsid w:val="60FF489C"/>
    <w:rsid w:val="610269A5"/>
    <w:rsid w:val="61194810"/>
    <w:rsid w:val="61C16189"/>
    <w:rsid w:val="61C6117D"/>
    <w:rsid w:val="61FC71EF"/>
    <w:rsid w:val="620845A1"/>
    <w:rsid w:val="62242AD8"/>
    <w:rsid w:val="6293708D"/>
    <w:rsid w:val="62960B4F"/>
    <w:rsid w:val="62981268"/>
    <w:rsid w:val="62DE5FD2"/>
    <w:rsid w:val="630B1E18"/>
    <w:rsid w:val="634621C0"/>
    <w:rsid w:val="637C7027"/>
    <w:rsid w:val="63B612A0"/>
    <w:rsid w:val="643B2E2B"/>
    <w:rsid w:val="646377B2"/>
    <w:rsid w:val="648F3AA8"/>
    <w:rsid w:val="64AA73DE"/>
    <w:rsid w:val="64AF191F"/>
    <w:rsid w:val="64BC4674"/>
    <w:rsid w:val="64C62C8C"/>
    <w:rsid w:val="64F04D78"/>
    <w:rsid w:val="650752A2"/>
    <w:rsid w:val="6533367E"/>
    <w:rsid w:val="6546685C"/>
    <w:rsid w:val="655649C5"/>
    <w:rsid w:val="65C43C25"/>
    <w:rsid w:val="65DD6A95"/>
    <w:rsid w:val="65E03BBC"/>
    <w:rsid w:val="65E74BDC"/>
    <w:rsid w:val="66056413"/>
    <w:rsid w:val="66087A21"/>
    <w:rsid w:val="66260616"/>
    <w:rsid w:val="663E7D8F"/>
    <w:rsid w:val="666913E6"/>
    <w:rsid w:val="66782817"/>
    <w:rsid w:val="66990C0E"/>
    <w:rsid w:val="66EB7F78"/>
    <w:rsid w:val="66FE0C63"/>
    <w:rsid w:val="674C7A2E"/>
    <w:rsid w:val="679703A9"/>
    <w:rsid w:val="68727597"/>
    <w:rsid w:val="68BA7285"/>
    <w:rsid w:val="68DF61EC"/>
    <w:rsid w:val="69296D2D"/>
    <w:rsid w:val="6A1231B1"/>
    <w:rsid w:val="6A2B16E6"/>
    <w:rsid w:val="6A3D1481"/>
    <w:rsid w:val="6A87126B"/>
    <w:rsid w:val="6A8E26C8"/>
    <w:rsid w:val="6A985F99"/>
    <w:rsid w:val="6B00290C"/>
    <w:rsid w:val="6B5F1F85"/>
    <w:rsid w:val="6B8A5729"/>
    <w:rsid w:val="6BD959FF"/>
    <w:rsid w:val="6C077337"/>
    <w:rsid w:val="6C0A65AA"/>
    <w:rsid w:val="6C5B4482"/>
    <w:rsid w:val="6C5D3FAD"/>
    <w:rsid w:val="6CD23EAC"/>
    <w:rsid w:val="6D282002"/>
    <w:rsid w:val="6D5043D0"/>
    <w:rsid w:val="6D910891"/>
    <w:rsid w:val="6DBB414A"/>
    <w:rsid w:val="6DC27192"/>
    <w:rsid w:val="6DCA7B33"/>
    <w:rsid w:val="6E331948"/>
    <w:rsid w:val="6E5D0773"/>
    <w:rsid w:val="6E932B2B"/>
    <w:rsid w:val="6EB94D2B"/>
    <w:rsid w:val="6EC46274"/>
    <w:rsid w:val="6EEF7CA5"/>
    <w:rsid w:val="6EF56810"/>
    <w:rsid w:val="6F093531"/>
    <w:rsid w:val="6F1E737C"/>
    <w:rsid w:val="6F536C03"/>
    <w:rsid w:val="6FA4358C"/>
    <w:rsid w:val="6FB743EE"/>
    <w:rsid w:val="6FEA7A9C"/>
    <w:rsid w:val="700A4AFE"/>
    <w:rsid w:val="702C20D5"/>
    <w:rsid w:val="70860455"/>
    <w:rsid w:val="70E9031C"/>
    <w:rsid w:val="71506AC0"/>
    <w:rsid w:val="7157446A"/>
    <w:rsid w:val="71EB648C"/>
    <w:rsid w:val="72313FED"/>
    <w:rsid w:val="723C2395"/>
    <w:rsid w:val="727C7C52"/>
    <w:rsid w:val="72CA3EBD"/>
    <w:rsid w:val="72CD2B5D"/>
    <w:rsid w:val="72F24EC4"/>
    <w:rsid w:val="735D3FB1"/>
    <w:rsid w:val="73870866"/>
    <w:rsid w:val="73C213D9"/>
    <w:rsid w:val="741F0DBF"/>
    <w:rsid w:val="74303A97"/>
    <w:rsid w:val="746B4104"/>
    <w:rsid w:val="74824553"/>
    <w:rsid w:val="74A12790"/>
    <w:rsid w:val="74D377B7"/>
    <w:rsid w:val="74DA4B18"/>
    <w:rsid w:val="751C2F65"/>
    <w:rsid w:val="753D68A2"/>
    <w:rsid w:val="755E323F"/>
    <w:rsid w:val="756E20E2"/>
    <w:rsid w:val="758F1F24"/>
    <w:rsid w:val="75B275F6"/>
    <w:rsid w:val="75C335B1"/>
    <w:rsid w:val="75D26D5A"/>
    <w:rsid w:val="75FF3EBB"/>
    <w:rsid w:val="765A75F3"/>
    <w:rsid w:val="768A0573"/>
    <w:rsid w:val="768C7E47"/>
    <w:rsid w:val="76957881"/>
    <w:rsid w:val="76966F18"/>
    <w:rsid w:val="76C7355E"/>
    <w:rsid w:val="77013E9B"/>
    <w:rsid w:val="77423580"/>
    <w:rsid w:val="774821BE"/>
    <w:rsid w:val="776E568D"/>
    <w:rsid w:val="77732DB5"/>
    <w:rsid w:val="77930267"/>
    <w:rsid w:val="784763DE"/>
    <w:rsid w:val="78481B80"/>
    <w:rsid w:val="78565269"/>
    <w:rsid w:val="78CE53DF"/>
    <w:rsid w:val="790C34C1"/>
    <w:rsid w:val="793654A6"/>
    <w:rsid w:val="79660E24"/>
    <w:rsid w:val="7970602A"/>
    <w:rsid w:val="798F5005"/>
    <w:rsid w:val="79AB78A4"/>
    <w:rsid w:val="7A023A6F"/>
    <w:rsid w:val="7A073789"/>
    <w:rsid w:val="7A344700"/>
    <w:rsid w:val="7AB21E46"/>
    <w:rsid w:val="7ADC72D9"/>
    <w:rsid w:val="7B1058A9"/>
    <w:rsid w:val="7B226246"/>
    <w:rsid w:val="7B5A14E8"/>
    <w:rsid w:val="7B5C745B"/>
    <w:rsid w:val="7B797D42"/>
    <w:rsid w:val="7B8F66CE"/>
    <w:rsid w:val="7BB3231A"/>
    <w:rsid w:val="7BFD6A70"/>
    <w:rsid w:val="7C751FB1"/>
    <w:rsid w:val="7C94044F"/>
    <w:rsid w:val="7CA129C3"/>
    <w:rsid w:val="7CD82311"/>
    <w:rsid w:val="7CE86204"/>
    <w:rsid w:val="7CE87DA1"/>
    <w:rsid w:val="7D0246F7"/>
    <w:rsid w:val="7D847772"/>
    <w:rsid w:val="7DBA17B2"/>
    <w:rsid w:val="7DCF1B39"/>
    <w:rsid w:val="7DED2A5C"/>
    <w:rsid w:val="7E0B5B23"/>
    <w:rsid w:val="7E1D267E"/>
    <w:rsid w:val="7E3A63DB"/>
    <w:rsid w:val="7E8A2D38"/>
    <w:rsid w:val="7EE360E7"/>
    <w:rsid w:val="7F1E2FAB"/>
    <w:rsid w:val="7F436797"/>
    <w:rsid w:val="7F4C6F18"/>
    <w:rsid w:val="7F6A1A59"/>
    <w:rsid w:val="7F7A2821"/>
    <w:rsid w:val="7FD43F1B"/>
    <w:rsid w:val="ABFF953C"/>
    <w:rsid w:val="D7CE509D"/>
    <w:rsid w:val="DD7F5B04"/>
    <w:rsid w:val="DEFFAB89"/>
    <w:rsid w:val="DF929CE6"/>
    <w:rsid w:val="DFD76AA9"/>
    <w:rsid w:val="E4ED3AB7"/>
    <w:rsid w:val="F1FF3FD4"/>
    <w:rsid w:val="F41F579C"/>
    <w:rsid w:val="FEBF811D"/>
    <w:rsid w:val="FF773C0A"/>
    <w:rsid w:val="FF7A9152"/>
    <w:rsid w:val="FF7FB0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6"/>
    <w:qFormat/>
    <w:uiPriority w:val="9"/>
    <w:pPr>
      <w:keepNext/>
      <w:keepLines/>
      <w:spacing w:before="260" w:after="260" w:line="416" w:lineRule="auto"/>
      <w:outlineLvl w:val="1"/>
    </w:pPr>
    <w:rPr>
      <w:rFonts w:ascii="Cambria" w:hAnsi="Cambria"/>
      <w:b/>
      <w:bCs/>
      <w:kern w:val="0"/>
      <w:sz w:val="32"/>
      <w:szCs w:val="32"/>
    </w:rPr>
  </w:style>
  <w:style w:type="paragraph" w:styleId="6">
    <w:name w:val="heading 3"/>
    <w:basedOn w:val="1"/>
    <w:next w:val="1"/>
    <w:link w:val="37"/>
    <w:qFormat/>
    <w:uiPriority w:val="9"/>
    <w:pPr>
      <w:keepNext/>
      <w:keepLines/>
      <w:spacing w:before="260" w:after="260" w:line="416" w:lineRule="auto"/>
      <w:outlineLvl w:val="2"/>
    </w:pPr>
    <w:rPr>
      <w:b/>
      <w:bCs/>
      <w:kern w:val="0"/>
      <w:sz w:val="32"/>
      <w:szCs w:val="32"/>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0"/>
    <w:pPr>
      <w:spacing w:line="560" w:lineRule="exact"/>
      <w:ind w:firstLine="960" w:firstLineChars="200"/>
    </w:pPr>
    <w:rPr>
      <w:rFonts w:ascii="仿宋_GB2312" w:hAnsi="仿宋_GB2312" w:eastAsia="仿宋_GB2312"/>
      <w:sz w:val="30"/>
    </w:rPr>
  </w:style>
  <w:style w:type="paragraph" w:customStyle="1" w:styleId="3">
    <w:name w:val="index 91"/>
    <w:basedOn w:val="1"/>
    <w:next w:val="1"/>
    <w:qFormat/>
    <w:uiPriority w:val="0"/>
    <w:pPr>
      <w:ind w:left="3360"/>
    </w:pPr>
  </w:style>
  <w:style w:type="paragraph" w:styleId="7">
    <w:name w:val="annotation text"/>
    <w:basedOn w:val="1"/>
    <w:link w:val="38"/>
    <w:unhideWhenUsed/>
    <w:qFormat/>
    <w:uiPriority w:val="99"/>
    <w:pPr>
      <w:jc w:val="left"/>
    </w:pPr>
    <w:rPr>
      <w:kern w:val="0"/>
      <w:sz w:val="20"/>
      <w:szCs w:val="20"/>
    </w:rPr>
  </w:style>
  <w:style w:type="paragraph" w:styleId="8">
    <w:name w:val="toc 3"/>
    <w:basedOn w:val="1"/>
    <w:next w:val="1"/>
    <w:unhideWhenUsed/>
    <w:qFormat/>
    <w:uiPriority w:val="39"/>
    <w:pPr>
      <w:ind w:left="840" w:leftChars="400"/>
    </w:pPr>
  </w:style>
  <w:style w:type="paragraph" w:styleId="9">
    <w:name w:val="Date"/>
    <w:basedOn w:val="1"/>
    <w:next w:val="1"/>
    <w:link w:val="39"/>
    <w:unhideWhenUsed/>
    <w:qFormat/>
    <w:uiPriority w:val="99"/>
    <w:pPr>
      <w:ind w:left="100" w:leftChars="2500"/>
    </w:pPr>
    <w:rPr>
      <w:kern w:val="0"/>
      <w:sz w:val="20"/>
      <w:szCs w:val="20"/>
    </w:rPr>
  </w:style>
  <w:style w:type="paragraph" w:styleId="10">
    <w:name w:val="Balloon Text"/>
    <w:basedOn w:val="1"/>
    <w:link w:val="40"/>
    <w:unhideWhenUsed/>
    <w:qFormat/>
    <w:uiPriority w:val="99"/>
    <w:rPr>
      <w:kern w:val="0"/>
      <w:sz w:val="18"/>
      <w:szCs w:val="18"/>
    </w:rPr>
  </w:style>
  <w:style w:type="paragraph" w:styleId="11">
    <w:name w:val="footer"/>
    <w:basedOn w:val="1"/>
    <w:link w:val="41"/>
    <w:unhideWhenUsed/>
    <w:qFormat/>
    <w:uiPriority w:val="99"/>
    <w:pPr>
      <w:tabs>
        <w:tab w:val="center" w:pos="4153"/>
        <w:tab w:val="right" w:pos="8306"/>
      </w:tabs>
      <w:snapToGrid w:val="0"/>
      <w:jc w:val="left"/>
    </w:pPr>
    <w:rPr>
      <w:kern w:val="0"/>
      <w:sz w:val="18"/>
      <w:szCs w:val="18"/>
    </w:rPr>
  </w:style>
  <w:style w:type="paragraph" w:styleId="12">
    <w:name w:val="header"/>
    <w:basedOn w:val="1"/>
    <w:link w:val="4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39"/>
    <w:pPr>
      <w:spacing w:before="360"/>
      <w:jc w:val="left"/>
    </w:pPr>
    <w:rPr>
      <w:rFonts w:ascii="Cambria" w:hAnsi="Cambria" w:eastAsia="仿宋_GB2312"/>
      <w:b/>
      <w:bCs/>
      <w:caps/>
      <w:w w:val="90"/>
      <w:sz w:val="24"/>
      <w:szCs w:val="24"/>
    </w:rPr>
  </w:style>
  <w:style w:type="paragraph" w:styleId="14">
    <w:name w:val="footnote text"/>
    <w:basedOn w:val="1"/>
    <w:link w:val="43"/>
    <w:unhideWhenUsed/>
    <w:qFormat/>
    <w:uiPriority w:val="99"/>
    <w:pPr>
      <w:snapToGrid w:val="0"/>
      <w:jc w:val="left"/>
    </w:pPr>
    <w:rPr>
      <w:kern w:val="0"/>
      <w:sz w:val="18"/>
      <w:szCs w:val="18"/>
    </w:rPr>
  </w:style>
  <w:style w:type="paragraph" w:styleId="15">
    <w:name w:val="index 9"/>
    <w:basedOn w:val="1"/>
    <w:next w:val="1"/>
    <w:qFormat/>
    <w:uiPriority w:val="0"/>
    <w:pPr>
      <w:ind w:left="3360"/>
    </w:pPr>
    <w:rPr>
      <w:rFonts w:ascii="Calibri" w:hAnsi="Calibri" w:eastAsia="宋体" w:cs="Times New Roman"/>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Title"/>
    <w:basedOn w:val="1"/>
    <w:next w:val="1"/>
    <w:link w:val="44"/>
    <w:qFormat/>
    <w:uiPriority w:val="10"/>
    <w:pPr>
      <w:spacing w:before="240" w:after="60"/>
      <w:jc w:val="center"/>
      <w:outlineLvl w:val="0"/>
    </w:pPr>
    <w:rPr>
      <w:rFonts w:ascii="Calibri Light" w:hAnsi="Calibri Light"/>
      <w:b/>
      <w:bCs/>
      <w:kern w:val="0"/>
      <w:sz w:val="32"/>
      <w:szCs w:val="32"/>
    </w:rPr>
  </w:style>
  <w:style w:type="paragraph" w:styleId="19">
    <w:name w:val="annotation subject"/>
    <w:basedOn w:val="7"/>
    <w:next w:val="7"/>
    <w:link w:val="45"/>
    <w:unhideWhenUsed/>
    <w:qFormat/>
    <w:uiPriority w:val="99"/>
    <w:pPr>
      <w:spacing w:line="360" w:lineRule="auto"/>
    </w:pPr>
    <w:rPr>
      <w:rFonts w:ascii="Times New Roman" w:hAnsi="Times New Roman" w:eastAsia="仿宋_GB2312"/>
      <w:b/>
      <w:bCs/>
      <w:sz w:val="24"/>
    </w:rPr>
  </w:style>
  <w:style w:type="table" w:styleId="21">
    <w:name w:val="Table Grid"/>
    <w:basedOn w:val="20"/>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22"/>
    <w:rPr>
      <w:b/>
    </w:rPr>
  </w:style>
  <w:style w:type="character" w:styleId="24">
    <w:name w:val="FollowedHyperlink"/>
    <w:unhideWhenUsed/>
    <w:qFormat/>
    <w:uiPriority w:val="99"/>
    <w:rPr>
      <w:color w:val="338DE6"/>
      <w:u w:val="none"/>
    </w:rPr>
  </w:style>
  <w:style w:type="character" w:styleId="25">
    <w:name w:val="Emphasis"/>
    <w:qFormat/>
    <w:uiPriority w:val="20"/>
  </w:style>
  <w:style w:type="character" w:styleId="26">
    <w:name w:val="HTML Definition"/>
    <w:unhideWhenUsed/>
    <w:qFormat/>
    <w:uiPriority w:val="99"/>
  </w:style>
  <w:style w:type="character" w:styleId="27">
    <w:name w:val="HTML Variable"/>
    <w:unhideWhenUsed/>
    <w:qFormat/>
    <w:uiPriority w:val="99"/>
  </w:style>
  <w:style w:type="character" w:styleId="28">
    <w:name w:val="Hyperlink"/>
    <w:qFormat/>
    <w:uiPriority w:val="99"/>
    <w:rPr>
      <w:rFonts w:cs="Times New Roman"/>
      <w:color w:val="0000FF"/>
      <w:u w:val="single"/>
    </w:rPr>
  </w:style>
  <w:style w:type="character" w:styleId="29">
    <w:name w:val="HTML Code"/>
    <w:unhideWhenUsed/>
    <w:qFormat/>
    <w:uiPriority w:val="99"/>
    <w:rPr>
      <w:rFonts w:ascii="serif" w:hAnsi="serif" w:eastAsia="serif" w:cs="serif"/>
      <w:sz w:val="21"/>
      <w:szCs w:val="21"/>
    </w:rPr>
  </w:style>
  <w:style w:type="character" w:styleId="30">
    <w:name w:val="annotation reference"/>
    <w:unhideWhenUsed/>
    <w:qFormat/>
    <w:uiPriority w:val="99"/>
    <w:rPr>
      <w:sz w:val="16"/>
      <w:szCs w:val="16"/>
    </w:rPr>
  </w:style>
  <w:style w:type="character" w:styleId="31">
    <w:name w:val="HTML Cite"/>
    <w:unhideWhenUsed/>
    <w:qFormat/>
    <w:uiPriority w:val="99"/>
  </w:style>
  <w:style w:type="character" w:styleId="32">
    <w:name w:val="footnote reference"/>
    <w:unhideWhenUsed/>
    <w:qFormat/>
    <w:uiPriority w:val="99"/>
    <w:rPr>
      <w:vertAlign w:val="superscript"/>
    </w:rPr>
  </w:style>
  <w:style w:type="character" w:styleId="33">
    <w:name w:val="HTML Keyboard"/>
    <w:unhideWhenUsed/>
    <w:qFormat/>
    <w:uiPriority w:val="99"/>
    <w:rPr>
      <w:rFonts w:hint="default" w:ascii="serif" w:hAnsi="serif" w:eastAsia="serif" w:cs="serif"/>
      <w:sz w:val="21"/>
      <w:szCs w:val="21"/>
    </w:rPr>
  </w:style>
  <w:style w:type="character" w:styleId="34">
    <w:name w:val="HTML Sample"/>
    <w:unhideWhenUsed/>
    <w:qFormat/>
    <w:uiPriority w:val="99"/>
    <w:rPr>
      <w:rFonts w:hint="default" w:ascii="serif" w:hAnsi="serif" w:eastAsia="serif" w:cs="serif"/>
      <w:sz w:val="21"/>
      <w:szCs w:val="21"/>
    </w:rPr>
  </w:style>
  <w:style w:type="character" w:customStyle="1" w:styleId="35">
    <w:name w:val="标题 1 字符"/>
    <w:link w:val="4"/>
    <w:qFormat/>
    <w:uiPriority w:val="9"/>
    <w:rPr>
      <w:rFonts w:ascii="Calibri" w:hAnsi="Calibri" w:eastAsia="宋体" w:cs="Times New Roman"/>
      <w:b/>
      <w:bCs/>
      <w:kern w:val="44"/>
      <w:sz w:val="44"/>
      <w:szCs w:val="44"/>
    </w:rPr>
  </w:style>
  <w:style w:type="character" w:customStyle="1" w:styleId="36">
    <w:name w:val="标题 2 字符"/>
    <w:link w:val="5"/>
    <w:qFormat/>
    <w:uiPriority w:val="9"/>
    <w:rPr>
      <w:rFonts w:ascii="Cambria" w:hAnsi="Cambria" w:eastAsia="宋体" w:cs="Times New Roman"/>
      <w:b/>
      <w:bCs/>
      <w:sz w:val="32"/>
      <w:szCs w:val="32"/>
    </w:rPr>
  </w:style>
  <w:style w:type="character" w:customStyle="1" w:styleId="37">
    <w:name w:val="标题 3 字符"/>
    <w:link w:val="6"/>
    <w:qFormat/>
    <w:uiPriority w:val="9"/>
    <w:rPr>
      <w:rFonts w:ascii="Calibri" w:hAnsi="Calibri" w:eastAsia="宋体" w:cs="Times New Roman"/>
      <w:b/>
      <w:bCs/>
      <w:sz w:val="32"/>
      <w:szCs w:val="32"/>
    </w:rPr>
  </w:style>
  <w:style w:type="character" w:customStyle="1" w:styleId="38">
    <w:name w:val="批注文字 字符"/>
    <w:link w:val="7"/>
    <w:qFormat/>
    <w:uiPriority w:val="99"/>
    <w:rPr>
      <w:rFonts w:ascii="Calibri" w:hAnsi="Calibri" w:eastAsia="宋体" w:cs="Times New Roman"/>
    </w:rPr>
  </w:style>
  <w:style w:type="character" w:customStyle="1" w:styleId="39">
    <w:name w:val="日期 字符"/>
    <w:link w:val="9"/>
    <w:semiHidden/>
    <w:qFormat/>
    <w:uiPriority w:val="99"/>
    <w:rPr>
      <w:rFonts w:ascii="Calibri" w:hAnsi="Calibri" w:eastAsia="宋体" w:cs="Times New Roman"/>
    </w:rPr>
  </w:style>
  <w:style w:type="character" w:customStyle="1" w:styleId="40">
    <w:name w:val="批注框文本 字符"/>
    <w:link w:val="10"/>
    <w:semiHidden/>
    <w:qFormat/>
    <w:uiPriority w:val="99"/>
    <w:rPr>
      <w:rFonts w:ascii="Calibri" w:hAnsi="Calibri" w:eastAsia="宋体" w:cs="Times New Roman"/>
      <w:sz w:val="18"/>
      <w:szCs w:val="18"/>
    </w:rPr>
  </w:style>
  <w:style w:type="character" w:customStyle="1" w:styleId="41">
    <w:name w:val="页脚 字符"/>
    <w:link w:val="11"/>
    <w:qFormat/>
    <w:uiPriority w:val="99"/>
    <w:rPr>
      <w:rFonts w:ascii="Calibri" w:hAnsi="Calibri" w:eastAsia="宋体" w:cs="Times New Roman"/>
      <w:sz w:val="18"/>
      <w:szCs w:val="18"/>
    </w:rPr>
  </w:style>
  <w:style w:type="character" w:customStyle="1" w:styleId="42">
    <w:name w:val="页眉 字符"/>
    <w:link w:val="12"/>
    <w:qFormat/>
    <w:uiPriority w:val="99"/>
    <w:rPr>
      <w:rFonts w:ascii="Calibri" w:hAnsi="Calibri" w:eastAsia="宋体" w:cs="Times New Roman"/>
      <w:sz w:val="18"/>
      <w:szCs w:val="18"/>
    </w:rPr>
  </w:style>
  <w:style w:type="character" w:customStyle="1" w:styleId="43">
    <w:name w:val="脚注文本 字符"/>
    <w:link w:val="14"/>
    <w:semiHidden/>
    <w:qFormat/>
    <w:uiPriority w:val="99"/>
    <w:rPr>
      <w:rFonts w:ascii="Calibri" w:hAnsi="Calibri" w:eastAsia="宋体" w:cs="Times New Roman"/>
      <w:sz w:val="18"/>
      <w:szCs w:val="18"/>
    </w:rPr>
  </w:style>
  <w:style w:type="character" w:customStyle="1" w:styleId="44">
    <w:name w:val="标题 字符"/>
    <w:link w:val="18"/>
    <w:qFormat/>
    <w:uiPriority w:val="10"/>
    <w:rPr>
      <w:rFonts w:ascii="Calibri Light" w:hAnsi="Calibri Light" w:eastAsia="宋体" w:cs="Times New Roman"/>
      <w:b/>
      <w:bCs/>
      <w:sz w:val="32"/>
      <w:szCs w:val="32"/>
    </w:rPr>
  </w:style>
  <w:style w:type="character" w:customStyle="1" w:styleId="45">
    <w:name w:val="批注主题 字符"/>
    <w:link w:val="19"/>
    <w:semiHidden/>
    <w:qFormat/>
    <w:uiPriority w:val="99"/>
    <w:rPr>
      <w:rFonts w:ascii="Times New Roman" w:hAnsi="Times New Roman" w:eastAsia="仿宋_GB2312" w:cs="Times New Roman"/>
      <w:b/>
      <w:bCs/>
      <w:sz w:val="24"/>
    </w:rPr>
  </w:style>
  <w:style w:type="character" w:customStyle="1" w:styleId="46">
    <w:name w:val="标题 Char1"/>
    <w:qFormat/>
    <w:uiPriority w:val="10"/>
    <w:rPr>
      <w:rFonts w:ascii="Cambria" w:hAnsi="Cambria" w:eastAsia="宋体" w:cs="Times New Roman"/>
      <w:b/>
      <w:bCs/>
      <w:sz w:val="32"/>
      <w:szCs w:val="32"/>
    </w:rPr>
  </w:style>
  <w:style w:type="character" w:customStyle="1" w:styleId="47">
    <w:name w:val="fontborder"/>
    <w:qFormat/>
    <w:uiPriority w:val="0"/>
    <w:rPr>
      <w:bdr w:val="single" w:color="000000" w:sz="4" w:space="0"/>
    </w:rPr>
  </w:style>
  <w:style w:type="character" w:customStyle="1" w:styleId="48">
    <w:name w:val="fontstrikethrough"/>
    <w:qFormat/>
    <w:uiPriority w:val="0"/>
    <w:rPr>
      <w:strike/>
    </w:rPr>
  </w:style>
  <w:style w:type="character" w:customStyle="1" w:styleId="49">
    <w:name w:val="font21"/>
    <w:qFormat/>
    <w:uiPriority w:val="0"/>
    <w:rPr>
      <w:rFonts w:hint="eastAsia" w:ascii="仿宋" w:hAnsi="仿宋" w:eastAsia="仿宋" w:cs="仿宋"/>
      <w:color w:val="000000"/>
      <w:sz w:val="28"/>
      <w:szCs w:val="28"/>
      <w:u w:val="none"/>
    </w:rPr>
  </w:style>
  <w:style w:type="character" w:customStyle="1" w:styleId="50">
    <w:name w:val="font61"/>
    <w:qFormat/>
    <w:uiPriority w:val="0"/>
    <w:rPr>
      <w:rFonts w:hint="eastAsia" w:ascii="宋体" w:hAnsi="宋体" w:eastAsia="宋体" w:cs="宋体"/>
      <w:color w:val="FF0000"/>
      <w:sz w:val="20"/>
      <w:szCs w:val="20"/>
      <w:u w:val="none"/>
    </w:rPr>
  </w:style>
  <w:style w:type="character" w:customStyle="1" w:styleId="51">
    <w:name w:val="批注文字 Char"/>
    <w:semiHidden/>
    <w:qFormat/>
    <w:uiPriority w:val="99"/>
    <w:rPr>
      <w:rFonts w:ascii="Times New Roman" w:hAnsi="Times New Roman" w:eastAsia="仿宋_GB2312"/>
      <w:sz w:val="24"/>
    </w:rPr>
  </w:style>
  <w:style w:type="character" w:customStyle="1" w:styleId="52">
    <w:name w:val="font41"/>
    <w:qFormat/>
    <w:uiPriority w:val="0"/>
    <w:rPr>
      <w:rFonts w:hint="eastAsia" w:ascii="仿宋" w:hAnsi="仿宋" w:eastAsia="仿宋" w:cs="仿宋"/>
      <w:color w:val="000000"/>
      <w:sz w:val="28"/>
      <w:szCs w:val="28"/>
      <w:u w:val="none"/>
    </w:rPr>
  </w:style>
  <w:style w:type="character" w:customStyle="1" w:styleId="53">
    <w:name w:val="font01"/>
    <w:qFormat/>
    <w:uiPriority w:val="0"/>
    <w:rPr>
      <w:rFonts w:hint="eastAsia" w:ascii="仿宋" w:hAnsi="仿宋" w:eastAsia="仿宋" w:cs="仿宋"/>
      <w:color w:val="000000"/>
      <w:sz w:val="28"/>
      <w:szCs w:val="28"/>
      <w:u w:val="none"/>
    </w:rPr>
  </w:style>
  <w:style w:type="character" w:customStyle="1" w:styleId="54">
    <w:name w:val="font11"/>
    <w:qFormat/>
    <w:uiPriority w:val="0"/>
    <w:rPr>
      <w:rFonts w:hint="eastAsia" w:ascii="仿宋" w:hAnsi="仿宋" w:eastAsia="仿宋" w:cs="仿宋"/>
      <w:color w:val="000000"/>
      <w:sz w:val="28"/>
      <w:szCs w:val="28"/>
      <w:u w:val="none"/>
    </w:rPr>
  </w:style>
  <w:style w:type="character" w:customStyle="1" w:styleId="55">
    <w:name w:val="Placeholder Text"/>
    <w:semiHidden/>
    <w:qFormat/>
    <w:uiPriority w:val="99"/>
    <w:rPr>
      <w:color w:val="808080"/>
    </w:rPr>
  </w:style>
  <w:style w:type="character" w:customStyle="1" w:styleId="56">
    <w:name w:val="font31"/>
    <w:qFormat/>
    <w:uiPriority w:val="0"/>
    <w:rPr>
      <w:rFonts w:hint="eastAsia" w:ascii="仿宋" w:hAnsi="仿宋" w:eastAsia="仿宋" w:cs="仿宋"/>
      <w:color w:val="000000"/>
      <w:sz w:val="28"/>
      <w:szCs w:val="28"/>
      <w:u w:val="none"/>
    </w:rPr>
  </w:style>
  <w:style w:type="paragraph" w:customStyle="1" w:styleId="57">
    <w:name w:val="_Style 3"/>
    <w:basedOn w:val="1"/>
    <w:next w:val="58"/>
    <w:unhideWhenUsed/>
    <w:qFormat/>
    <w:uiPriority w:val="99"/>
    <w:pPr>
      <w:spacing w:line="360" w:lineRule="auto"/>
      <w:ind w:firstLine="420" w:firstLineChars="200"/>
      <w:jc w:val="left"/>
    </w:pPr>
    <w:rPr>
      <w:rFonts w:ascii="Times New Roman" w:hAnsi="Times New Roman" w:eastAsia="仿宋"/>
      <w:sz w:val="32"/>
      <w:szCs w:val="24"/>
      <w:lang w:eastAsia="zh-TW"/>
    </w:rPr>
  </w:style>
  <w:style w:type="paragraph" w:customStyle="1" w:styleId="58">
    <w:name w:val="列表段落1"/>
    <w:basedOn w:val="1"/>
    <w:qFormat/>
    <w:uiPriority w:val="34"/>
    <w:pPr>
      <w:ind w:firstLine="420" w:firstLineChars="200"/>
    </w:pPr>
  </w:style>
  <w:style w:type="paragraph" w:customStyle="1" w:styleId="59">
    <w:name w:val="标题1"/>
    <w:basedOn w:val="1"/>
    <w:next w:val="1"/>
    <w:qFormat/>
    <w:uiPriority w:val="10"/>
    <w:pPr>
      <w:keepLines/>
      <w:spacing w:before="240" w:after="60" w:line="360" w:lineRule="auto"/>
      <w:jc w:val="left"/>
      <w:outlineLvl w:val="2"/>
    </w:pPr>
    <w:rPr>
      <w:rFonts w:ascii="Calibri Light" w:hAnsi="Calibri Light"/>
      <w:b/>
      <w:bCs/>
      <w:sz w:val="32"/>
      <w:szCs w:val="32"/>
    </w:rPr>
  </w:style>
  <w:style w:type="paragraph" w:customStyle="1" w:styleId="60">
    <w:name w:val="批注文字1"/>
    <w:basedOn w:val="1"/>
    <w:next w:val="7"/>
    <w:unhideWhenUsed/>
    <w:qFormat/>
    <w:uiPriority w:val="99"/>
    <w:pPr>
      <w:widowControl/>
      <w:spacing w:after="200" w:line="276" w:lineRule="auto"/>
      <w:jc w:val="left"/>
    </w:pPr>
  </w:style>
  <w:style w:type="paragraph" w:customStyle="1" w:styleId="61">
    <w:name w:val="List Paragraph"/>
    <w:basedOn w:val="1"/>
    <w:qFormat/>
    <w:uiPriority w:val="34"/>
    <w:pPr>
      <w:ind w:firstLine="420" w:firstLineChars="200"/>
    </w:pPr>
    <w:rPr>
      <w:rFonts w:ascii="Calibri" w:hAnsi="Calibri" w:eastAsia="宋体" w:cs="Times New Roman"/>
    </w:rPr>
  </w:style>
  <w:style w:type="table" w:customStyle="1" w:styleId="62">
    <w:name w:val="网格型1"/>
    <w:basedOn w:val="20"/>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网格型2"/>
    <w:basedOn w:val="20"/>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4">
    <w:name w:val="NormalCharacter"/>
    <w:semiHidden/>
    <w:qFormat/>
    <w:uiPriority w:val="0"/>
    <w:rPr>
      <w:rFonts w:ascii="Calibri" w:hAnsi="Calibri" w:eastAsia="宋体"/>
      <w:kern w:val="2"/>
      <w:sz w:val="21"/>
      <w:szCs w:val="24"/>
      <w:lang w:val="en-US" w:eastAsia="zh-CN" w:bidi="ar-SA"/>
    </w:rPr>
  </w:style>
  <w:style w:type="paragraph" w:customStyle="1" w:styleId="65">
    <w:name w:val="WPSOffice手动目录 1"/>
    <w:qFormat/>
    <w:uiPriority w:val="0"/>
    <w:rPr>
      <w:rFonts w:ascii="Times New Roman" w:hAnsi="Times New Roman" w:eastAsia="宋体" w:cs="Times New Roman"/>
      <w:lang w:val="en-US" w:eastAsia="zh-CN" w:bidi="ar-SA"/>
    </w:rPr>
  </w:style>
  <w:style w:type="character" w:customStyle="1" w:styleId="66">
    <w:name w:val="font81"/>
    <w:qFormat/>
    <w:uiPriority w:val="0"/>
    <w:rPr>
      <w:rFonts w:hint="eastAsia" w:ascii="宋体" w:hAnsi="宋体" w:eastAsia="宋体" w:cs="宋体"/>
      <w:color w:val="000000"/>
      <w:sz w:val="20"/>
      <w:szCs w:val="20"/>
      <w:u w:val="none"/>
    </w:rPr>
  </w:style>
  <w:style w:type="character" w:customStyle="1" w:styleId="67">
    <w:name w:val="font101"/>
    <w:qFormat/>
    <w:uiPriority w:val="0"/>
    <w:rPr>
      <w:rFonts w:ascii="等线" w:hAnsi="等线" w:eastAsia="等线" w:cs="等线"/>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16494</Words>
  <Characters>18393</Characters>
  <Lines>146</Lines>
  <Paragraphs>41</Paragraphs>
  <TotalTime>3</TotalTime>
  <ScaleCrop>false</ScaleCrop>
  <LinksUpToDate>false</LinksUpToDate>
  <CharactersWithSpaces>18428</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2021-05-30T07:30:00Z</dcterms:created>
  <dc:creator>admin</dc:creator>
  <cp:lastModifiedBy>aaa</cp:lastModifiedBy>
  <cp:lastPrinted>2023-08-28T18:42:00Z</cp:lastPrinted>
  <dcterms:modified xsi:type="dcterms:W3CDTF">2024-04-23T15:28:19Z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2CA088464BA7EEE613632766D3D8B67F</vt:lpwstr>
  </property>
</Properties>
</file>