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jc w:val="center"/>
        <w:rPr>
          <w:rFonts w:hint="eastAsia" w:ascii="楷体" w:hAnsi="楷体" w:eastAsia="楷体"/>
          <w:b/>
          <w:sz w:val="44"/>
          <w:szCs w:val="44"/>
          <w:lang w:bidi="ar"/>
        </w:rPr>
      </w:pPr>
    </w:p>
    <w:p>
      <w:pPr>
        <w:spacing w:line="600" w:lineRule="exact"/>
        <w:jc w:val="center"/>
        <w:rPr>
          <w:rFonts w:hint="eastAsia" w:ascii="楷体" w:hAnsi="楷体" w:eastAsia="楷体"/>
          <w:b/>
          <w:sz w:val="36"/>
          <w:szCs w:val="36"/>
          <w:lang w:bidi="ar"/>
        </w:rPr>
      </w:pPr>
      <w:bookmarkStart w:id="10" w:name="_GoBack"/>
      <w:r>
        <w:rPr>
          <w:rFonts w:hint="eastAsia" w:ascii="楷体" w:hAnsi="楷体" w:eastAsia="楷体"/>
          <w:b/>
          <w:sz w:val="36"/>
          <w:szCs w:val="36"/>
          <w:lang w:bidi="ar"/>
        </w:rPr>
        <w:t>鄂尔多斯市云东农林牧产业投资集团有限责任公司</w:t>
      </w:r>
    </w:p>
    <w:bookmarkEnd w:id="10"/>
    <w:p>
      <w:pPr>
        <w:widowControl/>
        <w:spacing w:before="156" w:beforeLines="50" w:line="360" w:lineRule="auto"/>
        <w:jc w:val="center"/>
        <w:rPr>
          <w:rFonts w:hint="eastAsia" w:ascii="黑体" w:hAnsi="宋体" w:eastAsia="黑体"/>
          <w:b/>
          <w:sz w:val="36"/>
          <w:szCs w:val="36"/>
          <w:lang w:val="zh-CN" w:bidi="ar"/>
        </w:rPr>
      </w:pPr>
      <w:r>
        <w:rPr>
          <w:rFonts w:hint="eastAsia" w:ascii="楷体" w:hAnsi="楷体" w:eastAsia="楷体"/>
          <w:b/>
          <w:sz w:val="36"/>
          <w:szCs w:val="36"/>
          <w:lang w:bidi="ar"/>
        </w:rPr>
        <w:t>财政预算资金</w:t>
      </w:r>
      <w:r>
        <w:rPr>
          <w:rFonts w:hint="eastAsia" w:ascii="楷体" w:hAnsi="楷体" w:eastAsia="楷体"/>
          <w:b/>
          <w:sz w:val="36"/>
          <w:szCs w:val="36"/>
          <w:lang w:val="zh-CN" w:bidi="ar"/>
        </w:rPr>
        <w:t>绩效评价报告</w:t>
      </w: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eastAsia="zh-CN"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hint="eastAsia" w:ascii="楷体" w:hAnsi="楷体" w:eastAsia="楷体"/>
          <w:b/>
          <w:sz w:val="44"/>
          <w:szCs w:val="44"/>
          <w:lang w:bidi="ar"/>
        </w:rPr>
      </w:pPr>
    </w:p>
    <w:p>
      <w:pPr>
        <w:spacing w:line="600" w:lineRule="exact"/>
        <w:jc w:val="center"/>
        <w:rPr>
          <w:rFonts w:ascii="楷体" w:hAnsi="楷体" w:eastAsia="楷体"/>
          <w:b/>
          <w:sz w:val="44"/>
          <w:szCs w:val="44"/>
        </w:rPr>
      </w:pPr>
      <w:r>
        <w:rPr>
          <w:rFonts w:hint="eastAsia" w:ascii="楷体" w:hAnsi="楷体" w:eastAsia="楷体"/>
          <w:b/>
          <w:sz w:val="44"/>
          <w:szCs w:val="44"/>
          <w:lang w:bidi="ar"/>
        </w:rPr>
        <w:t>内蒙古东衡政同咨询管理有限公司</w:t>
      </w:r>
    </w:p>
    <w:p>
      <w:pPr>
        <w:spacing w:line="600" w:lineRule="exact"/>
        <w:jc w:val="center"/>
        <w:rPr>
          <w:rFonts w:hint="eastAsia" w:ascii="楷体" w:hAnsi="楷体" w:eastAsia="楷体"/>
          <w:b/>
          <w:sz w:val="44"/>
          <w:szCs w:val="44"/>
          <w:lang w:bidi="ar"/>
        </w:rPr>
      </w:pPr>
    </w:p>
    <w:p>
      <w:pPr>
        <w:spacing w:line="600" w:lineRule="exact"/>
        <w:jc w:val="center"/>
        <w:rPr>
          <w:rFonts w:hint="eastAsia" w:ascii="仿宋" w:hAnsi="仿宋" w:eastAsia="仿宋" w:cs="仿宋"/>
          <w:bCs/>
          <w:caps/>
          <w:sz w:val="30"/>
          <w:szCs w:val="30"/>
        </w:rPr>
        <w:sectPr>
          <w:headerReference r:id="rId4" w:type="first"/>
          <w:head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spacing w:line="360" w:lineRule="auto"/>
        <w:jc w:val="center"/>
        <w:rPr>
          <w:rFonts w:hint="eastAsia" w:ascii="楷体" w:hAnsi="楷体" w:eastAsia="楷体"/>
          <w:b/>
          <w:sz w:val="36"/>
          <w:szCs w:val="36"/>
          <w:lang w:val="zh-CN" w:bidi="ar"/>
        </w:rPr>
      </w:pPr>
      <w:r>
        <w:rPr>
          <w:rFonts w:hint="eastAsia" w:ascii="仿宋_GB2312" w:hAnsi="仿宋_GB2312" w:eastAsia="仿宋_GB2312" w:cs="仿宋_GB2312"/>
          <w:b/>
          <w:sz w:val="36"/>
          <w:szCs w:val="36"/>
          <w:lang w:bidi="ar"/>
        </w:rPr>
        <w:t>财政预算资金</w:t>
      </w:r>
      <w:r>
        <w:rPr>
          <w:rFonts w:hint="eastAsia" w:ascii="仿宋_GB2312" w:hAnsi="仿宋_GB2312" w:eastAsia="仿宋_GB2312" w:cs="仿宋_GB2312"/>
          <w:b/>
          <w:sz w:val="36"/>
          <w:szCs w:val="36"/>
          <w:lang w:val="zh-CN" w:bidi="ar"/>
        </w:rPr>
        <w:t>绩效评价报告</w:t>
      </w:r>
    </w:p>
    <w:p>
      <w:pPr>
        <w:spacing w:line="360" w:lineRule="auto"/>
        <w:ind w:firstLine="600" w:firstLineChars="200"/>
        <w:jc w:val="left"/>
        <w:rPr>
          <w:rFonts w:hint="eastAsia" w:ascii="仿宋" w:hAnsi="仿宋" w:eastAsia="仿宋" w:cs="仿宋"/>
          <w:bCs/>
          <w:kern w:val="0"/>
          <w:sz w:val="30"/>
          <w:szCs w:val="30"/>
        </w:rPr>
      </w:pPr>
      <w:r>
        <w:rPr>
          <w:rFonts w:hint="eastAsia" w:ascii="仿宋" w:hAnsi="仿宋" w:eastAsia="仿宋" w:cs="仿宋"/>
          <w:bCs/>
          <w:kern w:val="0"/>
          <w:sz w:val="30"/>
          <w:szCs w:val="30"/>
        </w:rPr>
        <w:t>为</w:t>
      </w:r>
      <w:r>
        <w:rPr>
          <w:rFonts w:hint="eastAsia" w:ascii="仿宋" w:hAnsi="仿宋" w:eastAsia="仿宋" w:cs="仿宋"/>
          <w:bCs/>
          <w:kern w:val="0"/>
          <w:sz w:val="30"/>
          <w:szCs w:val="30"/>
          <w:lang w:val="en-US" w:eastAsia="zh-CN"/>
        </w:rPr>
        <w:t>提高</w:t>
      </w:r>
      <w:r>
        <w:rPr>
          <w:rFonts w:hint="eastAsia" w:ascii="仿宋" w:hAnsi="仿宋" w:eastAsia="仿宋" w:cs="仿宋"/>
          <w:bCs/>
          <w:kern w:val="0"/>
          <w:sz w:val="30"/>
          <w:szCs w:val="30"/>
        </w:rPr>
        <w:t>国有企业经营管理水平，发挥绩效评价工作的全面评判、管理诊断和行为引导作用，</w:t>
      </w:r>
      <w:r>
        <w:rPr>
          <w:rFonts w:hint="eastAsia" w:ascii="仿宋" w:hAnsi="仿宋" w:eastAsia="仿宋" w:cs="仿宋"/>
          <w:kern w:val="0"/>
          <w:sz w:val="30"/>
          <w:szCs w:val="30"/>
        </w:rPr>
        <w:t>根据《中央企业综合绩效评价管理暂行办法》《内蒙古自治区本级国有资本经营预算支出管理办法》《鄂尔多斯市本级国有资本经营预算支出管理暂行办法》《伊金霍洛旗人民政府办公室关于印发全面实施预算绩效管理意见的通知》《伊金霍洛旗国有企业领导人员经营业绩考核办法》《伊金霍洛旗绩效评价税收服务中心关于开展财政预算资金绩效评价工作的通知》等相关规定</w:t>
      </w:r>
      <w:r>
        <w:rPr>
          <w:rFonts w:hint="eastAsia" w:ascii="仿宋" w:hAnsi="仿宋" w:eastAsia="仿宋" w:cs="仿宋"/>
          <w:bCs/>
          <w:kern w:val="0"/>
          <w:sz w:val="30"/>
          <w:szCs w:val="30"/>
        </w:rPr>
        <w:t>，内蒙古东衡政同咨询管理有限公司接受委托，成立绩效评价工作组，于2023年2月1日至2023年</w:t>
      </w:r>
      <w:r>
        <w:rPr>
          <w:rFonts w:hint="eastAsia" w:ascii="仿宋" w:hAnsi="仿宋" w:eastAsia="仿宋" w:cs="仿宋"/>
          <w:bCs/>
          <w:kern w:val="0"/>
          <w:sz w:val="30"/>
          <w:szCs w:val="30"/>
          <w:lang w:val="en-US" w:eastAsia="zh-CN"/>
        </w:rPr>
        <w:t>8</w:t>
      </w:r>
      <w:r>
        <w:rPr>
          <w:rFonts w:hint="eastAsia" w:ascii="仿宋" w:hAnsi="仿宋" w:eastAsia="仿宋" w:cs="仿宋"/>
          <w:bCs/>
          <w:kern w:val="0"/>
          <w:sz w:val="30"/>
          <w:szCs w:val="30"/>
        </w:rPr>
        <w:t>月31日，对鄂尔多斯市云东农林牧产业投资集团有限责任公司(以下简称“云东集团”)2021年</w:t>
      </w:r>
      <w:r>
        <w:rPr>
          <w:rFonts w:hint="eastAsia" w:ascii="仿宋" w:hAnsi="仿宋" w:eastAsia="仿宋" w:cs="仿宋"/>
          <w:bCs/>
          <w:kern w:val="0"/>
          <w:sz w:val="30"/>
          <w:szCs w:val="30"/>
          <w:lang w:val="en-US" w:eastAsia="zh-CN"/>
        </w:rPr>
        <w:t>至</w:t>
      </w:r>
      <w:r>
        <w:rPr>
          <w:rFonts w:hint="eastAsia" w:ascii="仿宋" w:hAnsi="仿宋" w:eastAsia="仿宋" w:cs="仿宋"/>
          <w:bCs/>
          <w:kern w:val="0"/>
          <w:sz w:val="30"/>
          <w:szCs w:val="30"/>
        </w:rPr>
        <w:t>2022年国有企业财政预算资金进行了绩效评价。</w:t>
      </w:r>
    </w:p>
    <w:p>
      <w:pPr>
        <w:spacing w:line="360" w:lineRule="auto"/>
        <w:ind w:firstLine="600" w:firstLineChars="200"/>
        <w:jc w:val="left"/>
        <w:rPr>
          <w:rFonts w:hint="eastAsia" w:ascii="仿宋" w:hAnsi="仿宋" w:eastAsia="仿宋" w:cs="仿宋"/>
          <w:bCs/>
          <w:kern w:val="0"/>
          <w:sz w:val="30"/>
          <w:szCs w:val="30"/>
        </w:rPr>
      </w:pPr>
      <w:r>
        <w:rPr>
          <w:rFonts w:hint="eastAsia" w:ascii="仿宋" w:hAnsi="仿宋" w:eastAsia="仿宋" w:cs="仿宋"/>
          <w:bCs/>
          <w:kern w:val="0"/>
          <w:sz w:val="30"/>
          <w:szCs w:val="30"/>
        </w:rPr>
        <w:t>原则上，</w:t>
      </w:r>
      <w:r>
        <w:rPr>
          <w:rFonts w:hint="eastAsia" w:ascii="仿宋" w:hAnsi="仿宋" w:eastAsia="仿宋" w:cs="仿宋"/>
          <w:bCs/>
          <w:caps/>
          <w:sz w:val="30"/>
          <w:szCs w:val="30"/>
        </w:rPr>
        <w:t>国有企业财政预算资金涉及企业经营业绩方面的</w:t>
      </w:r>
      <w:r>
        <w:rPr>
          <w:rFonts w:hint="eastAsia" w:ascii="仿宋" w:hAnsi="仿宋" w:eastAsia="仿宋" w:cs="仿宋"/>
          <w:bCs/>
          <w:kern w:val="0"/>
          <w:sz w:val="30"/>
          <w:szCs w:val="30"/>
        </w:rPr>
        <w:t>应当以经社会中介机构或企业内部审计机构审计后的财务会计报告为基础，但本次评价时，云东集团还未进行2022年度财务报表审计，故本次以云东集团提供的2022年合并财务报表为基础进行评价。</w:t>
      </w:r>
    </w:p>
    <w:p>
      <w:pPr>
        <w:spacing w:line="360" w:lineRule="auto"/>
        <w:ind w:firstLine="600" w:firstLineChars="200"/>
        <w:jc w:val="left"/>
        <w:outlineLvl w:val="0"/>
        <w:rPr>
          <w:rFonts w:hint="eastAsia" w:ascii="黑体" w:hAnsi="黑体" w:eastAsia="黑体" w:cs="黑体"/>
          <w:bCs/>
          <w:kern w:val="0"/>
          <w:sz w:val="30"/>
          <w:szCs w:val="30"/>
        </w:rPr>
      </w:pPr>
      <w:bookmarkStart w:id="0" w:name="_Toc42518858"/>
      <w:r>
        <w:rPr>
          <w:rFonts w:hint="eastAsia" w:ascii="黑体" w:hAnsi="黑体" w:eastAsia="黑体" w:cs="黑体"/>
          <w:bCs/>
          <w:kern w:val="0"/>
          <w:sz w:val="30"/>
          <w:szCs w:val="30"/>
        </w:rPr>
        <w:t>一、基本情况</w:t>
      </w:r>
      <w:bookmarkEnd w:id="0"/>
      <w:bookmarkStart w:id="1" w:name="_Toc42518859"/>
      <w:bookmarkStart w:id="2" w:name="_Toc24445954"/>
    </w:p>
    <w:p>
      <w:pPr>
        <w:spacing w:line="360" w:lineRule="auto"/>
        <w:ind w:firstLine="602" w:firstLineChars="200"/>
        <w:jc w:val="left"/>
        <w:outlineLvl w:val="1"/>
        <w:rPr>
          <w:rFonts w:hint="eastAsia" w:ascii="楷体" w:hAnsi="楷体" w:eastAsia="楷体" w:cs="楷体"/>
          <w:b/>
          <w:bCs w:val="0"/>
          <w:kern w:val="0"/>
          <w:sz w:val="30"/>
          <w:szCs w:val="30"/>
        </w:rPr>
      </w:pPr>
      <w:r>
        <w:rPr>
          <w:rFonts w:hint="eastAsia" w:ascii="楷体" w:hAnsi="楷体" w:eastAsia="楷体" w:cs="楷体"/>
          <w:b/>
          <w:bCs w:val="0"/>
          <w:kern w:val="0"/>
          <w:sz w:val="30"/>
          <w:szCs w:val="30"/>
        </w:rPr>
        <w:t>（一）</w:t>
      </w:r>
      <w:bookmarkEnd w:id="1"/>
      <w:bookmarkEnd w:id="2"/>
      <w:r>
        <w:rPr>
          <w:rFonts w:hint="eastAsia" w:ascii="楷体" w:hAnsi="楷体" w:eastAsia="楷体" w:cs="楷体"/>
          <w:b/>
          <w:bCs w:val="0"/>
          <w:kern w:val="0"/>
          <w:sz w:val="30"/>
          <w:szCs w:val="30"/>
        </w:rPr>
        <w:t>企业基本情况</w:t>
      </w:r>
    </w:p>
    <w:p>
      <w:pPr>
        <w:spacing w:line="360" w:lineRule="auto"/>
        <w:ind w:firstLine="602" w:firstLineChars="200"/>
        <w:jc w:val="left"/>
        <w:outlineLvl w:val="2"/>
        <w:rPr>
          <w:rFonts w:hint="eastAsia" w:ascii="仿宋" w:hAnsi="仿宋" w:eastAsia="仿宋" w:cs="仿宋"/>
          <w:b/>
          <w:bCs w:val="0"/>
          <w:kern w:val="0"/>
          <w:sz w:val="30"/>
          <w:szCs w:val="30"/>
        </w:rPr>
      </w:pPr>
      <w:r>
        <w:rPr>
          <w:rFonts w:hint="eastAsia" w:ascii="仿宋" w:hAnsi="仿宋" w:eastAsia="仿宋" w:cs="仿宋"/>
          <w:b/>
          <w:bCs w:val="0"/>
          <w:kern w:val="0"/>
          <w:sz w:val="30"/>
          <w:szCs w:val="30"/>
        </w:rPr>
        <w:t>1.企业概况</w:t>
      </w:r>
    </w:p>
    <w:p>
      <w:pPr>
        <w:spacing w:line="360" w:lineRule="auto"/>
        <w:ind w:firstLine="600" w:firstLineChars="200"/>
        <w:jc w:val="left"/>
        <w:rPr>
          <w:rFonts w:hint="eastAsia" w:ascii="仿宋" w:hAnsi="仿宋" w:eastAsia="仿宋" w:cs="仿宋"/>
          <w:bCs/>
          <w:kern w:val="0"/>
          <w:sz w:val="30"/>
          <w:szCs w:val="30"/>
        </w:rPr>
      </w:pPr>
      <w:r>
        <w:rPr>
          <w:rFonts w:hint="eastAsia" w:ascii="仿宋" w:hAnsi="仿宋" w:eastAsia="仿宋" w:cs="仿宋"/>
          <w:bCs/>
          <w:kern w:val="0"/>
          <w:sz w:val="30"/>
          <w:szCs w:val="30"/>
        </w:rPr>
        <w:t>云东集团成立于2016年，位于内蒙古自治区鄂尔多斯市，是一家以从事农业为主的企业。企业注册资本10000万人民币，实缴资本9833.6412万人民币。云东集团主要承担伊金霍洛旗重点项目建设和农林牧产业投资引领等任务，发挥地方国有农牧业企业的示范带动和发展平台作用，切实助力农牧民增收、助推农牧业增效。主营业务为:对农林牧产业项目投资、研发与运营，食品的生产与销售;农畜(副)产品开发、仓储、加工、生产、销售;房地产开发;矿用产品及设备的生产与销售;商场、市场管理与服务;进出口贸易;劳务服务(不含劳务派遣)。</w:t>
      </w:r>
    </w:p>
    <w:p>
      <w:pPr>
        <w:spacing w:line="360" w:lineRule="auto"/>
        <w:ind w:firstLine="602" w:firstLineChars="200"/>
        <w:jc w:val="left"/>
        <w:outlineLvl w:val="2"/>
        <w:rPr>
          <w:rFonts w:hint="eastAsia" w:ascii="仿宋" w:hAnsi="仿宋" w:eastAsia="仿宋" w:cs="仿宋"/>
          <w:b/>
          <w:bCs w:val="0"/>
          <w:kern w:val="0"/>
          <w:sz w:val="30"/>
          <w:szCs w:val="30"/>
        </w:rPr>
      </w:pPr>
      <w:r>
        <w:rPr>
          <w:rFonts w:hint="eastAsia" w:ascii="仿宋" w:hAnsi="仿宋" w:eastAsia="仿宋" w:cs="仿宋"/>
          <w:b/>
          <w:bCs w:val="0"/>
          <w:kern w:val="0"/>
          <w:sz w:val="30"/>
          <w:szCs w:val="30"/>
        </w:rPr>
        <w:t>2.企业机构设置</w:t>
      </w:r>
    </w:p>
    <w:p>
      <w:pPr>
        <w:spacing w:line="360" w:lineRule="auto"/>
        <w:ind w:firstLine="602" w:firstLineChars="200"/>
        <w:jc w:val="left"/>
        <w:rPr>
          <w:rFonts w:hint="eastAsia" w:ascii="仿宋" w:hAnsi="仿宋" w:eastAsia="仿宋" w:cs="仿宋"/>
          <w:bCs/>
          <w:sz w:val="30"/>
          <w:szCs w:val="30"/>
        </w:rPr>
      </w:pPr>
      <w:r>
        <w:rPr>
          <w:rFonts w:hint="eastAsia" w:ascii="仿宋" w:hAnsi="仿宋" w:eastAsia="仿宋" w:cs="仿宋"/>
          <w:b/>
          <w:bCs w:val="0"/>
          <w:kern w:val="0"/>
          <w:sz w:val="30"/>
          <w:szCs w:val="30"/>
        </w:rPr>
        <w:t>一是内设机构</w:t>
      </w:r>
      <w:r>
        <w:rPr>
          <w:rFonts w:hint="eastAsia" w:ascii="仿宋" w:hAnsi="仿宋" w:eastAsia="仿宋" w:cs="仿宋"/>
          <w:bCs/>
          <w:kern w:val="0"/>
          <w:sz w:val="30"/>
          <w:szCs w:val="30"/>
        </w:rPr>
        <w:t>。云东集团本部内设8个职能部门：行政综合部、企业运营部、党群工作部、审计监察部、人力资源部、财务资产部、工会、纪检组。</w:t>
      </w:r>
      <w:r>
        <w:rPr>
          <w:rFonts w:hint="eastAsia" w:ascii="仿宋" w:hAnsi="仿宋" w:eastAsia="仿宋" w:cs="仿宋"/>
          <w:b/>
          <w:bCs w:val="0"/>
          <w:kern w:val="0"/>
          <w:sz w:val="30"/>
          <w:szCs w:val="30"/>
        </w:rPr>
        <w:t>二是下属子公司设立情况</w:t>
      </w:r>
      <w:r>
        <w:rPr>
          <w:rFonts w:hint="eastAsia" w:ascii="仿宋" w:hAnsi="仿宋" w:eastAsia="仿宋" w:cs="仿宋"/>
          <w:bCs/>
          <w:kern w:val="0"/>
          <w:sz w:val="30"/>
          <w:szCs w:val="30"/>
        </w:rPr>
        <w:t>。云东集团</w:t>
      </w:r>
      <w:r>
        <w:rPr>
          <w:rFonts w:hint="eastAsia" w:ascii="仿宋" w:hAnsi="仿宋" w:eastAsia="仿宋" w:cs="仿宋"/>
          <w:bCs/>
          <w:kern w:val="0"/>
          <w:sz w:val="30"/>
          <w:szCs w:val="30"/>
          <w:lang w:val="en-US" w:eastAsia="zh-CN"/>
        </w:rPr>
        <w:t>下设</w:t>
      </w:r>
      <w:r>
        <w:rPr>
          <w:rFonts w:hint="eastAsia" w:ascii="仿宋" w:hAnsi="仿宋" w:eastAsia="仿宋" w:cs="仿宋"/>
          <w:bCs/>
          <w:kern w:val="0"/>
          <w:sz w:val="30"/>
          <w:szCs w:val="30"/>
        </w:rPr>
        <w:t>二级全资子公司6家：鄂尔多斯市云东生态产业开发有限公司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云东生态产业</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、鄂尔多斯市云东绿洲园林工程有限公司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绿洲园林</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、鄂尔多斯市云东裕众贸易有限公司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裕众贸易</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、鄂尔多斯市云东域融贸易有限公司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域融贸易</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、鄂尔多斯市云东依依种养殖有限责任公司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依依种养殖</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、鄂尔多斯市域融产业发展有限公司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域融产业</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和1家重要子企业：伊金霍洛旗华丰粮油购销有限责任公司</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以下简称</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华丰粮油购销</w:t>
      </w:r>
      <w:r>
        <w:rPr>
          <w:rFonts w:hint="eastAsia" w:ascii="仿宋" w:hAnsi="仿宋" w:eastAsia="仿宋" w:cs="仿宋"/>
          <w:bCs/>
          <w:kern w:val="0"/>
          <w:sz w:val="30"/>
          <w:szCs w:val="30"/>
          <w:lang w:eastAsia="zh-CN"/>
        </w:rPr>
        <w:t>”）</w:t>
      </w:r>
      <w:r>
        <w:rPr>
          <w:rFonts w:hint="eastAsia" w:ascii="仿宋" w:hAnsi="仿宋" w:eastAsia="仿宋" w:cs="仿宋"/>
          <w:bCs/>
          <w:kern w:val="0"/>
          <w:sz w:val="30"/>
          <w:szCs w:val="30"/>
        </w:rPr>
        <w:t>。各子公司情况见下表1。</w:t>
      </w:r>
      <w:r>
        <w:rPr>
          <w:rFonts w:hint="eastAsia" w:ascii="仿宋" w:hAnsi="仿宋" w:eastAsia="仿宋" w:cs="仿宋"/>
          <w:b/>
          <w:bCs w:val="0"/>
          <w:kern w:val="0"/>
          <w:sz w:val="30"/>
          <w:szCs w:val="30"/>
        </w:rPr>
        <w:t>三是人员构成</w:t>
      </w:r>
      <w:r>
        <w:rPr>
          <w:rFonts w:hint="eastAsia" w:ascii="仿宋" w:hAnsi="仿宋" w:eastAsia="仿宋" w:cs="仿宋"/>
          <w:bCs/>
          <w:kern w:val="0"/>
          <w:sz w:val="30"/>
          <w:szCs w:val="30"/>
        </w:rPr>
        <w:t>。云东集团在职干部职工</w:t>
      </w:r>
      <w:r>
        <w:rPr>
          <w:rFonts w:hint="eastAsia" w:ascii="仿宋" w:hAnsi="仿宋" w:eastAsia="仿宋" w:cs="仿宋"/>
          <w:bCs/>
          <w:kern w:val="0"/>
          <w:sz w:val="30"/>
          <w:szCs w:val="30"/>
          <w:highlight w:val="none"/>
        </w:rPr>
        <w:t>124</w:t>
      </w:r>
      <w:r>
        <w:rPr>
          <w:rFonts w:hint="eastAsia" w:ascii="仿宋" w:hAnsi="仿宋" w:eastAsia="仿宋" w:cs="仿宋"/>
          <w:bCs/>
          <w:sz w:val="30"/>
          <w:szCs w:val="30"/>
        </w:rPr>
        <w:t>人，其中（马产业20人，劳务派遣13人，实习生4人，企业聘用74人），科级干部10人、派驻纪检组书记1人、挂职干部2人</w:t>
      </w:r>
      <w:r>
        <w:rPr>
          <w:rFonts w:hint="eastAsia" w:ascii="仿宋" w:hAnsi="仿宋" w:eastAsia="仿宋" w:cs="仿宋"/>
          <w:bCs/>
          <w:sz w:val="30"/>
          <w:szCs w:val="30"/>
          <w:lang w:eastAsia="zh-CN"/>
        </w:rPr>
        <w:t>；华丰粮油购销</w:t>
      </w:r>
      <w:r>
        <w:rPr>
          <w:rFonts w:hint="eastAsia" w:ascii="仿宋" w:hAnsi="仿宋" w:eastAsia="仿宋" w:cs="仿宋"/>
          <w:bCs/>
          <w:sz w:val="30"/>
          <w:szCs w:val="30"/>
          <w:lang w:val="en-US" w:eastAsia="zh-CN"/>
        </w:rPr>
        <w:t>公司</w:t>
      </w:r>
      <w:r>
        <w:rPr>
          <w:rFonts w:hint="eastAsia" w:ascii="仿宋" w:hAnsi="仿宋" w:eastAsia="仿宋" w:cs="仿宋"/>
          <w:bCs/>
          <w:kern w:val="0"/>
          <w:sz w:val="30"/>
          <w:szCs w:val="30"/>
          <w:lang w:val="en-US" w:eastAsia="zh-CN"/>
        </w:rPr>
        <w:t>职工共61</w:t>
      </w:r>
      <w:r>
        <w:rPr>
          <w:rFonts w:hint="eastAsia" w:ascii="仿宋" w:hAnsi="仿宋" w:eastAsia="仿宋" w:cs="仿宋"/>
          <w:bCs/>
          <w:kern w:val="0"/>
          <w:sz w:val="30"/>
          <w:szCs w:val="30"/>
        </w:rPr>
        <w:t>人，</w:t>
      </w:r>
      <w:r>
        <w:rPr>
          <w:rFonts w:hint="eastAsia" w:ascii="仿宋" w:hAnsi="仿宋" w:eastAsia="仿宋" w:cs="仿宋"/>
          <w:bCs/>
          <w:kern w:val="0"/>
          <w:sz w:val="30"/>
          <w:szCs w:val="30"/>
          <w:lang w:val="en-US" w:eastAsia="zh-CN"/>
        </w:rPr>
        <w:t>其中，</w:t>
      </w:r>
      <w:r>
        <w:rPr>
          <w:rFonts w:hint="eastAsia" w:ascii="仿宋" w:hAnsi="仿宋" w:eastAsia="仿宋" w:cs="仿宋"/>
          <w:bCs/>
          <w:kern w:val="0"/>
          <w:sz w:val="30"/>
          <w:szCs w:val="30"/>
        </w:rPr>
        <w:t>组织部委派9人，长期请假9人，在职职工32人，劳务派遣3人，劳务外包6人</w:t>
      </w:r>
      <w:r>
        <w:rPr>
          <w:rFonts w:hint="eastAsia" w:ascii="仿宋" w:hAnsi="仿宋" w:eastAsia="仿宋" w:cs="仿宋"/>
          <w:bCs/>
          <w:kern w:val="0"/>
          <w:sz w:val="30"/>
          <w:szCs w:val="30"/>
          <w:lang w:eastAsia="zh-CN"/>
        </w:rPr>
        <w:t>，</w:t>
      </w:r>
      <w:r>
        <w:rPr>
          <w:rFonts w:hint="eastAsia" w:ascii="仿宋" w:hAnsi="仿宋" w:eastAsia="仿宋" w:cs="仿宋"/>
          <w:bCs/>
          <w:sz w:val="30"/>
          <w:szCs w:val="30"/>
        </w:rPr>
        <w:t>挂职干部2人。</w:t>
      </w:r>
    </w:p>
    <w:p>
      <w:pPr>
        <w:widowControl/>
        <w:jc w:val="center"/>
        <w:rPr>
          <w:rFonts w:eastAsia="黑体"/>
          <w:sz w:val="24"/>
        </w:rPr>
      </w:pPr>
      <w:r>
        <w:rPr>
          <w:rFonts w:eastAsia="黑体"/>
          <w:sz w:val="24"/>
        </w:rPr>
        <w:t xml:space="preserve">表1 </w:t>
      </w:r>
      <w:r>
        <w:rPr>
          <w:rFonts w:hint="eastAsia" w:eastAsia="黑体"/>
          <w:sz w:val="24"/>
        </w:rPr>
        <w:t>各</w:t>
      </w:r>
      <w:r>
        <w:rPr>
          <w:rFonts w:eastAsia="黑体"/>
          <w:sz w:val="24"/>
        </w:rPr>
        <w:t>子公司情况表</w:t>
      </w:r>
    </w:p>
    <w:tbl>
      <w:tblPr>
        <w:tblStyle w:val="19"/>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1289"/>
        <w:gridCol w:w="1311"/>
        <w:gridCol w:w="1161"/>
        <w:gridCol w:w="874"/>
        <w:gridCol w:w="874"/>
        <w:gridCol w:w="1601"/>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355"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764"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企业名称</w:t>
            </w:r>
          </w:p>
        </w:tc>
        <w:tc>
          <w:tcPr>
            <w:tcW w:w="777"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注册时间</w:t>
            </w:r>
          </w:p>
        </w:tc>
        <w:tc>
          <w:tcPr>
            <w:tcW w:w="688"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注册资本</w:t>
            </w:r>
          </w:p>
          <w:p>
            <w:pPr>
              <w:widowControl/>
              <w:snapToGrid w:val="0"/>
              <w:jc w:val="center"/>
              <w:rPr>
                <w:rFonts w:hint="eastAsia" w:ascii="宋体" w:hAnsi="宋体" w:cs="宋体"/>
                <w:b/>
                <w:szCs w:val="21"/>
              </w:rPr>
            </w:pPr>
            <w:r>
              <w:rPr>
                <w:rFonts w:hint="eastAsia" w:ascii="宋体" w:hAnsi="宋体" w:cs="宋体"/>
                <w:b/>
                <w:szCs w:val="21"/>
              </w:rPr>
              <w:t>（</w:t>
            </w:r>
            <w:r>
              <w:rPr>
                <w:rFonts w:hint="eastAsia" w:ascii="宋体" w:hAnsi="宋体" w:cs="宋体"/>
                <w:b/>
                <w:bCs/>
                <w:color w:val="000000"/>
                <w:kern w:val="0"/>
                <w:szCs w:val="21"/>
              </w:rPr>
              <w:t>万元</w:t>
            </w:r>
            <w:r>
              <w:rPr>
                <w:rFonts w:hint="eastAsia" w:ascii="宋体" w:hAnsi="宋体" w:cs="宋体"/>
                <w:b/>
                <w:color w:val="000000"/>
                <w:kern w:val="0"/>
                <w:szCs w:val="21"/>
              </w:rPr>
              <w:t>）</w:t>
            </w:r>
          </w:p>
        </w:tc>
        <w:tc>
          <w:tcPr>
            <w:tcW w:w="518"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股权</w:t>
            </w:r>
          </w:p>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占比</w:t>
            </w:r>
          </w:p>
        </w:tc>
        <w:tc>
          <w:tcPr>
            <w:tcW w:w="518" w:type="pct"/>
            <w:noWrap/>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法定</w:t>
            </w:r>
          </w:p>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代表人</w:t>
            </w:r>
          </w:p>
        </w:tc>
        <w:tc>
          <w:tcPr>
            <w:tcW w:w="949" w:type="pct"/>
            <w:noWrap/>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业务定位</w:t>
            </w:r>
          </w:p>
        </w:tc>
        <w:tc>
          <w:tcPr>
            <w:tcW w:w="429" w:type="pct"/>
            <w:noWrap w:val="0"/>
            <w:vAlign w:val="center"/>
          </w:tcPr>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运营状态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w:t>
            </w:r>
          </w:p>
        </w:tc>
        <w:tc>
          <w:tcPr>
            <w:tcW w:w="764" w:type="pct"/>
            <w:noWrap w:val="0"/>
            <w:vAlign w:val="center"/>
          </w:tcPr>
          <w:p>
            <w:pPr>
              <w:widowControl/>
              <w:snapToGrid w:val="0"/>
              <w:jc w:val="center"/>
              <w:rPr>
                <w:rFonts w:hint="eastAsia" w:ascii="宋体" w:hAnsi="宋体" w:eastAsia="宋体" w:cs="宋体"/>
                <w:color w:val="000000"/>
                <w:kern w:val="0"/>
                <w:szCs w:val="21"/>
                <w:lang w:val="en-US" w:eastAsia="zh-CN"/>
              </w:rPr>
            </w:pPr>
            <w:r>
              <w:rPr>
                <w:rFonts w:hint="eastAsia" w:ascii="宋体" w:hAnsi="宋体" w:cs="宋体"/>
                <w:bCs/>
                <w:szCs w:val="21"/>
              </w:rPr>
              <w:t>云东生态</w:t>
            </w:r>
            <w:r>
              <w:rPr>
                <w:rFonts w:hint="eastAsia" w:ascii="宋体" w:hAnsi="宋体" w:cs="宋体"/>
                <w:bCs/>
                <w:szCs w:val="21"/>
                <w:lang w:val="en-US" w:eastAsia="zh-CN"/>
              </w:rPr>
              <w:t>产业</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2016</w:t>
            </w:r>
            <w:r>
              <w:rPr>
                <w:rFonts w:hint="eastAsia" w:ascii="宋体" w:hAnsi="宋体" w:cs="宋体"/>
                <w:color w:val="000000"/>
                <w:kern w:val="0"/>
                <w:szCs w:val="21"/>
                <w:lang w:eastAsia="zh-CN"/>
              </w:rPr>
              <w:t>.</w:t>
            </w:r>
            <w:r>
              <w:rPr>
                <w:rFonts w:hint="eastAsia" w:ascii="宋体" w:hAnsi="宋体" w:cs="宋体"/>
                <w:color w:val="000000"/>
                <w:kern w:val="0"/>
                <w:szCs w:val="21"/>
              </w:rPr>
              <w:t>09</w:t>
            </w:r>
            <w:r>
              <w:rPr>
                <w:rFonts w:hint="eastAsia" w:ascii="宋体" w:hAnsi="宋体" w:cs="宋体"/>
                <w:color w:val="000000"/>
                <w:kern w:val="0"/>
                <w:szCs w:val="21"/>
                <w:lang w:val="en-US" w:eastAsia="zh-CN"/>
              </w:rPr>
              <w:t>.</w:t>
            </w:r>
            <w:r>
              <w:rPr>
                <w:rFonts w:hint="eastAsia" w:ascii="宋体" w:hAnsi="宋体" w:cs="宋体"/>
                <w:color w:val="000000"/>
                <w:kern w:val="0"/>
                <w:szCs w:val="21"/>
              </w:rPr>
              <w:t>23</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4780</w:t>
            </w:r>
          </w:p>
        </w:tc>
        <w:tc>
          <w:tcPr>
            <w:tcW w:w="518"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白小平</w:t>
            </w:r>
          </w:p>
        </w:tc>
        <w:tc>
          <w:tcPr>
            <w:tcW w:w="949" w:type="pct"/>
            <w:noWrap w:val="0"/>
            <w:vAlign w:val="center"/>
          </w:tcPr>
          <w:p>
            <w:pPr>
              <w:widowControl/>
              <w:snapToGrid w:val="0"/>
              <w:jc w:val="center"/>
              <w:rPr>
                <w:rFonts w:ascii="宋体" w:hAnsi="宋体" w:cs="宋体"/>
                <w:color w:val="000000"/>
                <w:kern w:val="0"/>
                <w:szCs w:val="21"/>
              </w:rPr>
            </w:pPr>
            <w:r>
              <w:rPr>
                <w:rFonts w:ascii="宋体" w:hAnsi="宋体" w:cs="宋体"/>
                <w:color w:val="000000"/>
                <w:kern w:val="0"/>
                <w:szCs w:val="21"/>
              </w:rPr>
              <w:t>农林牧沙草湖田生态系统(科技)产业项目基础设施建设</w:t>
            </w:r>
          </w:p>
        </w:tc>
        <w:tc>
          <w:tcPr>
            <w:tcW w:w="429" w:type="pct"/>
            <w:noWrap w:val="0"/>
            <w:vAlign w:val="center"/>
          </w:tcPr>
          <w:p>
            <w:pPr>
              <w:widowControl/>
              <w:snapToGrid w:val="0"/>
              <w:jc w:val="center"/>
              <w:rPr>
                <w:rFonts w:ascii="宋体" w:hAnsi="宋体" w:cs="宋体"/>
                <w:color w:val="000000"/>
                <w:kern w:val="0"/>
                <w:szCs w:val="21"/>
              </w:rPr>
            </w:pPr>
            <w:r>
              <w:rPr>
                <w:rFonts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764"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bCs/>
                <w:szCs w:val="21"/>
              </w:rPr>
              <w:t>绿洲园林</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2019</w:t>
            </w:r>
            <w:r>
              <w:rPr>
                <w:rFonts w:hint="eastAsia" w:ascii="宋体" w:hAnsi="宋体" w:cs="宋体"/>
                <w:color w:val="000000"/>
                <w:kern w:val="0"/>
                <w:szCs w:val="21"/>
                <w:lang w:val="en-US" w:eastAsia="zh-CN"/>
              </w:rPr>
              <w:t>.</w:t>
            </w:r>
            <w:r>
              <w:rPr>
                <w:rFonts w:hint="eastAsia" w:ascii="宋体" w:hAnsi="宋体" w:cs="宋体"/>
                <w:color w:val="000000"/>
                <w:kern w:val="0"/>
                <w:szCs w:val="21"/>
              </w:rPr>
              <w:t>07</w:t>
            </w:r>
            <w:r>
              <w:rPr>
                <w:rFonts w:hint="eastAsia" w:ascii="宋体" w:hAnsi="宋体" w:cs="宋体"/>
                <w:color w:val="000000"/>
                <w:kern w:val="0"/>
                <w:szCs w:val="21"/>
                <w:lang w:val="en-US" w:eastAsia="zh-CN"/>
              </w:rPr>
              <w:t>.</w:t>
            </w:r>
            <w:r>
              <w:rPr>
                <w:rFonts w:hint="eastAsia" w:ascii="宋体" w:hAnsi="宋体" w:cs="宋体"/>
                <w:color w:val="000000"/>
                <w:kern w:val="0"/>
                <w:szCs w:val="21"/>
              </w:rPr>
              <w:t>09</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3000</w:t>
            </w:r>
          </w:p>
        </w:tc>
        <w:tc>
          <w:tcPr>
            <w:tcW w:w="51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任伊栋</w:t>
            </w:r>
          </w:p>
        </w:tc>
        <w:tc>
          <w:tcPr>
            <w:tcW w:w="94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劳务服务(不含劳务派遣);团林绿化工程施工</w:t>
            </w:r>
          </w:p>
        </w:tc>
        <w:tc>
          <w:tcPr>
            <w:tcW w:w="42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3</w:t>
            </w:r>
          </w:p>
        </w:tc>
        <w:tc>
          <w:tcPr>
            <w:tcW w:w="764"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bCs/>
                <w:szCs w:val="21"/>
              </w:rPr>
              <w:t>裕众贸易</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2019</w:t>
            </w:r>
            <w:r>
              <w:rPr>
                <w:rFonts w:hint="eastAsia" w:ascii="宋体" w:hAnsi="宋体" w:cs="宋体"/>
                <w:color w:val="000000"/>
                <w:kern w:val="0"/>
                <w:szCs w:val="21"/>
                <w:lang w:val="en-US" w:eastAsia="zh-CN"/>
              </w:rPr>
              <w:t>.</w:t>
            </w:r>
            <w:r>
              <w:rPr>
                <w:rFonts w:hint="eastAsia" w:ascii="宋体" w:hAnsi="宋体" w:cs="宋体"/>
                <w:color w:val="000000"/>
                <w:kern w:val="0"/>
                <w:szCs w:val="21"/>
              </w:rPr>
              <w:t>07</w:t>
            </w:r>
            <w:r>
              <w:rPr>
                <w:rFonts w:hint="eastAsia" w:ascii="宋体" w:hAnsi="宋体" w:cs="宋体"/>
                <w:color w:val="000000"/>
                <w:kern w:val="0"/>
                <w:szCs w:val="21"/>
                <w:lang w:val="en-US" w:eastAsia="zh-CN"/>
              </w:rPr>
              <w:t>.</w:t>
            </w:r>
            <w:r>
              <w:rPr>
                <w:rFonts w:hint="eastAsia" w:ascii="宋体" w:hAnsi="宋体" w:cs="宋体"/>
                <w:color w:val="000000"/>
                <w:kern w:val="0"/>
                <w:szCs w:val="21"/>
              </w:rPr>
              <w:t>10</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3000</w:t>
            </w:r>
          </w:p>
        </w:tc>
        <w:tc>
          <w:tcPr>
            <w:tcW w:w="518"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李海涛</w:t>
            </w:r>
          </w:p>
        </w:tc>
        <w:tc>
          <w:tcPr>
            <w:tcW w:w="94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农育产品开发、食品销售及代理服务;仓储物流配送(不含快递业)</w:t>
            </w:r>
          </w:p>
        </w:tc>
        <w:tc>
          <w:tcPr>
            <w:tcW w:w="42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4</w:t>
            </w:r>
          </w:p>
        </w:tc>
        <w:tc>
          <w:tcPr>
            <w:tcW w:w="764"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bCs/>
                <w:szCs w:val="21"/>
              </w:rPr>
              <w:t>域融贸易</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2019</w:t>
            </w:r>
            <w:r>
              <w:rPr>
                <w:rFonts w:hint="eastAsia" w:ascii="宋体" w:hAnsi="宋体" w:cs="宋体"/>
                <w:color w:val="000000"/>
                <w:kern w:val="0"/>
                <w:szCs w:val="21"/>
                <w:lang w:val="en-US" w:eastAsia="zh-CN"/>
              </w:rPr>
              <w:t>.</w:t>
            </w:r>
            <w:r>
              <w:rPr>
                <w:rFonts w:hint="eastAsia" w:ascii="宋体" w:hAnsi="宋体" w:cs="宋体"/>
                <w:color w:val="000000"/>
                <w:kern w:val="0"/>
                <w:szCs w:val="21"/>
              </w:rPr>
              <w:t>07</w:t>
            </w:r>
            <w:r>
              <w:rPr>
                <w:rFonts w:hint="eastAsia" w:ascii="宋体" w:hAnsi="宋体" w:cs="宋体"/>
                <w:color w:val="000000"/>
                <w:kern w:val="0"/>
                <w:szCs w:val="21"/>
                <w:lang w:val="en-US" w:eastAsia="zh-CN"/>
              </w:rPr>
              <w:t>.</w:t>
            </w:r>
            <w:r>
              <w:rPr>
                <w:rFonts w:hint="eastAsia" w:ascii="宋体" w:hAnsi="宋体" w:cs="宋体"/>
                <w:color w:val="000000"/>
                <w:kern w:val="0"/>
                <w:szCs w:val="21"/>
              </w:rPr>
              <w:t>09</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3000</w:t>
            </w:r>
          </w:p>
        </w:tc>
        <w:tc>
          <w:tcPr>
            <w:tcW w:w="518"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邱霆</w:t>
            </w:r>
          </w:p>
        </w:tc>
        <w:tc>
          <w:tcPr>
            <w:tcW w:w="949"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食品互联网销售;食品销售;食盐批发</w:t>
            </w:r>
          </w:p>
        </w:tc>
        <w:tc>
          <w:tcPr>
            <w:tcW w:w="429" w:type="pct"/>
            <w:noWrap w:val="0"/>
            <w:vAlign w:val="center"/>
          </w:tcPr>
          <w:p>
            <w:pPr>
              <w:widowControl/>
              <w:snapToGrid w:val="0"/>
              <w:jc w:val="center"/>
              <w:rPr>
                <w:rFonts w:hint="eastAsia" w:ascii="宋体" w:hAnsi="宋体" w:cs="宋体"/>
                <w:color w:val="000000"/>
                <w:kern w:val="0"/>
                <w:szCs w:val="21"/>
                <w:highlight w:val="yellow"/>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764"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bCs/>
                <w:szCs w:val="21"/>
              </w:rPr>
              <w:t>依依种养殖</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2019</w:t>
            </w:r>
            <w:r>
              <w:rPr>
                <w:rFonts w:hint="eastAsia" w:ascii="宋体" w:hAnsi="宋体" w:cs="宋体"/>
                <w:color w:val="000000"/>
                <w:kern w:val="0"/>
                <w:szCs w:val="21"/>
                <w:lang w:val="en-US" w:eastAsia="zh-CN"/>
              </w:rPr>
              <w:t>.</w:t>
            </w:r>
            <w:r>
              <w:rPr>
                <w:rFonts w:hint="eastAsia" w:ascii="宋体" w:hAnsi="宋体" w:cs="宋体"/>
                <w:color w:val="000000"/>
                <w:kern w:val="0"/>
                <w:szCs w:val="21"/>
              </w:rPr>
              <w:t>09</w:t>
            </w:r>
            <w:r>
              <w:rPr>
                <w:rFonts w:hint="eastAsia" w:ascii="宋体" w:hAnsi="宋体" w:cs="宋体"/>
                <w:color w:val="000000"/>
                <w:kern w:val="0"/>
                <w:szCs w:val="21"/>
                <w:lang w:val="en-US" w:eastAsia="zh-CN"/>
              </w:rPr>
              <w:t>.</w:t>
            </w:r>
            <w:r>
              <w:rPr>
                <w:rFonts w:hint="eastAsia" w:ascii="宋体" w:hAnsi="宋体" w:cs="宋体"/>
                <w:color w:val="000000"/>
                <w:kern w:val="0"/>
                <w:szCs w:val="21"/>
              </w:rPr>
              <w:t>03</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500</w:t>
            </w:r>
          </w:p>
        </w:tc>
        <w:tc>
          <w:tcPr>
            <w:tcW w:w="51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边伟龙</w:t>
            </w:r>
          </w:p>
        </w:tc>
        <w:tc>
          <w:tcPr>
            <w:tcW w:w="949"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农牧业种养植(殖);农畜产品、有机肥料、饲草料的生产、加工、销售</w:t>
            </w:r>
          </w:p>
        </w:tc>
        <w:tc>
          <w:tcPr>
            <w:tcW w:w="42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6</w:t>
            </w:r>
          </w:p>
        </w:tc>
        <w:tc>
          <w:tcPr>
            <w:tcW w:w="764"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bCs/>
                <w:szCs w:val="21"/>
              </w:rPr>
              <w:t>域融产业</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2019</w:t>
            </w:r>
            <w:r>
              <w:rPr>
                <w:rFonts w:hint="eastAsia" w:ascii="宋体" w:hAnsi="宋体" w:cs="宋体"/>
                <w:color w:val="000000"/>
                <w:kern w:val="0"/>
                <w:szCs w:val="21"/>
                <w:lang w:val="en-US" w:eastAsia="zh-CN"/>
              </w:rPr>
              <w:t>.</w:t>
            </w:r>
            <w:r>
              <w:rPr>
                <w:rFonts w:hint="eastAsia" w:ascii="宋体" w:hAnsi="宋体" w:cs="宋体"/>
                <w:color w:val="000000"/>
                <w:kern w:val="0"/>
                <w:szCs w:val="21"/>
              </w:rPr>
              <w:t>11</w:t>
            </w:r>
            <w:r>
              <w:rPr>
                <w:rFonts w:hint="eastAsia" w:ascii="宋体" w:hAnsi="宋体" w:cs="宋体"/>
                <w:color w:val="000000"/>
                <w:kern w:val="0"/>
                <w:szCs w:val="21"/>
                <w:lang w:val="en-US" w:eastAsia="zh-CN"/>
              </w:rPr>
              <w:t>.</w:t>
            </w:r>
            <w:r>
              <w:rPr>
                <w:rFonts w:hint="eastAsia" w:ascii="宋体" w:hAnsi="宋体" w:cs="宋体"/>
                <w:color w:val="000000"/>
                <w:kern w:val="0"/>
                <w:szCs w:val="21"/>
              </w:rPr>
              <w:t>04</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2750</w:t>
            </w:r>
          </w:p>
        </w:tc>
        <w:tc>
          <w:tcPr>
            <w:tcW w:w="518"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李建忠</w:t>
            </w:r>
          </w:p>
        </w:tc>
        <w:tc>
          <w:tcPr>
            <w:tcW w:w="949" w:type="pct"/>
            <w:noWrap w:val="0"/>
            <w:vAlign w:val="center"/>
          </w:tcPr>
          <w:p>
            <w:pPr>
              <w:widowControl/>
              <w:snapToGrid w:val="0"/>
              <w:jc w:val="center"/>
              <w:rPr>
                <w:rFonts w:ascii="宋体" w:hAnsi="宋体" w:cs="宋体"/>
                <w:color w:val="000000"/>
                <w:kern w:val="0"/>
                <w:szCs w:val="21"/>
              </w:rPr>
            </w:pPr>
            <w:r>
              <w:rPr>
                <w:rFonts w:ascii="宋体" w:hAnsi="宋体" w:cs="宋体"/>
                <w:color w:val="000000"/>
                <w:kern w:val="0"/>
                <w:szCs w:val="21"/>
              </w:rPr>
              <w:t>食品销售:小食杂;食品小作坊经营;食品互联网销售;小餐饮、小食杂食品小作坊经营</w:t>
            </w:r>
          </w:p>
        </w:tc>
        <w:tc>
          <w:tcPr>
            <w:tcW w:w="42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5"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7</w:t>
            </w:r>
          </w:p>
        </w:tc>
        <w:tc>
          <w:tcPr>
            <w:tcW w:w="764"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bCs/>
                <w:szCs w:val="21"/>
              </w:rPr>
              <w:t>华丰粮油购销</w:t>
            </w:r>
          </w:p>
        </w:tc>
        <w:tc>
          <w:tcPr>
            <w:tcW w:w="777"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2003</w:t>
            </w:r>
            <w:r>
              <w:rPr>
                <w:rFonts w:hint="eastAsia" w:ascii="宋体" w:hAnsi="宋体" w:cs="宋体"/>
                <w:color w:val="000000"/>
                <w:kern w:val="0"/>
                <w:szCs w:val="21"/>
                <w:lang w:val="en-US" w:eastAsia="zh-CN"/>
              </w:rPr>
              <w:t>.</w:t>
            </w:r>
            <w:r>
              <w:rPr>
                <w:rFonts w:hint="eastAsia" w:ascii="宋体" w:hAnsi="宋体" w:cs="宋体"/>
                <w:color w:val="000000"/>
                <w:kern w:val="0"/>
                <w:szCs w:val="21"/>
              </w:rPr>
              <w:t>06</w:t>
            </w:r>
            <w:r>
              <w:rPr>
                <w:rFonts w:hint="eastAsia" w:ascii="宋体" w:hAnsi="宋体" w:cs="宋体"/>
                <w:color w:val="000000"/>
                <w:kern w:val="0"/>
                <w:szCs w:val="21"/>
                <w:lang w:val="en-US" w:eastAsia="zh-CN"/>
              </w:rPr>
              <w:t>.</w:t>
            </w:r>
            <w:r>
              <w:rPr>
                <w:rFonts w:hint="eastAsia" w:ascii="宋体" w:hAnsi="宋体" w:cs="宋体"/>
                <w:color w:val="000000"/>
                <w:kern w:val="0"/>
                <w:szCs w:val="21"/>
              </w:rPr>
              <w:t>17</w:t>
            </w:r>
          </w:p>
        </w:tc>
        <w:tc>
          <w:tcPr>
            <w:tcW w:w="688"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1590</w:t>
            </w:r>
          </w:p>
        </w:tc>
        <w:tc>
          <w:tcPr>
            <w:tcW w:w="518" w:type="pct"/>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100%</w:t>
            </w:r>
          </w:p>
        </w:tc>
        <w:tc>
          <w:tcPr>
            <w:tcW w:w="518" w:type="pct"/>
            <w:noWrap/>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赵欣春</w:t>
            </w:r>
          </w:p>
        </w:tc>
        <w:tc>
          <w:tcPr>
            <w:tcW w:w="94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粮油购销</w:t>
            </w:r>
          </w:p>
        </w:tc>
        <w:tc>
          <w:tcPr>
            <w:tcW w:w="429" w:type="pc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96" w:type="pct"/>
            <w:gridSpan w:val="3"/>
            <w:noWrap w:val="0"/>
            <w:vAlign w:val="center"/>
          </w:tcPr>
          <w:p>
            <w:pPr>
              <w:widowControl/>
              <w:snapToGrid w:val="0"/>
              <w:jc w:val="center"/>
              <w:rPr>
                <w:rFonts w:hint="eastAsia" w:ascii="宋体" w:hAnsi="宋体" w:cs="宋体"/>
                <w:b/>
                <w:color w:val="000000"/>
                <w:kern w:val="0"/>
                <w:szCs w:val="21"/>
              </w:rPr>
            </w:pPr>
            <w:r>
              <w:rPr>
                <w:rFonts w:hint="eastAsia" w:ascii="宋体" w:hAnsi="宋体" w:cs="宋体"/>
                <w:b/>
                <w:color w:val="000000"/>
                <w:kern w:val="0"/>
                <w:szCs w:val="21"/>
              </w:rPr>
              <w:t>合 计</w:t>
            </w:r>
          </w:p>
        </w:tc>
        <w:tc>
          <w:tcPr>
            <w:tcW w:w="688" w:type="pct"/>
            <w:noWrap w:val="0"/>
            <w:vAlign w:val="center"/>
          </w:tcPr>
          <w:p>
            <w:pPr>
              <w:widowControl/>
              <w:snapToGrid w:val="0"/>
              <w:jc w:val="center"/>
              <w:rPr>
                <w:rFonts w:ascii="宋体" w:hAnsi="宋体" w:cs="宋体"/>
                <w:b/>
                <w:color w:val="000000"/>
                <w:kern w:val="0"/>
                <w:szCs w:val="21"/>
              </w:rPr>
            </w:pPr>
            <w:r>
              <w:rPr>
                <w:rFonts w:hint="eastAsia" w:ascii="宋体" w:hAnsi="宋体" w:cs="宋体"/>
                <w:b/>
                <w:color w:val="000000"/>
                <w:kern w:val="0"/>
                <w:szCs w:val="21"/>
              </w:rPr>
              <w:t>18620</w:t>
            </w:r>
          </w:p>
        </w:tc>
        <w:tc>
          <w:tcPr>
            <w:tcW w:w="518" w:type="pct"/>
            <w:noWrap w:val="0"/>
            <w:vAlign w:val="center"/>
          </w:tcPr>
          <w:p>
            <w:pPr>
              <w:widowControl/>
              <w:snapToGrid w:val="0"/>
              <w:jc w:val="center"/>
              <w:rPr>
                <w:rFonts w:ascii="宋体" w:hAnsi="宋体" w:cs="宋体"/>
                <w:b/>
                <w:color w:val="000000"/>
                <w:kern w:val="0"/>
                <w:szCs w:val="21"/>
              </w:rPr>
            </w:pPr>
            <w:r>
              <w:rPr>
                <w:rFonts w:hint="eastAsia" w:ascii="宋体" w:hAnsi="宋体" w:cs="宋体"/>
                <w:b/>
                <w:color w:val="000000"/>
                <w:kern w:val="0"/>
                <w:szCs w:val="21"/>
              </w:rPr>
              <w:t>100%</w:t>
            </w:r>
          </w:p>
        </w:tc>
        <w:tc>
          <w:tcPr>
            <w:tcW w:w="518" w:type="pct"/>
            <w:noWrap/>
            <w:vAlign w:val="center"/>
          </w:tcPr>
          <w:p>
            <w:pPr>
              <w:widowControl/>
              <w:snapToGrid w:val="0"/>
              <w:jc w:val="center"/>
              <w:rPr>
                <w:rFonts w:ascii="宋体" w:hAnsi="宋体" w:cs="宋体"/>
                <w:b/>
                <w:color w:val="000000"/>
                <w:kern w:val="0"/>
                <w:szCs w:val="21"/>
              </w:rPr>
            </w:pPr>
            <w:r>
              <w:rPr>
                <w:rFonts w:hint="eastAsia" w:ascii="宋体" w:hAnsi="宋体" w:cs="宋体"/>
                <w:b/>
                <w:color w:val="000000"/>
                <w:kern w:val="0"/>
                <w:szCs w:val="21"/>
              </w:rPr>
              <w:t>-</w:t>
            </w:r>
          </w:p>
        </w:tc>
        <w:tc>
          <w:tcPr>
            <w:tcW w:w="949" w:type="pct"/>
            <w:noWrap w:val="0"/>
            <w:vAlign w:val="center"/>
          </w:tcPr>
          <w:p>
            <w:pPr>
              <w:widowControl/>
              <w:snapToGrid w:val="0"/>
              <w:jc w:val="center"/>
              <w:rPr>
                <w:rFonts w:hint="eastAsia" w:ascii="宋体" w:hAnsi="宋体" w:cs="宋体"/>
                <w:b/>
                <w:color w:val="000000"/>
                <w:kern w:val="0"/>
                <w:szCs w:val="21"/>
              </w:rPr>
            </w:pPr>
            <w:r>
              <w:rPr>
                <w:rFonts w:hint="eastAsia" w:ascii="宋体" w:hAnsi="宋体" w:cs="宋体"/>
                <w:b/>
                <w:color w:val="000000"/>
                <w:kern w:val="0"/>
                <w:szCs w:val="21"/>
              </w:rPr>
              <w:t>-</w:t>
            </w:r>
          </w:p>
        </w:tc>
        <w:tc>
          <w:tcPr>
            <w:tcW w:w="429" w:type="pct"/>
            <w:noWrap w:val="0"/>
            <w:vAlign w:val="center"/>
          </w:tcPr>
          <w:p>
            <w:pPr>
              <w:widowControl/>
              <w:snapToGrid w:val="0"/>
              <w:jc w:val="center"/>
              <w:rPr>
                <w:rFonts w:hint="eastAsia" w:ascii="宋体" w:hAnsi="宋体" w:cs="宋体"/>
                <w:b/>
                <w:color w:val="000000"/>
                <w:kern w:val="0"/>
                <w:szCs w:val="21"/>
              </w:rPr>
            </w:pPr>
            <w:r>
              <w:rPr>
                <w:rFonts w:hint="eastAsia" w:ascii="宋体" w:hAnsi="宋体" w:cs="宋体"/>
                <w:b/>
                <w:color w:val="000000"/>
                <w:kern w:val="0"/>
                <w:szCs w:val="21"/>
              </w:rPr>
              <w:t>-</w:t>
            </w:r>
          </w:p>
        </w:tc>
      </w:tr>
    </w:tbl>
    <w:p>
      <w:pPr>
        <w:adjustRightInd w:val="0"/>
        <w:snapToGrid w:val="0"/>
        <w:spacing w:line="360" w:lineRule="auto"/>
        <w:ind w:firstLine="602" w:firstLineChars="200"/>
        <w:outlineLvl w:val="2"/>
        <w:rPr>
          <w:rFonts w:hint="eastAsia" w:ascii="仿宋" w:hAnsi="仿宋" w:eastAsia="仿宋" w:cs="仿宋"/>
          <w:b/>
          <w:caps/>
          <w:sz w:val="30"/>
          <w:szCs w:val="30"/>
        </w:rPr>
      </w:pPr>
      <w:r>
        <w:rPr>
          <w:rFonts w:hint="eastAsia" w:ascii="仿宋" w:hAnsi="仿宋" w:eastAsia="仿宋" w:cs="仿宋"/>
          <w:b/>
          <w:caps/>
          <w:sz w:val="30"/>
          <w:szCs w:val="30"/>
        </w:rPr>
        <w:t>3.企业财务状况</w:t>
      </w:r>
    </w:p>
    <w:p>
      <w:pPr>
        <w:pStyle w:val="6"/>
        <w:adjustRightInd w:val="0"/>
        <w:snapToGrid w:val="0"/>
        <w:spacing w:line="360" w:lineRule="auto"/>
        <w:ind w:firstLine="602"/>
        <w:rPr>
          <w:rFonts w:hint="eastAsia" w:ascii="仿宋" w:hAnsi="仿宋" w:eastAsia="仿宋" w:cs="仿宋"/>
          <w:lang w:eastAsia="zh-CN"/>
        </w:rPr>
      </w:pPr>
      <w:r>
        <w:rPr>
          <w:rFonts w:hint="eastAsia" w:ascii="仿宋" w:hAnsi="仿宋" w:eastAsia="仿宋" w:cs="仿宋"/>
          <w:b/>
          <w:bCs/>
        </w:rPr>
        <w:t>2021年企业财务状况。</w:t>
      </w:r>
      <w:r>
        <w:rPr>
          <w:rFonts w:hint="eastAsia" w:ascii="仿宋" w:hAnsi="仿宋" w:eastAsia="仿宋" w:cs="仿宋"/>
        </w:rPr>
        <w:t>根据云东集团提供的审计报告，截至2021年12月31日，云东集团资产总额50931.82万元，其中流动资产18455.91万元，非流动资产32475.91万元；负债总额37474.85万元，其中流动负债12326.43万元，非流动负债25148.43万元，所有者权益总额13456.97万元。2021年度营业务收入15957.39万元，营业成本14828.34万元，净利润-460.38万元</w:t>
      </w:r>
      <w:r>
        <w:rPr>
          <w:rFonts w:hint="eastAsia" w:ascii="仿宋" w:hAnsi="仿宋" w:eastAsia="仿宋" w:cs="仿宋"/>
          <w:lang w:eastAsia="zh-CN"/>
        </w:rPr>
        <w:t>，</w:t>
      </w:r>
      <w:r>
        <w:rPr>
          <w:rFonts w:hint="eastAsia" w:ascii="仿宋" w:hAnsi="仿宋" w:eastAsia="仿宋" w:cs="仿宋"/>
        </w:rPr>
        <w:t>云东集团</w:t>
      </w:r>
      <w:r>
        <w:rPr>
          <w:rFonts w:hint="eastAsia" w:ascii="仿宋" w:hAnsi="仿宋" w:eastAsia="仿宋" w:cs="仿宋"/>
          <w:lang w:val="en-US" w:eastAsia="zh-CN"/>
        </w:rPr>
        <w:t>未对2021年度收益上缴。</w:t>
      </w:r>
    </w:p>
    <w:p>
      <w:pPr>
        <w:pStyle w:val="6"/>
        <w:adjustRightInd w:val="0"/>
        <w:snapToGrid w:val="0"/>
        <w:spacing w:line="360" w:lineRule="auto"/>
        <w:ind w:firstLine="600"/>
        <w:rPr>
          <w:rFonts w:hint="eastAsia" w:ascii="仿宋" w:hAnsi="仿宋" w:eastAsia="仿宋" w:cs="仿宋"/>
        </w:rPr>
      </w:pPr>
      <w:r>
        <w:rPr>
          <w:rFonts w:hint="eastAsia" w:ascii="仿宋" w:hAnsi="仿宋" w:eastAsia="仿宋" w:cs="仿宋"/>
          <w:b/>
          <w:bCs/>
        </w:rPr>
        <w:t>2022年企业财务状况。</w:t>
      </w:r>
      <w:r>
        <w:rPr>
          <w:rFonts w:hint="eastAsia" w:ascii="仿宋" w:hAnsi="仿宋" w:eastAsia="仿宋" w:cs="仿宋"/>
        </w:rPr>
        <w:t>根据云东集团提供的合并财务报表，截至2022年12月31日，云东集团资产总额54460.51万元，其中流动资产17815.21万元，非流动资产36645.30万元；负债总额38000.25万元，其中流动负债11063.71万元，非流动负债26936.54万元，所有者权益总额16460.26万元。2022年度营业务收入22177.05万元，营业成本19672.58万元，净利润111.65万元。</w:t>
      </w:r>
    </w:p>
    <w:p>
      <w:pPr>
        <w:pStyle w:val="6"/>
        <w:adjustRightInd w:val="0"/>
        <w:snapToGrid w:val="0"/>
        <w:spacing w:line="360" w:lineRule="auto"/>
        <w:ind w:firstLine="602"/>
        <w:rPr>
          <w:rFonts w:hint="eastAsia" w:ascii="仿宋" w:hAnsi="仿宋" w:eastAsia="仿宋" w:cs="仿宋"/>
          <w:lang w:eastAsia="zh-CN"/>
        </w:rPr>
      </w:pPr>
      <w:r>
        <w:rPr>
          <w:rFonts w:hint="eastAsia" w:ascii="仿宋" w:hAnsi="仿宋" w:eastAsia="仿宋" w:cs="仿宋"/>
          <w:b/>
          <w:bCs/>
          <w:highlight w:val="none"/>
          <w:lang w:val="en-US" w:eastAsia="zh-CN"/>
        </w:rPr>
        <w:t>华丰粮油购销公司2021年企业财务状况。</w:t>
      </w:r>
      <w:r>
        <w:rPr>
          <w:rFonts w:hint="eastAsia" w:ascii="仿宋" w:hAnsi="仿宋" w:eastAsia="仿宋" w:cs="仿宋"/>
        </w:rPr>
        <w:t>根据</w:t>
      </w:r>
      <w:r>
        <w:rPr>
          <w:rFonts w:hint="eastAsia" w:ascii="仿宋" w:hAnsi="仿宋" w:eastAsia="仿宋" w:cs="仿宋"/>
          <w:highlight w:val="none"/>
          <w:lang w:val="en-US" w:eastAsia="zh-CN"/>
        </w:rPr>
        <w:t>华丰粮油购销公司</w:t>
      </w:r>
      <w:r>
        <w:rPr>
          <w:rFonts w:hint="eastAsia" w:ascii="仿宋" w:hAnsi="仿宋" w:eastAsia="仿宋" w:cs="仿宋"/>
        </w:rPr>
        <w:t>提供的审计报告，截至2021年12月31日，</w:t>
      </w:r>
      <w:r>
        <w:rPr>
          <w:rFonts w:hint="eastAsia" w:ascii="仿宋" w:hAnsi="仿宋" w:eastAsia="仿宋" w:cs="仿宋"/>
          <w:highlight w:val="none"/>
          <w:lang w:val="en-US" w:eastAsia="zh-CN"/>
        </w:rPr>
        <w:t>华丰粮油购销公司</w:t>
      </w:r>
      <w:r>
        <w:rPr>
          <w:rFonts w:hint="eastAsia" w:ascii="仿宋" w:hAnsi="仿宋" w:eastAsia="仿宋" w:cs="仿宋"/>
        </w:rPr>
        <w:t>资产总额</w:t>
      </w:r>
      <w:r>
        <w:rPr>
          <w:rFonts w:hint="eastAsia" w:ascii="仿宋" w:hAnsi="仿宋" w:eastAsia="仿宋" w:cs="仿宋"/>
          <w:lang w:val="en-US" w:eastAsia="zh-CN"/>
        </w:rPr>
        <w:t>10825.35</w:t>
      </w:r>
      <w:r>
        <w:rPr>
          <w:rFonts w:hint="eastAsia" w:ascii="仿宋" w:hAnsi="仿宋" w:eastAsia="仿宋" w:cs="仿宋"/>
        </w:rPr>
        <w:t>万元，其中流动资产</w:t>
      </w:r>
      <w:r>
        <w:rPr>
          <w:rFonts w:hint="eastAsia" w:ascii="仿宋" w:hAnsi="仿宋" w:eastAsia="仿宋" w:cs="仿宋"/>
          <w:lang w:val="en-US" w:eastAsia="zh-CN"/>
        </w:rPr>
        <w:t>5746.11</w:t>
      </w:r>
      <w:r>
        <w:rPr>
          <w:rFonts w:hint="eastAsia" w:ascii="仿宋" w:hAnsi="仿宋" w:eastAsia="仿宋" w:cs="仿宋"/>
        </w:rPr>
        <w:t>万元，非流动资产</w:t>
      </w:r>
      <w:r>
        <w:rPr>
          <w:rFonts w:hint="eastAsia" w:ascii="仿宋" w:hAnsi="仿宋" w:eastAsia="仿宋" w:cs="仿宋"/>
          <w:lang w:val="en-US" w:eastAsia="zh-CN"/>
        </w:rPr>
        <w:t>5079.24</w:t>
      </w:r>
      <w:r>
        <w:rPr>
          <w:rFonts w:hint="eastAsia" w:ascii="仿宋" w:hAnsi="仿宋" w:eastAsia="仿宋" w:cs="仿宋"/>
        </w:rPr>
        <w:t>万元；负债总额</w:t>
      </w:r>
      <w:r>
        <w:rPr>
          <w:rFonts w:hint="eastAsia" w:ascii="仿宋" w:hAnsi="仿宋" w:eastAsia="仿宋" w:cs="仿宋"/>
          <w:lang w:val="en-US" w:eastAsia="zh-CN"/>
        </w:rPr>
        <w:t>6418.85</w:t>
      </w:r>
      <w:r>
        <w:rPr>
          <w:rFonts w:hint="eastAsia" w:ascii="仿宋" w:hAnsi="仿宋" w:eastAsia="仿宋" w:cs="仿宋"/>
        </w:rPr>
        <w:t>万元，其中流动负债</w:t>
      </w:r>
      <w:r>
        <w:rPr>
          <w:rFonts w:hint="eastAsia" w:ascii="仿宋" w:hAnsi="仿宋" w:eastAsia="仿宋" w:cs="仿宋"/>
          <w:lang w:val="en-US" w:eastAsia="zh-CN"/>
        </w:rPr>
        <w:t>4075.61</w:t>
      </w:r>
      <w:r>
        <w:rPr>
          <w:rFonts w:hint="eastAsia" w:ascii="仿宋" w:hAnsi="仿宋" w:eastAsia="仿宋" w:cs="仿宋"/>
        </w:rPr>
        <w:t>万元，非流动负债</w:t>
      </w:r>
      <w:r>
        <w:rPr>
          <w:rFonts w:hint="eastAsia" w:ascii="仿宋" w:hAnsi="仿宋" w:eastAsia="仿宋" w:cs="仿宋"/>
          <w:lang w:val="en-US" w:eastAsia="zh-CN"/>
        </w:rPr>
        <w:t>2343.24</w:t>
      </w:r>
      <w:r>
        <w:rPr>
          <w:rFonts w:hint="eastAsia" w:ascii="仿宋" w:hAnsi="仿宋" w:eastAsia="仿宋" w:cs="仿宋"/>
        </w:rPr>
        <w:t>万元，所有者权益总额</w:t>
      </w:r>
      <w:r>
        <w:rPr>
          <w:rFonts w:hint="eastAsia" w:ascii="仿宋" w:hAnsi="仿宋" w:eastAsia="仿宋" w:cs="仿宋"/>
          <w:lang w:val="en-US" w:eastAsia="zh-CN"/>
        </w:rPr>
        <w:t>4406.50</w:t>
      </w:r>
      <w:r>
        <w:rPr>
          <w:rFonts w:hint="eastAsia" w:ascii="仿宋" w:hAnsi="仿宋" w:eastAsia="仿宋" w:cs="仿宋"/>
        </w:rPr>
        <w:t>万元。2021年度营业务收入</w:t>
      </w:r>
      <w:r>
        <w:rPr>
          <w:rFonts w:hint="eastAsia" w:ascii="仿宋" w:hAnsi="仿宋" w:eastAsia="仿宋" w:cs="仿宋"/>
          <w:lang w:val="en-US" w:eastAsia="zh-CN"/>
        </w:rPr>
        <w:t>2621.98</w:t>
      </w:r>
      <w:r>
        <w:rPr>
          <w:rFonts w:hint="eastAsia" w:ascii="仿宋" w:hAnsi="仿宋" w:eastAsia="仿宋" w:cs="仿宋"/>
        </w:rPr>
        <w:t>万元，营业成本</w:t>
      </w:r>
      <w:r>
        <w:rPr>
          <w:rFonts w:hint="eastAsia" w:ascii="仿宋" w:hAnsi="仿宋" w:eastAsia="仿宋" w:cs="仿宋"/>
          <w:lang w:val="en-US" w:eastAsia="zh-CN"/>
        </w:rPr>
        <w:t>2223.29</w:t>
      </w:r>
      <w:r>
        <w:rPr>
          <w:rFonts w:hint="eastAsia" w:ascii="仿宋" w:hAnsi="仿宋" w:eastAsia="仿宋" w:cs="仿宋"/>
        </w:rPr>
        <w:t>万元，净利润</w:t>
      </w:r>
      <w:r>
        <w:rPr>
          <w:rFonts w:hint="eastAsia" w:ascii="仿宋" w:hAnsi="仿宋" w:eastAsia="仿宋" w:cs="仿宋"/>
          <w:lang w:val="en-US" w:eastAsia="zh-CN"/>
        </w:rPr>
        <w:t>23.82</w:t>
      </w:r>
      <w:r>
        <w:rPr>
          <w:rFonts w:hint="eastAsia" w:ascii="仿宋" w:hAnsi="仿宋" w:eastAsia="仿宋" w:cs="仿宋"/>
        </w:rPr>
        <w:t>万元</w:t>
      </w:r>
      <w:r>
        <w:rPr>
          <w:rFonts w:hint="eastAsia" w:ascii="仿宋" w:hAnsi="仿宋" w:eastAsia="仿宋" w:cs="仿宋"/>
          <w:lang w:val="en-US" w:eastAsia="zh-CN"/>
        </w:rPr>
        <w:t>。</w:t>
      </w:r>
    </w:p>
    <w:p>
      <w:pPr>
        <w:pStyle w:val="6"/>
        <w:adjustRightInd w:val="0"/>
        <w:snapToGrid w:val="0"/>
        <w:spacing w:line="360" w:lineRule="auto"/>
        <w:ind w:firstLine="602"/>
        <w:rPr>
          <w:rFonts w:hint="default" w:ascii="仿宋" w:hAnsi="仿宋" w:eastAsia="仿宋" w:cs="仿宋"/>
          <w:highlight w:val="none"/>
          <w:lang w:val="en-US" w:eastAsia="zh-CN"/>
        </w:rPr>
      </w:pPr>
      <w:r>
        <w:rPr>
          <w:rFonts w:hint="eastAsia" w:ascii="仿宋" w:hAnsi="仿宋" w:eastAsia="仿宋" w:cs="仿宋"/>
          <w:b/>
          <w:bCs/>
          <w:highlight w:val="none"/>
          <w:lang w:val="en-US" w:eastAsia="zh-CN"/>
        </w:rPr>
        <w:t>华丰粮油购销公司2022年企业财务状况。</w:t>
      </w:r>
      <w:r>
        <w:rPr>
          <w:rFonts w:hint="eastAsia" w:ascii="仿宋" w:hAnsi="仿宋" w:eastAsia="仿宋" w:cs="仿宋"/>
        </w:rPr>
        <w:t>根据</w:t>
      </w:r>
      <w:r>
        <w:rPr>
          <w:rFonts w:hint="eastAsia" w:ascii="仿宋" w:hAnsi="仿宋" w:eastAsia="仿宋" w:cs="仿宋"/>
          <w:highlight w:val="none"/>
          <w:lang w:val="en-US" w:eastAsia="zh-CN"/>
        </w:rPr>
        <w:t>华丰粮油购销公司</w:t>
      </w:r>
      <w:r>
        <w:rPr>
          <w:rFonts w:hint="eastAsia" w:ascii="仿宋" w:hAnsi="仿宋" w:eastAsia="仿宋" w:cs="仿宋"/>
        </w:rPr>
        <w:t>提供的审计报告，截至202</w:t>
      </w:r>
      <w:r>
        <w:rPr>
          <w:rFonts w:hint="eastAsia" w:ascii="仿宋" w:hAnsi="仿宋" w:eastAsia="仿宋" w:cs="仿宋"/>
          <w:lang w:val="en-US" w:eastAsia="zh-CN"/>
        </w:rPr>
        <w:t>2</w:t>
      </w:r>
      <w:r>
        <w:rPr>
          <w:rFonts w:hint="eastAsia" w:ascii="仿宋" w:hAnsi="仿宋" w:eastAsia="仿宋" w:cs="仿宋"/>
        </w:rPr>
        <w:t>年12月31日，</w:t>
      </w:r>
      <w:r>
        <w:rPr>
          <w:rFonts w:hint="eastAsia" w:ascii="仿宋" w:hAnsi="仿宋" w:eastAsia="仿宋" w:cs="仿宋"/>
          <w:highlight w:val="none"/>
          <w:lang w:val="en-US" w:eastAsia="zh-CN"/>
        </w:rPr>
        <w:t>华丰粮油购销公司</w:t>
      </w:r>
      <w:r>
        <w:rPr>
          <w:rFonts w:hint="eastAsia" w:ascii="仿宋" w:hAnsi="仿宋" w:eastAsia="仿宋" w:cs="仿宋"/>
        </w:rPr>
        <w:t>资产总额</w:t>
      </w:r>
      <w:r>
        <w:rPr>
          <w:rFonts w:hint="eastAsia" w:ascii="仿宋" w:hAnsi="仿宋" w:eastAsia="仿宋" w:cs="仿宋"/>
          <w:lang w:val="en-US" w:eastAsia="zh-CN"/>
        </w:rPr>
        <w:t>10425.74</w:t>
      </w:r>
      <w:r>
        <w:rPr>
          <w:rFonts w:hint="eastAsia" w:ascii="仿宋" w:hAnsi="仿宋" w:eastAsia="仿宋" w:cs="仿宋"/>
        </w:rPr>
        <w:t>万元，其中流动资产</w:t>
      </w:r>
      <w:r>
        <w:rPr>
          <w:rFonts w:hint="eastAsia" w:ascii="仿宋" w:hAnsi="仿宋" w:eastAsia="仿宋" w:cs="仿宋"/>
          <w:lang w:val="en-US" w:eastAsia="zh-CN"/>
        </w:rPr>
        <w:t>5831.92</w:t>
      </w:r>
      <w:r>
        <w:rPr>
          <w:rFonts w:hint="eastAsia" w:ascii="仿宋" w:hAnsi="仿宋" w:eastAsia="仿宋" w:cs="仿宋"/>
        </w:rPr>
        <w:t>万元，非流动资产</w:t>
      </w:r>
      <w:r>
        <w:rPr>
          <w:rFonts w:hint="eastAsia" w:ascii="仿宋" w:hAnsi="仿宋" w:eastAsia="仿宋" w:cs="仿宋"/>
          <w:lang w:val="en-US" w:eastAsia="zh-CN"/>
        </w:rPr>
        <w:t>4593.81</w:t>
      </w:r>
      <w:r>
        <w:rPr>
          <w:rFonts w:hint="eastAsia" w:ascii="仿宋" w:hAnsi="仿宋" w:eastAsia="仿宋" w:cs="仿宋"/>
        </w:rPr>
        <w:t>万元；负债总额</w:t>
      </w:r>
      <w:r>
        <w:rPr>
          <w:rFonts w:hint="eastAsia" w:ascii="仿宋" w:hAnsi="仿宋" w:eastAsia="仿宋" w:cs="仿宋"/>
          <w:lang w:val="en-US" w:eastAsia="zh-CN"/>
        </w:rPr>
        <w:t>6623.65</w:t>
      </w:r>
      <w:r>
        <w:rPr>
          <w:rFonts w:hint="eastAsia" w:ascii="仿宋" w:hAnsi="仿宋" w:eastAsia="仿宋" w:cs="仿宋"/>
        </w:rPr>
        <w:t>万元，其中流动负债</w:t>
      </w:r>
      <w:r>
        <w:rPr>
          <w:rFonts w:hint="eastAsia" w:ascii="仿宋" w:hAnsi="仿宋" w:eastAsia="仿宋" w:cs="仿宋"/>
          <w:lang w:val="en-US" w:eastAsia="zh-CN"/>
        </w:rPr>
        <w:t>4449.83</w:t>
      </w:r>
      <w:r>
        <w:rPr>
          <w:rFonts w:hint="eastAsia" w:ascii="仿宋" w:hAnsi="仿宋" w:eastAsia="仿宋" w:cs="仿宋"/>
        </w:rPr>
        <w:t>万元，非流动负债</w:t>
      </w:r>
      <w:r>
        <w:rPr>
          <w:rFonts w:hint="eastAsia" w:ascii="仿宋" w:hAnsi="仿宋" w:eastAsia="仿宋" w:cs="仿宋"/>
          <w:lang w:val="en-US" w:eastAsia="zh-CN"/>
        </w:rPr>
        <w:t>2173.81</w:t>
      </w:r>
      <w:r>
        <w:rPr>
          <w:rFonts w:hint="eastAsia" w:ascii="仿宋" w:hAnsi="仿宋" w:eastAsia="仿宋" w:cs="仿宋"/>
        </w:rPr>
        <w:t>万元，所有者权益总额</w:t>
      </w:r>
      <w:r>
        <w:rPr>
          <w:rFonts w:hint="eastAsia" w:ascii="仿宋" w:hAnsi="仿宋" w:eastAsia="仿宋" w:cs="仿宋"/>
          <w:lang w:val="en-US" w:eastAsia="zh-CN"/>
        </w:rPr>
        <w:t>3802.09</w:t>
      </w:r>
      <w:r>
        <w:rPr>
          <w:rFonts w:hint="eastAsia" w:ascii="仿宋" w:hAnsi="仿宋" w:eastAsia="仿宋" w:cs="仿宋"/>
        </w:rPr>
        <w:t>万元。2021年度营业务收入</w:t>
      </w:r>
      <w:r>
        <w:rPr>
          <w:rFonts w:hint="eastAsia" w:ascii="仿宋" w:hAnsi="仿宋" w:eastAsia="仿宋" w:cs="仿宋"/>
          <w:lang w:val="en-US" w:eastAsia="zh-CN"/>
        </w:rPr>
        <w:t>996.57</w:t>
      </w:r>
      <w:r>
        <w:rPr>
          <w:rFonts w:hint="eastAsia" w:ascii="仿宋" w:hAnsi="仿宋" w:eastAsia="仿宋" w:cs="仿宋"/>
        </w:rPr>
        <w:t>万元，营业成本</w:t>
      </w:r>
      <w:r>
        <w:rPr>
          <w:rFonts w:hint="eastAsia" w:ascii="仿宋" w:hAnsi="仿宋" w:eastAsia="仿宋" w:cs="仿宋"/>
          <w:lang w:val="en-US" w:eastAsia="zh-CN"/>
        </w:rPr>
        <w:t>906.76</w:t>
      </w:r>
      <w:r>
        <w:rPr>
          <w:rFonts w:hint="eastAsia" w:ascii="仿宋" w:hAnsi="仿宋" w:eastAsia="仿宋" w:cs="仿宋"/>
        </w:rPr>
        <w:t>万元，净利润</w:t>
      </w:r>
      <w:r>
        <w:rPr>
          <w:rFonts w:hint="eastAsia" w:ascii="仿宋" w:hAnsi="仿宋" w:eastAsia="仿宋" w:cs="仿宋"/>
          <w:lang w:val="en-US" w:eastAsia="zh-CN"/>
        </w:rPr>
        <w:t>-378.98</w:t>
      </w:r>
      <w:r>
        <w:rPr>
          <w:rFonts w:hint="eastAsia" w:ascii="仿宋" w:hAnsi="仿宋" w:eastAsia="仿宋" w:cs="仿宋"/>
        </w:rPr>
        <w:t>万元</w:t>
      </w:r>
      <w:r>
        <w:rPr>
          <w:rFonts w:hint="eastAsia" w:ascii="仿宋" w:hAnsi="仿宋" w:eastAsia="仿宋" w:cs="仿宋"/>
          <w:lang w:val="en-US" w:eastAsia="zh-CN"/>
        </w:rPr>
        <w:t>。</w:t>
      </w:r>
    </w:p>
    <w:p>
      <w:pPr>
        <w:adjustRightInd w:val="0"/>
        <w:snapToGrid w:val="0"/>
        <w:spacing w:line="360" w:lineRule="auto"/>
        <w:ind w:firstLine="602" w:firstLineChars="200"/>
        <w:outlineLvl w:val="1"/>
        <w:rPr>
          <w:rFonts w:ascii="楷体" w:hAnsi="楷体" w:eastAsia="楷体"/>
          <w:b/>
          <w:sz w:val="30"/>
          <w:szCs w:val="30"/>
        </w:rPr>
      </w:pPr>
      <w:bookmarkStart w:id="3" w:name="_Toc24445955"/>
      <w:bookmarkStart w:id="4" w:name="_Toc518984420"/>
      <w:bookmarkStart w:id="5" w:name="_Toc42518860"/>
      <w:r>
        <w:rPr>
          <w:rFonts w:ascii="楷体" w:hAnsi="楷体" w:eastAsia="楷体"/>
          <w:b/>
          <w:sz w:val="30"/>
          <w:szCs w:val="30"/>
        </w:rPr>
        <w:t>（二）</w:t>
      </w:r>
      <w:bookmarkEnd w:id="3"/>
      <w:bookmarkEnd w:id="4"/>
      <w:bookmarkEnd w:id="5"/>
      <w:r>
        <w:rPr>
          <w:rFonts w:hint="eastAsia" w:ascii="楷体" w:hAnsi="楷体" w:eastAsia="楷体"/>
          <w:b/>
          <w:sz w:val="30"/>
          <w:szCs w:val="30"/>
        </w:rPr>
        <w:t>项目基本情况</w:t>
      </w:r>
    </w:p>
    <w:p>
      <w:pPr>
        <w:adjustRightInd w:val="0"/>
        <w:snapToGrid w:val="0"/>
        <w:spacing w:line="360" w:lineRule="auto"/>
        <w:ind w:firstLine="602" w:firstLineChars="200"/>
        <w:outlineLvl w:val="2"/>
        <w:rPr>
          <w:rFonts w:hint="eastAsia" w:ascii="仿宋" w:hAnsi="仿宋" w:eastAsia="仿宋" w:cs="仿宋"/>
          <w:b/>
          <w:sz w:val="30"/>
          <w:szCs w:val="30"/>
          <w:lang w:eastAsia="zh-Hans"/>
        </w:rPr>
      </w:pPr>
      <w:r>
        <w:rPr>
          <w:rFonts w:hint="eastAsia" w:ascii="仿宋" w:hAnsi="仿宋" w:eastAsia="仿宋" w:cs="仿宋"/>
          <w:b/>
          <w:sz w:val="30"/>
          <w:szCs w:val="30"/>
          <w:lang w:eastAsia="zh-Hans"/>
        </w:rPr>
        <w:t>1.项目背景及内容</w:t>
      </w:r>
    </w:p>
    <w:p>
      <w:pPr>
        <w:adjustRightInd w:val="0"/>
        <w:snapToGrid w:val="0"/>
        <w:spacing w:line="360" w:lineRule="auto"/>
        <w:ind w:firstLine="600" w:firstLineChars="200"/>
        <w:rPr>
          <w:rFonts w:hint="eastAsia" w:ascii="仿宋" w:hAnsi="仿宋" w:eastAsia="仿宋" w:cs="仿宋"/>
          <w:bCs/>
          <w:kern w:val="0"/>
          <w:sz w:val="30"/>
          <w:szCs w:val="30"/>
        </w:rPr>
      </w:pPr>
      <w:r>
        <w:rPr>
          <w:rFonts w:hint="eastAsia" w:ascii="仿宋" w:hAnsi="仿宋" w:eastAsia="仿宋" w:cs="仿宋"/>
          <w:sz w:val="30"/>
          <w:szCs w:val="30"/>
          <w:lang w:eastAsia="zh-Hans"/>
        </w:rPr>
        <w:t>中国经历了几千年的农业社会，创造了辉煌的农耕文明，历史积淀下来的优秀传统文化依靠乡村社会的维系和传承</w:t>
      </w:r>
      <w:r>
        <w:rPr>
          <w:rFonts w:hint="eastAsia" w:ascii="仿宋" w:hAnsi="仿宋" w:eastAsia="仿宋" w:cs="仿宋"/>
          <w:sz w:val="30"/>
          <w:szCs w:val="30"/>
        </w:rPr>
        <w:t>，乡村振兴战略对于全面建设社会主义现代化国家具有全局性和历史性意义。近年来，伊金霍洛旗农牧业质量效益和竞争力有待提升，巩固拓展脱贫攻坚成果任务比较艰巨，面临诸多风险挑战。2021年11月国务院印发《“十四五”推进农业农村现代化规划》，提出要把产业链主体留在县城，支持农产品加工业向县域布局，引导农产品加工流通企业在有条件镇（乡）所在地建设加工园区和物流节点，实现加工在乡镇、基地在村、增收在户。为贯彻国家相关政策要求，2021年12月内蒙古自治区人民政府印发了《内蒙古自治区“十四五”推进农牧业农村牧区现代化发展规划》，明确提出“推进农牧业全产业链开发及乡村建设和治理，促进农牧业农村牧区可持续发展，促进农牧民共同富裕，促进乡村全面振兴”。云东集团结合伊金霍洛旗农牧业发展短板以及巩固拓展脱贫攻坚成果任务，提出实施云东食品加工物流园区基础设施建设项目和公尼召村醋厂建设项目，以此来满足城乡居民不断增长的消费需求，提高当地果蔬等贮存、加工和配送能力，带动发展当地周边农牧民农作物的种植、销售、加工途径，有效促进当地农牧民经济发展现状，从而达成产业带动帮扶贫困就业的目的。</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jc w:val="left"/>
        <w:textAlignment w:val="auto"/>
        <w:rPr>
          <w:rFonts w:hint="eastAsia" w:ascii="仿宋" w:hAnsi="仿宋" w:eastAsia="仿宋" w:cs="仿宋"/>
          <w:bCs/>
          <w:caps/>
          <w:sz w:val="30"/>
          <w:szCs w:val="30"/>
        </w:rPr>
      </w:pPr>
      <w:r>
        <w:rPr>
          <w:rFonts w:hint="eastAsia" w:ascii="仿宋" w:hAnsi="仿宋" w:eastAsia="仿宋" w:cs="仿宋"/>
          <w:b/>
          <w:caps/>
          <w:sz w:val="30"/>
          <w:szCs w:val="30"/>
        </w:rPr>
        <w:t>云东食品加工物流园区基础设施建设项目</w:t>
      </w:r>
      <w:r>
        <w:rPr>
          <w:rFonts w:hint="eastAsia" w:ascii="仿宋" w:hAnsi="仿宋" w:eastAsia="仿宋" w:cs="仿宋"/>
          <w:b/>
          <w:caps/>
          <w:sz w:val="30"/>
          <w:szCs w:val="30"/>
          <w:lang w:eastAsia="zh-CN"/>
        </w:rPr>
        <w:t>。</w:t>
      </w:r>
      <w:r>
        <w:rPr>
          <w:rFonts w:hint="eastAsia" w:ascii="仿宋" w:hAnsi="仿宋" w:eastAsia="仿宋" w:cs="仿宋"/>
          <w:b/>
          <w:caps/>
          <w:sz w:val="30"/>
          <w:szCs w:val="30"/>
          <w:lang w:val="en-US" w:eastAsia="zh-CN"/>
        </w:rPr>
        <w:t>项目</w:t>
      </w:r>
      <w:r>
        <w:rPr>
          <w:rFonts w:hint="eastAsia" w:ascii="仿宋" w:hAnsi="仿宋" w:eastAsia="仿宋" w:cs="仿宋"/>
          <w:bCs/>
          <w:caps/>
          <w:sz w:val="30"/>
          <w:szCs w:val="30"/>
        </w:rPr>
        <w:t>总占地面积为</w:t>
      </w:r>
      <w:r>
        <w:rPr>
          <w:rFonts w:hint="eastAsia" w:ascii="仿宋" w:hAnsi="仿宋" w:eastAsia="仿宋" w:cs="仿宋"/>
          <w:bCs/>
          <w:caps/>
          <w:sz w:val="30"/>
          <w:szCs w:val="30"/>
          <w:highlight w:val="none"/>
        </w:rPr>
        <w:t>78901.30平方米（合118.3520亩），总建筑面积为</w:t>
      </w:r>
      <w:r>
        <w:rPr>
          <w:rFonts w:hint="eastAsia" w:ascii="仿宋" w:hAnsi="仿宋" w:eastAsia="仿宋" w:cs="仿宋"/>
          <w:bCs/>
          <w:caps/>
          <w:sz w:val="30"/>
          <w:szCs w:val="30"/>
          <w:highlight w:val="none"/>
          <w:lang w:val="en-US" w:eastAsia="zh-CN"/>
        </w:rPr>
        <w:t>67488.14</w:t>
      </w:r>
      <w:r>
        <w:rPr>
          <w:rFonts w:hint="eastAsia" w:ascii="仿宋" w:hAnsi="仿宋" w:eastAsia="仿宋" w:cs="仿宋"/>
          <w:bCs/>
          <w:caps/>
          <w:sz w:val="30"/>
          <w:szCs w:val="30"/>
          <w:highlight w:val="none"/>
        </w:rPr>
        <w:t>平方米，其中地上建筑面积为</w:t>
      </w:r>
      <w:r>
        <w:rPr>
          <w:rFonts w:hint="eastAsia" w:ascii="仿宋" w:hAnsi="仿宋" w:eastAsia="仿宋" w:cs="仿宋"/>
          <w:bCs/>
          <w:caps/>
          <w:sz w:val="30"/>
          <w:szCs w:val="30"/>
          <w:highlight w:val="none"/>
          <w:lang w:val="en-US" w:eastAsia="zh-CN"/>
        </w:rPr>
        <w:t>65312.35</w:t>
      </w:r>
      <w:r>
        <w:rPr>
          <w:rFonts w:hint="eastAsia" w:ascii="仿宋" w:hAnsi="仿宋" w:eastAsia="仿宋" w:cs="仿宋"/>
          <w:bCs/>
          <w:caps/>
          <w:sz w:val="30"/>
          <w:szCs w:val="30"/>
          <w:highlight w:val="none"/>
        </w:rPr>
        <w:t>平方米，</w:t>
      </w:r>
      <w:r>
        <w:rPr>
          <w:rFonts w:hint="eastAsia" w:ascii="仿宋" w:hAnsi="仿宋" w:eastAsia="仿宋" w:cs="仿宋"/>
          <w:bCs/>
          <w:caps/>
          <w:sz w:val="30"/>
          <w:szCs w:val="30"/>
        </w:rPr>
        <w:t>主要建设办公区/食品药品检验检测中心、仓储区、食品加工区等；地下建筑面积为15300平方米，主要建设地下动力中心及其他附属配套用房；并配套建设相应的绿化、道路硬化、停车位、给排水、强弱电、供暖等相关辅助设施等</w:t>
      </w:r>
      <w:r>
        <w:rPr>
          <w:rFonts w:hint="eastAsia" w:ascii="仿宋" w:hAnsi="仿宋" w:eastAsia="仿宋" w:cs="仿宋"/>
          <w:bCs/>
          <w:caps/>
          <w:sz w:val="30"/>
          <w:szCs w:val="30"/>
          <w:lang w:eastAsia="zh-CN"/>
        </w:rPr>
        <w:t>，云东食品加工物流园区</w:t>
      </w:r>
      <w:r>
        <w:rPr>
          <w:rFonts w:hint="eastAsia" w:ascii="仿宋" w:hAnsi="仿宋" w:eastAsia="仿宋" w:cs="仿宋"/>
          <w:bCs/>
          <w:caps/>
          <w:sz w:val="30"/>
          <w:szCs w:val="30"/>
          <w:lang w:val="en-US" w:eastAsia="zh-CN"/>
        </w:rPr>
        <w:t>现已投入运营，</w:t>
      </w:r>
      <w:r>
        <w:rPr>
          <w:rFonts w:hint="eastAsia" w:ascii="仿宋" w:hAnsi="仿宋" w:eastAsia="仿宋" w:cs="仿宋"/>
          <w:bCs/>
          <w:caps/>
          <w:sz w:val="30"/>
          <w:szCs w:val="30"/>
        </w:rPr>
        <w:t>建设期为</w:t>
      </w:r>
      <w:r>
        <w:rPr>
          <w:rFonts w:hint="eastAsia" w:ascii="仿宋" w:hAnsi="仿宋" w:eastAsia="仿宋" w:cs="仿宋"/>
          <w:bCs/>
          <w:caps/>
          <w:sz w:val="30"/>
          <w:szCs w:val="30"/>
          <w:highlight w:val="none"/>
        </w:rPr>
        <w:t>2019年6月至2021年5月。</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2"/>
        <w:rPr>
          <w:rFonts w:hint="eastAsia" w:ascii="仿宋" w:hAnsi="仿宋" w:eastAsia="仿宋" w:cs="仿宋"/>
          <w:bCs/>
          <w:caps/>
          <w:sz w:val="30"/>
          <w:szCs w:val="30"/>
        </w:rPr>
      </w:pPr>
      <w:r>
        <w:rPr>
          <w:rFonts w:hint="eastAsia" w:ascii="仿宋" w:hAnsi="仿宋" w:eastAsia="仿宋" w:cs="仿宋"/>
          <w:b/>
          <w:caps/>
          <w:sz w:val="30"/>
          <w:szCs w:val="30"/>
        </w:rPr>
        <w:t>公尼召村醋厂建设项目</w:t>
      </w:r>
      <w:r>
        <w:rPr>
          <w:rFonts w:hint="eastAsia" w:ascii="仿宋" w:hAnsi="仿宋" w:eastAsia="仿宋" w:cs="仿宋"/>
          <w:b/>
          <w:caps/>
          <w:sz w:val="30"/>
          <w:szCs w:val="30"/>
          <w:lang w:eastAsia="zh-CN"/>
        </w:rPr>
        <w:t>。</w:t>
      </w:r>
      <w:r>
        <w:rPr>
          <w:rFonts w:hint="eastAsia" w:ascii="仿宋" w:hAnsi="仿宋" w:eastAsia="仿宋" w:cs="仿宋"/>
          <w:b/>
          <w:caps/>
          <w:sz w:val="30"/>
          <w:szCs w:val="30"/>
          <w:lang w:val="en-US" w:eastAsia="zh-CN"/>
        </w:rPr>
        <w:t>项目</w:t>
      </w:r>
      <w:r>
        <w:rPr>
          <w:rFonts w:hint="eastAsia" w:ascii="仿宋" w:hAnsi="仿宋" w:eastAsia="仿宋" w:cs="仿宋"/>
          <w:bCs/>
          <w:caps/>
          <w:sz w:val="30"/>
          <w:szCs w:val="30"/>
        </w:rPr>
        <w:t>建于伊金霍洛镇公尼召村公尼召</w:t>
      </w:r>
      <w:r>
        <w:rPr>
          <w:rFonts w:hint="eastAsia" w:ascii="仿宋" w:hAnsi="仿宋" w:eastAsia="仿宋" w:cs="仿宋"/>
          <w:bCs/>
          <w:caps/>
          <w:sz w:val="30"/>
          <w:szCs w:val="30"/>
          <w:lang w:val="en-US" w:eastAsia="zh-CN"/>
        </w:rPr>
        <w:t>粮</w:t>
      </w:r>
      <w:r>
        <w:rPr>
          <w:rFonts w:hint="eastAsia" w:ascii="仿宋" w:hAnsi="仿宋" w:eastAsia="仿宋" w:cs="仿宋"/>
          <w:bCs/>
          <w:caps/>
          <w:sz w:val="30"/>
          <w:szCs w:val="30"/>
        </w:rPr>
        <w:t>库原址内，总占地面积4261.26平米，主要建设内容包括改造原有建筑962平米，新建厂房</w:t>
      </w:r>
      <w:r>
        <w:rPr>
          <w:rFonts w:hint="eastAsia" w:ascii="仿宋" w:hAnsi="仿宋" w:eastAsia="仿宋" w:cs="仿宋"/>
          <w:bCs/>
          <w:caps/>
          <w:sz w:val="30"/>
          <w:szCs w:val="30"/>
          <w:highlight w:val="none"/>
          <w:lang w:val="en-US" w:eastAsia="zh-CN"/>
        </w:rPr>
        <w:t>1150</w:t>
      </w:r>
      <w:r>
        <w:rPr>
          <w:rFonts w:hint="eastAsia" w:ascii="仿宋" w:hAnsi="仿宋" w:eastAsia="仿宋" w:cs="仿宋"/>
          <w:bCs/>
          <w:caps/>
          <w:sz w:val="30"/>
          <w:szCs w:val="30"/>
        </w:rPr>
        <w:t>平米，配置食用醋生产设备。建设期自2019年6月至2019年10月。</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2"/>
        <w:rPr>
          <w:rFonts w:hint="eastAsia" w:ascii="仿宋" w:hAnsi="仿宋" w:eastAsia="仿宋" w:cs="仿宋"/>
          <w:b/>
          <w:sz w:val="30"/>
          <w:szCs w:val="30"/>
          <w:lang w:eastAsia="zh-Hans"/>
        </w:rPr>
      </w:pPr>
      <w:r>
        <w:rPr>
          <w:rFonts w:hint="eastAsia" w:ascii="仿宋" w:hAnsi="仿宋" w:eastAsia="仿宋" w:cs="仿宋"/>
          <w:b/>
          <w:sz w:val="30"/>
          <w:szCs w:val="30"/>
          <w:lang w:eastAsia="zh-Hans"/>
        </w:rPr>
        <w:t>2.项目实施情况</w:t>
      </w:r>
    </w:p>
    <w:p>
      <w:pPr>
        <w:pStyle w:val="17"/>
        <w:keepNext w:val="0"/>
        <w:keepLines w:val="0"/>
        <w:pageBreakBefore w:val="0"/>
        <w:widowControl w:val="0"/>
        <w:kinsoku/>
        <w:wordWrap/>
        <w:overflowPunct/>
        <w:topLinePunct w:val="0"/>
        <w:autoSpaceDE/>
        <w:autoSpaceDN/>
        <w:bidi w:val="0"/>
        <w:adjustRightInd w:val="0"/>
        <w:snapToGrid w:val="0"/>
        <w:spacing w:before="0" w:after="0" w:line="360" w:lineRule="auto"/>
        <w:ind w:firstLine="602" w:firstLineChars="200"/>
        <w:jc w:val="left"/>
        <w:textAlignment w:val="auto"/>
        <w:outlineLvl w:val="9"/>
        <w:rPr>
          <w:rFonts w:hint="eastAsia" w:ascii="仿宋" w:hAnsi="仿宋" w:eastAsia="仿宋" w:cs="仿宋"/>
          <w:b w:val="0"/>
          <w:bCs w:val="0"/>
          <w:sz w:val="30"/>
          <w:szCs w:val="30"/>
        </w:rPr>
      </w:pPr>
      <w:r>
        <w:rPr>
          <w:rFonts w:hint="eastAsia" w:ascii="仿宋" w:hAnsi="仿宋" w:eastAsia="仿宋" w:cs="仿宋"/>
          <w:caps/>
          <w:sz w:val="30"/>
          <w:szCs w:val="30"/>
        </w:rPr>
        <w:t>云东食品加工物流园区基础设施建设项目。</w:t>
      </w:r>
      <w:r>
        <w:rPr>
          <w:rFonts w:hint="eastAsia" w:ascii="仿宋" w:hAnsi="仿宋" w:eastAsia="仿宋" w:cs="仿宋"/>
          <w:b w:val="0"/>
          <w:sz w:val="30"/>
          <w:szCs w:val="30"/>
        </w:rPr>
        <w:t>截</w:t>
      </w:r>
      <w:r>
        <w:rPr>
          <w:rFonts w:hint="eastAsia" w:ascii="仿宋" w:hAnsi="仿宋" w:eastAsia="仿宋" w:cs="仿宋"/>
          <w:b w:val="0"/>
          <w:sz w:val="30"/>
          <w:szCs w:val="30"/>
          <w:lang w:eastAsia="zh-CN"/>
        </w:rPr>
        <w:t>至</w:t>
      </w:r>
      <w:r>
        <w:rPr>
          <w:rFonts w:hint="eastAsia" w:ascii="仿宋" w:hAnsi="仿宋" w:eastAsia="仿宋" w:cs="仿宋"/>
          <w:b w:val="0"/>
          <w:sz w:val="30"/>
          <w:szCs w:val="30"/>
        </w:rPr>
        <w:t>目前，仓储区（1#、2#楼）、加工区（3#、4#楼）、检测区（5号楼）</w:t>
      </w:r>
      <w:r>
        <w:rPr>
          <w:rFonts w:hint="eastAsia" w:ascii="仿宋" w:hAnsi="仿宋" w:eastAsia="仿宋" w:cs="仿宋"/>
          <w:b w:val="0"/>
          <w:bCs w:val="0"/>
          <w:sz w:val="30"/>
          <w:szCs w:val="30"/>
        </w:rPr>
        <w:t>主体工程施工已基本完成，除绿化工程完成30%其他景观工程已基本完成，管网工程已全部完成，升级改造工程正在设计。</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eastAsia="仿宋_GB2312"/>
          <w:highlight w:val="yellow"/>
        </w:rPr>
      </w:pPr>
      <w:r>
        <w:rPr>
          <w:rFonts w:hint="eastAsia" w:ascii="仿宋" w:hAnsi="仿宋" w:eastAsia="仿宋" w:cs="仿宋"/>
          <w:b/>
          <w:caps/>
          <w:sz w:val="30"/>
          <w:szCs w:val="30"/>
        </w:rPr>
        <w:t>公尼召村醋厂建设项目。</w:t>
      </w:r>
      <w:r>
        <w:rPr>
          <w:rFonts w:hint="eastAsia" w:ascii="仿宋" w:hAnsi="仿宋" w:eastAsia="仿宋" w:cs="仿宋"/>
          <w:sz w:val="30"/>
          <w:szCs w:val="30"/>
        </w:rPr>
        <w:t>截至目前，已完成</w:t>
      </w:r>
      <w:r>
        <w:rPr>
          <w:rFonts w:hint="eastAsia" w:ascii="仿宋_GB2312" w:hAnsi="仿宋_GB2312" w:eastAsia="仿宋_GB2312" w:cs="仿宋_GB2312"/>
          <w:sz w:val="28"/>
          <w:szCs w:val="28"/>
        </w:rPr>
        <w:t>新建醋发酵厂地及购买生产设备，并完善排污管道、环保等配套设施及场地硬化等。</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2"/>
        <w:rPr>
          <w:rFonts w:hint="eastAsia" w:ascii="仿宋" w:hAnsi="仿宋" w:eastAsia="仿宋" w:cs="仿宋"/>
          <w:b/>
          <w:sz w:val="30"/>
          <w:szCs w:val="30"/>
          <w:lang w:eastAsia="zh-Hans"/>
        </w:rPr>
      </w:pPr>
      <w:r>
        <w:rPr>
          <w:rFonts w:hint="eastAsia" w:ascii="仿宋" w:hAnsi="仿宋" w:eastAsia="仿宋" w:cs="仿宋"/>
          <w:b/>
          <w:sz w:val="30"/>
          <w:szCs w:val="30"/>
          <w:lang w:eastAsia="zh-Hans"/>
        </w:rPr>
        <w:t>3.项目资金情况</w:t>
      </w:r>
    </w:p>
    <w:p>
      <w:pPr>
        <w:pStyle w:val="17"/>
        <w:keepNext w:val="0"/>
        <w:keepLines w:val="0"/>
        <w:pageBreakBefore w:val="0"/>
        <w:widowControl w:val="0"/>
        <w:kinsoku/>
        <w:wordWrap/>
        <w:overflowPunct/>
        <w:topLinePunct w:val="0"/>
        <w:autoSpaceDE/>
        <w:autoSpaceDN/>
        <w:bidi w:val="0"/>
        <w:adjustRightInd w:val="0"/>
        <w:snapToGrid w:val="0"/>
        <w:spacing w:before="0" w:after="0" w:line="360" w:lineRule="auto"/>
        <w:ind w:firstLine="602" w:firstLineChars="200"/>
        <w:jc w:val="left"/>
        <w:textAlignment w:val="auto"/>
        <w:outlineLvl w:val="9"/>
        <w:rPr>
          <w:rFonts w:hint="eastAsia" w:ascii="仿宋" w:hAnsi="仿宋" w:eastAsia="仿宋" w:cs="仿宋"/>
          <w:b w:val="0"/>
          <w:bCs w:val="0"/>
          <w:sz w:val="30"/>
          <w:szCs w:val="30"/>
        </w:rPr>
      </w:pPr>
      <w:r>
        <w:rPr>
          <w:rFonts w:hint="eastAsia" w:ascii="仿宋" w:hAnsi="仿宋" w:eastAsia="仿宋" w:cs="仿宋"/>
          <w:sz w:val="30"/>
          <w:szCs w:val="30"/>
          <w:lang w:eastAsia="zh-Hans"/>
        </w:rPr>
        <w:t>云东食品加工物流园区基础设施建设项目</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项目</w:t>
      </w:r>
      <w:r>
        <w:rPr>
          <w:rFonts w:hint="eastAsia" w:ascii="仿宋" w:hAnsi="仿宋" w:eastAsia="仿宋" w:cs="仿宋"/>
          <w:b w:val="0"/>
          <w:bCs w:val="0"/>
          <w:sz w:val="30"/>
          <w:szCs w:val="30"/>
        </w:rPr>
        <w:t>总投资3.7亿，资金主要用于建设地上建筑：办公区/食品药品检验检测中心、仓储区、食品加工区等；地下建筑：地下动力中心及其他附属配套用房；并配套建设相应的绿化、道路硬化、停车位、给排水、强弱电、供暖等相关辅助设施费用等。</w:t>
      </w:r>
    </w:p>
    <w:p>
      <w:pPr>
        <w:pStyle w:val="17"/>
        <w:keepNext w:val="0"/>
        <w:keepLines w:val="0"/>
        <w:pageBreakBefore w:val="0"/>
        <w:widowControl w:val="0"/>
        <w:kinsoku/>
        <w:wordWrap/>
        <w:overflowPunct/>
        <w:topLinePunct w:val="0"/>
        <w:autoSpaceDE/>
        <w:autoSpaceDN/>
        <w:bidi w:val="0"/>
        <w:adjustRightInd w:val="0"/>
        <w:snapToGrid w:val="0"/>
        <w:spacing w:before="0" w:after="0" w:line="360" w:lineRule="auto"/>
        <w:ind w:firstLine="600" w:firstLineChars="200"/>
        <w:jc w:val="left"/>
        <w:textAlignment w:val="auto"/>
        <w:outlineLvl w:val="9"/>
        <w:rPr>
          <w:rFonts w:hint="eastAsia" w:ascii="仿宋" w:hAnsi="仿宋" w:eastAsia="仿宋" w:cs="仿宋"/>
          <w:b w:val="0"/>
          <w:bCs w:val="0"/>
          <w:sz w:val="30"/>
          <w:szCs w:val="30"/>
          <w:highlight w:val="yellow"/>
        </w:rPr>
      </w:pPr>
      <w:bookmarkStart w:id="6" w:name="_Toc4287"/>
      <w:r>
        <w:rPr>
          <w:rFonts w:hint="eastAsia" w:ascii="仿宋" w:hAnsi="仿宋" w:eastAsia="仿宋" w:cs="仿宋"/>
          <w:b w:val="0"/>
          <w:bCs w:val="0"/>
          <w:sz w:val="30"/>
          <w:szCs w:val="30"/>
        </w:rPr>
        <w:t>2021年度至2022年度，项目共到位资金4237万元，</w:t>
      </w:r>
      <w:r>
        <w:rPr>
          <w:rFonts w:hint="eastAsia" w:ascii="仿宋" w:hAnsi="仿宋" w:eastAsia="仿宋" w:cs="仿宋"/>
          <w:b w:val="0"/>
          <w:bCs w:val="0"/>
          <w:sz w:val="30"/>
          <w:szCs w:val="30"/>
          <w:highlight w:val="none"/>
          <w:lang w:val="en-US" w:eastAsia="zh-CN"/>
        </w:rPr>
        <w:t>其中2900万元</w:t>
      </w:r>
      <w:r>
        <w:rPr>
          <w:rFonts w:hint="eastAsia" w:ascii="仿宋" w:hAnsi="仿宋" w:eastAsia="仿宋" w:cs="仿宋"/>
          <w:b w:val="0"/>
          <w:bCs w:val="0"/>
          <w:sz w:val="30"/>
          <w:szCs w:val="30"/>
          <w:highlight w:val="none"/>
        </w:rPr>
        <w:t>为注册资本金</w:t>
      </w:r>
      <w:r>
        <w:rPr>
          <w:rFonts w:hint="eastAsia" w:ascii="仿宋" w:hAnsi="仿宋" w:eastAsia="仿宋" w:cs="仿宋"/>
          <w:b w:val="0"/>
          <w:bCs w:val="0"/>
          <w:sz w:val="30"/>
          <w:szCs w:val="30"/>
          <w:highlight w:val="none"/>
          <w:lang w:eastAsia="zh-CN"/>
        </w:rPr>
        <w:t>，</w:t>
      </w:r>
      <w:r>
        <w:rPr>
          <w:rFonts w:hint="eastAsia" w:ascii="仿宋" w:hAnsi="仿宋" w:eastAsia="仿宋" w:cs="仿宋"/>
          <w:b w:val="0"/>
          <w:bCs w:val="0"/>
          <w:sz w:val="30"/>
          <w:szCs w:val="30"/>
          <w:highlight w:val="none"/>
          <w:lang w:val="en-US" w:eastAsia="zh-CN"/>
        </w:rPr>
        <w:t>1337万元为补贴资金</w:t>
      </w:r>
      <w:r>
        <w:rPr>
          <w:rFonts w:hint="eastAsia" w:ascii="仿宋" w:hAnsi="仿宋" w:eastAsia="仿宋" w:cs="仿宋"/>
          <w:b w:val="0"/>
          <w:bCs w:val="0"/>
          <w:sz w:val="30"/>
          <w:szCs w:val="30"/>
          <w:highlight w:val="none"/>
        </w:rPr>
        <w:t>，</w:t>
      </w:r>
      <w:r>
        <w:rPr>
          <w:rFonts w:hint="eastAsia" w:ascii="仿宋" w:hAnsi="仿宋" w:eastAsia="仿宋" w:cs="仿宋"/>
          <w:b w:val="0"/>
          <w:bCs w:val="0"/>
          <w:sz w:val="30"/>
          <w:szCs w:val="30"/>
        </w:rPr>
        <w:t>实际支出11095.9</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万元(其中6858.9</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万元为2019年度至2020年度财政资金的结余资金),具体</w:t>
      </w:r>
      <w:r>
        <w:rPr>
          <w:rFonts w:hint="eastAsia" w:ascii="仿宋" w:hAnsi="仿宋" w:eastAsia="仿宋" w:cs="仿宋"/>
          <w:b w:val="0"/>
          <w:bCs w:val="0"/>
          <w:sz w:val="30"/>
          <w:szCs w:val="30"/>
          <w:lang w:val="en-US" w:eastAsia="zh-CN"/>
        </w:rPr>
        <w:t>用于</w:t>
      </w:r>
      <w:r>
        <w:rPr>
          <w:rFonts w:hint="eastAsia" w:ascii="仿宋" w:hAnsi="仿宋" w:eastAsia="仿宋" w:cs="仿宋"/>
          <w:b w:val="0"/>
          <w:bCs w:val="0"/>
          <w:sz w:val="30"/>
          <w:szCs w:val="30"/>
        </w:rPr>
        <w:t>支付</w:t>
      </w:r>
      <w:r>
        <w:rPr>
          <w:rFonts w:hint="eastAsia" w:ascii="仿宋" w:hAnsi="仿宋" w:eastAsia="仿宋" w:cs="仿宋"/>
          <w:b w:val="0"/>
          <w:bCs w:val="0"/>
          <w:sz w:val="30"/>
          <w:szCs w:val="30"/>
          <w:highlight w:val="none"/>
        </w:rPr>
        <w:t>设计单位69万元，造价咨询单位</w:t>
      </w:r>
      <w:r>
        <w:rPr>
          <w:rFonts w:hint="eastAsia" w:ascii="仿宋" w:hAnsi="仿宋" w:eastAsia="仿宋" w:cs="仿宋"/>
          <w:b w:val="0"/>
          <w:bCs w:val="0"/>
          <w:sz w:val="30"/>
          <w:szCs w:val="30"/>
          <w:highlight w:val="none"/>
          <w:lang w:val="en-US" w:eastAsia="zh-CN"/>
        </w:rPr>
        <w:t>27.38</w:t>
      </w:r>
      <w:r>
        <w:rPr>
          <w:rFonts w:hint="eastAsia" w:ascii="仿宋" w:hAnsi="仿宋" w:eastAsia="仿宋" w:cs="仿宋"/>
          <w:b w:val="0"/>
          <w:bCs w:val="0"/>
          <w:sz w:val="30"/>
          <w:szCs w:val="30"/>
          <w:highlight w:val="none"/>
        </w:rPr>
        <w:t>万元，施工方8000万元，监理单位230万元，其他费用27</w:t>
      </w:r>
      <w:r>
        <w:rPr>
          <w:rFonts w:hint="eastAsia" w:ascii="仿宋" w:hAnsi="仿宋" w:eastAsia="仿宋" w:cs="仿宋"/>
          <w:b w:val="0"/>
          <w:bCs w:val="0"/>
          <w:sz w:val="30"/>
          <w:szCs w:val="30"/>
          <w:highlight w:val="none"/>
          <w:lang w:val="en-US" w:eastAsia="zh-CN"/>
        </w:rPr>
        <w:t>69.53</w:t>
      </w:r>
      <w:r>
        <w:rPr>
          <w:rFonts w:hint="eastAsia" w:ascii="仿宋" w:hAnsi="仿宋" w:eastAsia="仿宋" w:cs="仿宋"/>
          <w:b w:val="0"/>
          <w:bCs w:val="0"/>
          <w:sz w:val="30"/>
          <w:szCs w:val="30"/>
          <w:highlight w:val="none"/>
        </w:rPr>
        <w:t>万元。</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caps/>
          <w:sz w:val="30"/>
          <w:szCs w:val="30"/>
        </w:rPr>
        <w:t>公尼召村醋厂建设项目。</w:t>
      </w:r>
      <w:r>
        <w:rPr>
          <w:rFonts w:hint="eastAsia" w:ascii="仿宋" w:hAnsi="仿宋" w:eastAsia="仿宋" w:cs="仿宋"/>
          <w:b/>
          <w:caps/>
          <w:sz w:val="30"/>
          <w:szCs w:val="30"/>
          <w:lang w:val="en-US" w:eastAsia="zh-CN"/>
        </w:rPr>
        <w:t>项目</w:t>
      </w:r>
      <w:r>
        <w:rPr>
          <w:rFonts w:hint="eastAsia" w:ascii="仿宋" w:hAnsi="仿宋" w:eastAsia="仿宋" w:cs="仿宋"/>
          <w:sz w:val="30"/>
          <w:szCs w:val="30"/>
        </w:rPr>
        <w:t>总投资500万元，资金主要用于改造原有建筑962平米，新建发酵厂房</w:t>
      </w:r>
      <w:r>
        <w:rPr>
          <w:rFonts w:hint="eastAsia" w:ascii="仿宋" w:hAnsi="仿宋" w:eastAsia="仿宋" w:cs="仿宋"/>
          <w:sz w:val="30"/>
          <w:szCs w:val="30"/>
          <w:lang w:val="en-US" w:eastAsia="zh-CN"/>
        </w:rPr>
        <w:t>1150</w:t>
      </w:r>
      <w:r>
        <w:rPr>
          <w:rFonts w:hint="eastAsia" w:ascii="仿宋" w:hAnsi="仿宋" w:eastAsia="仿宋" w:cs="仿宋"/>
          <w:sz w:val="30"/>
          <w:szCs w:val="30"/>
        </w:rPr>
        <w:t>平米，配置食用醋生产设备、</w:t>
      </w:r>
      <w:r>
        <w:rPr>
          <w:rFonts w:hint="eastAsia" w:ascii="仿宋" w:hAnsi="仿宋" w:eastAsia="仿宋" w:cs="仿宋_GB2312"/>
          <w:sz w:val="30"/>
          <w:szCs w:val="30"/>
        </w:rPr>
        <w:t>完善排污管道及环保等配套设施</w:t>
      </w:r>
      <w:r>
        <w:rPr>
          <w:rFonts w:hint="eastAsia" w:ascii="仿宋" w:hAnsi="仿宋" w:eastAsia="仿宋" w:cs="仿宋"/>
          <w:sz w:val="30"/>
          <w:szCs w:val="30"/>
        </w:rPr>
        <w:t>。</w:t>
      </w:r>
    </w:p>
    <w:p>
      <w:pPr>
        <w:pStyle w:val="17"/>
        <w:keepNext w:val="0"/>
        <w:keepLines w:val="0"/>
        <w:pageBreakBefore w:val="0"/>
        <w:widowControl w:val="0"/>
        <w:kinsoku/>
        <w:wordWrap/>
        <w:overflowPunct/>
        <w:topLinePunct w:val="0"/>
        <w:autoSpaceDE/>
        <w:autoSpaceDN/>
        <w:bidi w:val="0"/>
        <w:adjustRightInd w:val="0"/>
        <w:snapToGrid w:val="0"/>
        <w:spacing w:before="0" w:after="0" w:line="360" w:lineRule="auto"/>
        <w:ind w:firstLine="600" w:firstLineChars="200"/>
        <w:jc w:val="left"/>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2021年度至2022年度，项目共到位资金70万元，全部为注册资本金，实际支出71.43万元(其中1.43万元为企业自筹资金),具体为支付土地出让金</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契税等</w:t>
      </w:r>
      <w:r>
        <w:rPr>
          <w:rFonts w:hint="eastAsia" w:ascii="仿宋" w:hAnsi="仿宋" w:eastAsia="仿宋" w:cs="仿宋"/>
          <w:b w:val="0"/>
          <w:bCs w:val="0"/>
          <w:sz w:val="30"/>
          <w:szCs w:val="30"/>
        </w:rPr>
        <w:t>相关费用5</w:t>
      </w:r>
      <w:r>
        <w:rPr>
          <w:rFonts w:hint="eastAsia" w:ascii="仿宋" w:hAnsi="仿宋" w:eastAsia="仿宋" w:cs="仿宋"/>
          <w:b w:val="0"/>
          <w:bCs w:val="0"/>
          <w:sz w:val="30"/>
          <w:szCs w:val="30"/>
          <w:lang w:val="en-US" w:eastAsia="zh-CN"/>
        </w:rPr>
        <w:t>3.13</w:t>
      </w:r>
      <w:r>
        <w:rPr>
          <w:rFonts w:hint="eastAsia" w:ascii="仿宋" w:hAnsi="仿宋" w:eastAsia="仿宋" w:cs="仿宋"/>
          <w:b w:val="0"/>
          <w:bCs w:val="0"/>
          <w:sz w:val="30"/>
          <w:szCs w:val="30"/>
        </w:rPr>
        <w:t>万元，选址可行性报告编制费用3.30万元，</w:t>
      </w:r>
      <w:r>
        <w:rPr>
          <w:rFonts w:hint="eastAsia" w:ascii="仿宋" w:hAnsi="仿宋" w:eastAsia="仿宋" w:cs="仿宋"/>
          <w:b w:val="0"/>
          <w:bCs w:val="0"/>
          <w:sz w:val="30"/>
          <w:szCs w:val="30"/>
          <w:lang w:val="en-US" w:eastAsia="zh-CN"/>
        </w:rPr>
        <w:t>向子公司伊金霍洛旗华丰盈泰商贸有限公司注资15.00万元，用于</w:t>
      </w:r>
      <w:r>
        <w:rPr>
          <w:rFonts w:hint="eastAsia" w:ascii="仿宋" w:hAnsi="仿宋" w:eastAsia="仿宋" w:cs="仿宋"/>
          <w:b w:val="0"/>
          <w:bCs w:val="0"/>
          <w:sz w:val="30"/>
          <w:szCs w:val="30"/>
        </w:rPr>
        <w:t>购买原材料、调试设备等。</w:t>
      </w:r>
    </w:p>
    <w:p>
      <w:pPr>
        <w:pStyle w:val="61"/>
        <w:spacing w:line="360" w:lineRule="auto"/>
        <w:ind w:firstLine="602"/>
        <w:outlineLvl w:val="0"/>
        <w:rPr>
          <w:rFonts w:ascii="楷体" w:hAnsi="楷体" w:eastAsia="黑体"/>
          <w:b/>
          <w:bCs/>
          <w:sz w:val="30"/>
          <w:szCs w:val="30"/>
        </w:rPr>
      </w:pPr>
      <w:r>
        <w:rPr>
          <w:rFonts w:ascii="Times New Roman" w:hAnsi="Times New Roman" w:eastAsia="黑体"/>
          <w:b w:val="0"/>
          <w:sz w:val="30"/>
          <w:szCs w:val="30"/>
        </w:rPr>
        <w:t>二、</w:t>
      </w:r>
      <w:r>
        <w:rPr>
          <w:rFonts w:hint="eastAsia" w:ascii="Times New Roman" w:hAnsi="Times New Roman" w:eastAsia="黑体"/>
          <w:b/>
          <w:sz w:val="30"/>
          <w:szCs w:val="30"/>
        </w:rPr>
        <w:t>综合评价结论</w:t>
      </w:r>
    </w:p>
    <w:p>
      <w:pPr>
        <w:adjustRightInd w:val="0"/>
        <w:snapToGrid w:val="0"/>
        <w:spacing w:line="360" w:lineRule="auto"/>
        <w:ind w:firstLine="602" w:firstLineChars="200"/>
        <w:rPr>
          <w:rFonts w:hint="eastAsia" w:ascii="仿宋" w:hAnsi="仿宋" w:eastAsia="仿宋" w:cs="仿宋"/>
          <w:b/>
          <w:caps/>
          <w:sz w:val="30"/>
          <w:szCs w:val="30"/>
        </w:rPr>
      </w:pPr>
      <w:r>
        <w:rPr>
          <w:rFonts w:hint="eastAsia" w:ascii="仿宋" w:hAnsi="仿宋" w:eastAsia="仿宋" w:cs="仿宋"/>
          <w:b/>
          <w:caps/>
          <w:sz w:val="30"/>
          <w:szCs w:val="30"/>
        </w:rPr>
        <w:t>该项目绩效评价得分为</w:t>
      </w:r>
      <w:r>
        <w:rPr>
          <w:rFonts w:hint="eastAsia" w:ascii="仿宋" w:hAnsi="仿宋" w:eastAsia="仿宋" w:cs="仿宋"/>
          <w:b/>
          <w:caps/>
          <w:sz w:val="30"/>
          <w:szCs w:val="30"/>
          <w:lang w:val="en-US" w:eastAsia="zh-CN"/>
        </w:rPr>
        <w:t>80.25</w:t>
      </w:r>
      <w:r>
        <w:rPr>
          <w:rFonts w:hint="eastAsia" w:ascii="仿宋" w:hAnsi="仿宋" w:eastAsia="仿宋" w:cs="仿宋"/>
          <w:b/>
          <w:caps/>
          <w:sz w:val="30"/>
          <w:szCs w:val="30"/>
        </w:rPr>
        <w:t>分，综合评价等级为“</w:t>
      </w:r>
      <w:r>
        <w:rPr>
          <w:rFonts w:hint="eastAsia" w:ascii="仿宋" w:hAnsi="仿宋" w:eastAsia="仿宋" w:cs="仿宋"/>
          <w:b/>
          <w:caps/>
          <w:sz w:val="30"/>
          <w:szCs w:val="30"/>
          <w:lang w:val="en-US" w:eastAsia="zh-CN"/>
        </w:rPr>
        <w:t>良</w:t>
      </w:r>
      <w:r>
        <w:rPr>
          <w:rFonts w:hint="eastAsia" w:ascii="仿宋" w:hAnsi="仿宋" w:eastAsia="仿宋" w:cs="仿宋"/>
          <w:b/>
          <w:caps/>
          <w:sz w:val="30"/>
          <w:szCs w:val="30"/>
        </w:rPr>
        <w:t>”。</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评价认为，云东集团完成了仓储区（1#、2#楼）、加工区（3#、4#楼）、检测区（5号楼）等主体工程施工任务和管网工程，以及场区道路摊铺柏油、围墙抹灰、围墙铁艺、人行道铺装、立路缘石、路灯杆安装、穿线、绿化等部分景观工程，通过此项目的实施，可提高当地果蔬等贮存、加工和配送能力，有效地满足城乡居民不断增长的消费需求；云东集团子公司</w:t>
      </w:r>
      <w:r>
        <w:rPr>
          <w:rFonts w:hint="eastAsia" w:ascii="仿宋" w:hAnsi="仿宋" w:eastAsia="仿宋" w:cs="仿宋"/>
          <w:sz w:val="30"/>
          <w:szCs w:val="30"/>
        </w:rPr>
        <w:t>伊金霍洛旗华丰粮油购销有限责任公司完成了新建醋发酵厂地及购买生产设备，并完善排污管道、环保等配套设施及场地硬化，通过此项目的实施，可</w:t>
      </w:r>
      <w:r>
        <w:rPr>
          <w:rFonts w:hint="eastAsia" w:ascii="仿宋_GB2312" w:hAnsi="仿宋_GB2312" w:eastAsia="仿宋_GB2312" w:cs="仿宋_GB2312"/>
          <w:sz w:val="28"/>
          <w:szCs w:val="28"/>
        </w:rPr>
        <w:t>促进农村经济发展，实现农业产业化</w:t>
      </w:r>
      <w:r>
        <w:rPr>
          <w:rFonts w:hint="eastAsia" w:ascii="仿宋" w:hAnsi="仿宋" w:eastAsia="仿宋" w:cs="仿宋"/>
          <w:sz w:val="30"/>
          <w:szCs w:val="30"/>
          <w:lang w:eastAsia="zh-CN"/>
        </w:rPr>
        <w:t>，</w:t>
      </w:r>
      <w:r>
        <w:rPr>
          <w:rFonts w:hint="eastAsia" w:ascii="仿宋" w:hAnsi="仿宋" w:eastAsia="仿宋" w:cs="仿宋"/>
          <w:sz w:val="30"/>
          <w:szCs w:val="30"/>
        </w:rPr>
        <w:t>并带动发展当地周边农牧民农作物的种植、销售、加工途径，有效促进当地农牧民经济发展现状，从而达成产业带动帮扶贫困就业。</w:t>
      </w:r>
    </w:p>
    <w:p>
      <w:pPr>
        <w:adjustRightInd w:val="0"/>
        <w:snapToGrid w:val="0"/>
        <w:spacing w:line="360" w:lineRule="auto"/>
        <w:ind w:firstLine="600" w:firstLineChars="200"/>
        <w:rPr>
          <w:rFonts w:ascii="黑体" w:hAnsi="黑体" w:eastAsia="黑体" w:cs="黑体"/>
          <w:bCs/>
          <w:sz w:val="24"/>
          <w:szCs w:val="24"/>
        </w:rPr>
      </w:pPr>
      <w:r>
        <w:rPr>
          <w:rFonts w:hint="eastAsia" w:ascii="仿宋" w:hAnsi="仿宋" w:eastAsia="仿宋" w:cs="仿宋"/>
          <w:bCs/>
          <w:caps/>
          <w:sz w:val="30"/>
          <w:szCs w:val="30"/>
        </w:rPr>
        <w:t>但由于农林牧行业增收较慢，利润较低，管理费用年度变动明显高于营业收入变动幅度，支出方向合理性有待加强；由于项目资金短缺、前期手续未及时办理等原因，项目总体进度滞后，产出效益未能全部显现；2021年度和2022年度经营业绩与地方国有企业地方农林牧渔业绩效评价标准值对比，2021年与2022年度营业利润率、2021年度资本保值增值率小于平均值大于较低值，2022年度资产负债率小于较低值大于平均值。</w:t>
      </w:r>
    </w:p>
    <w:p>
      <w:pPr>
        <w:pStyle w:val="9"/>
        <w:ind w:left="0" w:leftChars="0" w:firstLine="600" w:firstLineChars="200"/>
        <w:outlineLvl w:val="0"/>
        <w:rPr>
          <w:rFonts w:hint="eastAsia" w:ascii="黑体" w:hAnsi="黑体" w:eastAsia="黑体" w:cs="黑体"/>
          <w:bCs/>
          <w:sz w:val="30"/>
          <w:szCs w:val="30"/>
        </w:rPr>
      </w:pPr>
      <w:r>
        <w:rPr>
          <w:rFonts w:hint="eastAsia" w:ascii="黑体" w:hAnsi="黑体" w:eastAsia="黑体" w:cs="黑体"/>
          <w:bCs/>
          <w:caps/>
          <w:sz w:val="30"/>
          <w:szCs w:val="30"/>
          <w:lang w:eastAsia="zh-CN"/>
        </w:rPr>
        <w:t>三</w:t>
      </w:r>
      <w:r>
        <w:rPr>
          <w:rFonts w:hint="eastAsia" w:ascii="黑体" w:hAnsi="黑体" w:eastAsia="黑体" w:cs="黑体"/>
          <w:bCs/>
          <w:caps/>
          <w:sz w:val="30"/>
          <w:szCs w:val="30"/>
        </w:rPr>
        <w:t>、发现的主要问题</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eastAsia" w:eastAsia="楷体"/>
          <w:b/>
          <w:bCs/>
          <w:sz w:val="30"/>
          <w:szCs w:val="30"/>
        </w:rPr>
      </w:pPr>
      <w:r>
        <w:rPr>
          <w:rFonts w:hint="eastAsia" w:ascii="楷体" w:hAnsi="楷体" w:eastAsia="楷体" w:cs="楷体"/>
          <w:b/>
          <w:caps/>
          <w:sz w:val="30"/>
          <w:szCs w:val="30"/>
          <w:lang w:eastAsia="zh-Hans"/>
        </w:rPr>
        <w:t>（</w:t>
      </w:r>
      <w:r>
        <w:rPr>
          <w:rFonts w:hint="eastAsia" w:ascii="楷体" w:hAnsi="楷体" w:eastAsia="楷体" w:cs="楷体"/>
          <w:b/>
          <w:caps/>
          <w:sz w:val="30"/>
          <w:szCs w:val="30"/>
        </w:rPr>
        <w:t>一</w:t>
      </w:r>
      <w:r>
        <w:rPr>
          <w:rFonts w:hint="eastAsia" w:ascii="楷体" w:hAnsi="楷体" w:eastAsia="楷体" w:cs="楷体"/>
          <w:b/>
          <w:caps/>
          <w:sz w:val="30"/>
          <w:szCs w:val="30"/>
          <w:lang w:eastAsia="zh-Hans"/>
        </w:rPr>
        <w:t>）</w:t>
      </w:r>
      <w:r>
        <w:rPr>
          <w:rFonts w:hint="eastAsia" w:eastAsia="楷体"/>
          <w:b/>
          <w:bCs/>
          <w:sz w:val="30"/>
          <w:szCs w:val="30"/>
        </w:rPr>
        <w:t>产业投资前期评估不足，部分投资项目运营困难</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bCs/>
          <w:caps/>
          <w:sz w:val="30"/>
          <w:szCs w:val="30"/>
          <w:lang w:eastAsia="zh-Hans"/>
        </w:rPr>
      </w:pPr>
      <w:r>
        <w:rPr>
          <w:rFonts w:hint="eastAsia" w:ascii="仿宋" w:hAnsi="仿宋" w:eastAsia="仿宋"/>
          <w:bCs/>
          <w:sz w:val="30"/>
          <w:szCs w:val="30"/>
        </w:rPr>
        <w:t>截至2023年5月，</w:t>
      </w:r>
      <w:r>
        <w:rPr>
          <w:rFonts w:hint="eastAsia" w:ascii="仿宋" w:hAnsi="仿宋" w:eastAsia="仿宋"/>
          <w:bCs/>
          <w:sz w:val="30"/>
          <w:szCs w:val="30"/>
          <w:lang w:val="en-US" w:eastAsia="zh-CN"/>
        </w:rPr>
        <w:t>由于前期手续未及时办理，</w:t>
      </w:r>
      <w:r>
        <w:rPr>
          <w:rFonts w:hint="eastAsia" w:ascii="仿宋" w:hAnsi="仿宋" w:eastAsia="仿宋"/>
          <w:bCs/>
          <w:sz w:val="30"/>
          <w:szCs w:val="30"/>
        </w:rPr>
        <w:t>云东集团于2019年9月投资的公尼召村醋厂建设项目仍未运营，投资项目前期投资评估不足。同时，云东集团也未建立企业投资管理制度，</w:t>
      </w:r>
      <w:r>
        <w:rPr>
          <w:rFonts w:hint="eastAsia" w:ascii="仿宋" w:hAnsi="仿宋" w:eastAsia="仿宋"/>
          <w:bCs/>
          <w:sz w:val="30"/>
          <w:szCs w:val="30"/>
          <w:lang w:eastAsia="zh-CN"/>
        </w:rPr>
        <w:t>未</w:t>
      </w:r>
      <w:r>
        <w:rPr>
          <w:rFonts w:hint="eastAsia" w:ascii="仿宋" w:hAnsi="仿宋" w:eastAsia="仿宋"/>
          <w:bCs/>
          <w:sz w:val="30"/>
          <w:szCs w:val="30"/>
        </w:rPr>
        <w:t>明确投资项目决策、初选分析、实地考察、调查研究、审批立项、组织实施、收益回收等管理要求，不能有效引导和规范投资项目管理。</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eastAsia" w:ascii="楷体" w:hAnsi="楷体" w:eastAsia="楷体" w:cs="楷体"/>
          <w:b/>
          <w:caps/>
          <w:sz w:val="30"/>
          <w:szCs w:val="30"/>
          <w:highlight w:val="none"/>
          <w:lang w:val="en-US" w:eastAsia="zh-CN"/>
        </w:rPr>
      </w:pPr>
      <w:r>
        <w:rPr>
          <w:rFonts w:hint="eastAsia" w:ascii="楷体" w:hAnsi="楷体" w:eastAsia="楷体" w:cs="楷体"/>
          <w:b/>
          <w:caps/>
          <w:sz w:val="30"/>
          <w:szCs w:val="30"/>
          <w:lang w:eastAsia="zh-Hans"/>
        </w:rPr>
        <w:t>（</w:t>
      </w:r>
      <w:r>
        <w:rPr>
          <w:rFonts w:hint="eastAsia" w:ascii="楷体" w:hAnsi="楷体" w:eastAsia="楷体" w:cs="楷体"/>
          <w:b/>
          <w:caps/>
          <w:sz w:val="30"/>
          <w:szCs w:val="30"/>
        </w:rPr>
        <w:t>二</w:t>
      </w:r>
      <w:r>
        <w:rPr>
          <w:rFonts w:hint="eastAsia" w:ascii="楷体" w:hAnsi="楷体" w:eastAsia="楷体" w:cs="楷体"/>
          <w:b/>
          <w:caps/>
          <w:sz w:val="30"/>
          <w:szCs w:val="30"/>
          <w:lang w:eastAsia="zh-Hans"/>
        </w:rPr>
        <w:t>）</w:t>
      </w:r>
      <w:r>
        <w:rPr>
          <w:rFonts w:hint="eastAsia" w:ascii="楷体" w:hAnsi="楷体" w:eastAsia="楷体" w:cs="楷体"/>
          <w:b/>
          <w:caps/>
          <w:sz w:val="30"/>
          <w:szCs w:val="30"/>
          <w:highlight w:val="none"/>
        </w:rPr>
        <w:t>企业</w:t>
      </w:r>
      <w:r>
        <w:rPr>
          <w:rFonts w:hint="eastAsia" w:ascii="楷体" w:hAnsi="楷体" w:eastAsia="楷体" w:cs="楷体"/>
          <w:b/>
          <w:caps/>
          <w:sz w:val="30"/>
          <w:szCs w:val="30"/>
          <w:highlight w:val="none"/>
          <w:lang w:val="en-US" w:eastAsia="zh-CN"/>
        </w:rPr>
        <w:t>营业利润率、资本保值增值率偏低，资产负债率偏高</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9"/>
        <w:rPr>
          <w:rFonts w:hint="default" w:ascii="楷体" w:hAnsi="楷体" w:eastAsia="楷体" w:cs="楷体"/>
          <w:b/>
          <w:caps/>
          <w:sz w:val="30"/>
          <w:szCs w:val="30"/>
          <w:highlight w:val="yellow"/>
          <w:lang w:val="en-US"/>
        </w:rPr>
      </w:pPr>
      <w:r>
        <w:rPr>
          <w:rFonts w:hint="eastAsia" w:ascii="仿宋" w:hAnsi="仿宋" w:eastAsia="仿宋" w:cs="仿宋"/>
          <w:b w:val="0"/>
          <w:bCs/>
          <w:caps/>
          <w:sz w:val="30"/>
          <w:szCs w:val="30"/>
          <w:highlight w:val="none"/>
          <w:lang w:val="en-US" w:eastAsia="zh-CN"/>
        </w:rPr>
        <w:t>云东集团2021年营业利润率-2.15%，2022年营业利润率0.32%，与地方国有企业地方农林牧渔业绩效评价标准值对比，均大于行业较低值小于行业平均值，偏低主要原因为企业承担科研项目费用化资金较多，农牧业企业自身抗风险能力小，从事大部分低毛利业务；云东集团2021年资本保值增值率96.28%，与地方国有企业地方农林牧渔业绩效评价标准值对比，小于行业平均值大于行业较低值，偏低主要原因为2021年云东集团承担了一部分政府乡村振兴助农职能，大部分项目在投入阶段未产生经济收益；2022年资产负债率69.78%，与地方国有企业地方农林牧渔业绩效评价标准值对比，小于行业较低值大于行业平均值，偏高原因为企业应付债权16000万元，用于食品加工物流园区基础设施建设项目，由于该项目还处于在建阶段，故未产生收益，同时，还有未摊销完的递延收益531.25万元，以及长期借款2999万元</w:t>
      </w:r>
      <w:r>
        <w:rPr>
          <w:rFonts w:hint="eastAsia" w:ascii="仿宋" w:hAnsi="仿宋" w:eastAsia="仿宋" w:cs="仿宋"/>
          <w:bCs/>
          <w:caps/>
          <w:sz w:val="30"/>
          <w:szCs w:val="30"/>
          <w:highlight w:val="none"/>
        </w:rPr>
        <w:t>（主要是银行贷款）</w:t>
      </w:r>
      <w:r>
        <w:rPr>
          <w:rFonts w:hint="eastAsia" w:ascii="仿宋" w:hAnsi="仿宋" w:eastAsia="仿宋" w:cs="仿宋"/>
          <w:b w:val="0"/>
          <w:bCs/>
          <w:caps/>
          <w:sz w:val="30"/>
          <w:szCs w:val="30"/>
          <w:highlight w:val="none"/>
          <w:lang w:val="en-US" w:eastAsia="zh-CN"/>
        </w:rPr>
        <w:t>，专项应付款2725万元</w:t>
      </w:r>
      <w:r>
        <w:rPr>
          <w:rFonts w:hint="eastAsia" w:ascii="仿宋" w:hAnsi="仿宋" w:eastAsia="仿宋" w:cs="仿宋"/>
          <w:bCs/>
          <w:caps/>
          <w:sz w:val="30"/>
          <w:szCs w:val="30"/>
          <w:highlight w:val="none"/>
        </w:rPr>
        <w:t>（主要是云东生态采煤沉陷区专项资金）</w:t>
      </w:r>
      <w:r>
        <w:rPr>
          <w:rFonts w:hint="eastAsia" w:ascii="仿宋" w:hAnsi="仿宋" w:eastAsia="仿宋" w:cs="仿宋"/>
          <w:b w:val="0"/>
          <w:bCs/>
          <w:caps/>
          <w:sz w:val="30"/>
          <w:szCs w:val="30"/>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2" w:firstLineChars="200"/>
        <w:textAlignment w:val="auto"/>
        <w:outlineLvl w:val="0"/>
        <w:rPr>
          <w:rFonts w:hint="eastAsia" w:ascii="楷体" w:hAnsi="楷体" w:eastAsia="楷体" w:cs="楷体"/>
          <w:b/>
          <w:bCs/>
          <w:color w:val="000000"/>
          <w:sz w:val="30"/>
          <w:szCs w:val="30"/>
          <w:highlight w:val="none"/>
          <w:lang w:eastAsia="zh-CN"/>
        </w:rPr>
      </w:pPr>
      <w:r>
        <w:rPr>
          <w:rFonts w:hint="eastAsia" w:ascii="楷体" w:hAnsi="楷体" w:eastAsia="楷体" w:cs="楷体"/>
          <w:b/>
          <w:bCs/>
          <w:color w:val="000000"/>
          <w:sz w:val="30"/>
          <w:szCs w:val="30"/>
          <w:highlight w:val="none"/>
          <w:lang w:eastAsia="zh-CN"/>
        </w:rPr>
        <w:t>管理费用年度变动明显高于营业收入变动幅度</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9"/>
        <w:rPr>
          <w:rFonts w:hint="eastAsia" w:ascii="楷体" w:hAnsi="楷体" w:eastAsia="楷体" w:cs="楷体"/>
          <w:b w:val="0"/>
          <w:bCs w:val="0"/>
          <w:color w:val="000000"/>
          <w:sz w:val="30"/>
          <w:szCs w:val="30"/>
          <w:lang w:eastAsia="zh-CN"/>
        </w:rPr>
      </w:pPr>
      <w:r>
        <w:rPr>
          <w:rFonts w:hint="eastAsia" w:ascii="仿宋" w:hAnsi="仿宋" w:eastAsia="仿宋" w:cs="仿宋"/>
          <w:b w:val="0"/>
          <w:bCs w:val="0"/>
          <w:color w:val="000000"/>
          <w:sz w:val="30"/>
          <w:szCs w:val="30"/>
        </w:rPr>
        <w:t>由于农林牧行业增收较慢，</w:t>
      </w:r>
      <w:r>
        <w:rPr>
          <w:rFonts w:hint="eastAsia" w:ascii="仿宋" w:hAnsi="仿宋" w:eastAsia="仿宋" w:cs="仿宋"/>
          <w:b w:val="0"/>
          <w:bCs w:val="0"/>
          <w:color w:val="000000"/>
          <w:sz w:val="30"/>
          <w:szCs w:val="30"/>
          <w:lang w:val="en-US" w:eastAsia="zh-CN"/>
        </w:rPr>
        <w:t>故</w:t>
      </w:r>
      <w:r>
        <w:rPr>
          <w:rFonts w:hint="eastAsia" w:ascii="仿宋" w:hAnsi="仿宋" w:eastAsia="仿宋" w:cs="仿宋"/>
          <w:b w:val="0"/>
          <w:bCs w:val="0"/>
          <w:color w:val="000000"/>
          <w:sz w:val="30"/>
          <w:szCs w:val="30"/>
        </w:rPr>
        <w:t>云东集团2022年管理费用同比增幅76%，营业收入同比增幅39%，管理费用年度变动明显高于营业收入变动幅度。</w:t>
      </w:r>
    </w:p>
    <w:p>
      <w:pPr>
        <w:spacing w:line="360" w:lineRule="auto"/>
        <w:ind w:firstLine="600" w:firstLineChars="200"/>
        <w:outlineLvl w:val="0"/>
        <w:rPr>
          <w:rFonts w:eastAsia="黑体"/>
          <w:bCs/>
          <w:kern w:val="44"/>
          <w:sz w:val="30"/>
          <w:szCs w:val="30"/>
        </w:rPr>
      </w:pPr>
      <w:bookmarkStart w:id="7" w:name="_Toc42596191"/>
      <w:r>
        <w:rPr>
          <w:rFonts w:hint="eastAsia" w:eastAsia="黑体"/>
          <w:bCs/>
          <w:kern w:val="44"/>
          <w:sz w:val="30"/>
          <w:szCs w:val="30"/>
          <w:lang w:eastAsia="zh-CN"/>
        </w:rPr>
        <w:t>四</w:t>
      </w:r>
      <w:r>
        <w:rPr>
          <w:rFonts w:eastAsia="黑体"/>
          <w:bCs/>
          <w:kern w:val="44"/>
          <w:sz w:val="30"/>
          <w:szCs w:val="30"/>
        </w:rPr>
        <w:t>、</w:t>
      </w:r>
      <w:r>
        <w:rPr>
          <w:rFonts w:hint="eastAsia" w:eastAsia="黑体"/>
          <w:bCs/>
          <w:kern w:val="44"/>
          <w:sz w:val="30"/>
          <w:szCs w:val="30"/>
        </w:rPr>
        <w:t>相关</w:t>
      </w:r>
      <w:r>
        <w:rPr>
          <w:rFonts w:eastAsia="黑体"/>
          <w:bCs/>
          <w:kern w:val="44"/>
          <w:sz w:val="30"/>
          <w:szCs w:val="30"/>
        </w:rPr>
        <w:t>建议</w:t>
      </w:r>
      <w:bookmarkEnd w:id="7"/>
    </w:p>
    <w:p>
      <w:pPr>
        <w:pStyle w:val="2"/>
        <w:keepNext w:val="0"/>
        <w:keepLines w:val="0"/>
        <w:adjustRightInd w:val="0"/>
        <w:spacing w:before="0" w:after="0" w:line="360" w:lineRule="auto"/>
        <w:ind w:firstLine="602" w:firstLineChars="200"/>
        <w:rPr>
          <w:rFonts w:hint="eastAsia" w:eastAsia="楷体"/>
          <w:sz w:val="30"/>
          <w:szCs w:val="30"/>
          <w:lang w:eastAsia="zh-CN"/>
        </w:rPr>
      </w:pPr>
      <w:bookmarkStart w:id="8" w:name="_Toc29218"/>
      <w:bookmarkStart w:id="9" w:name="_Toc359523377"/>
      <w:r>
        <w:rPr>
          <w:rFonts w:hint="eastAsia" w:ascii="楷体" w:hAnsi="楷体" w:eastAsia="楷体" w:cs="楷体"/>
          <w:b/>
          <w:bCs w:val="0"/>
          <w:caps/>
          <w:sz w:val="30"/>
          <w:szCs w:val="30"/>
          <w:lang w:eastAsia="zh-Hans"/>
        </w:rPr>
        <w:t>（</w:t>
      </w:r>
      <w:r>
        <w:rPr>
          <w:rFonts w:hint="eastAsia" w:ascii="楷体" w:hAnsi="楷体" w:eastAsia="楷体" w:cs="楷体"/>
          <w:b/>
          <w:bCs w:val="0"/>
          <w:caps/>
          <w:sz w:val="30"/>
          <w:szCs w:val="30"/>
        </w:rPr>
        <w:t>一</w:t>
      </w:r>
      <w:r>
        <w:rPr>
          <w:rFonts w:hint="eastAsia" w:ascii="楷体" w:hAnsi="楷体" w:eastAsia="楷体" w:cs="楷体"/>
          <w:b/>
          <w:bCs w:val="0"/>
          <w:caps/>
          <w:sz w:val="30"/>
          <w:szCs w:val="30"/>
          <w:lang w:eastAsia="zh-Hans"/>
        </w:rPr>
        <w:t>）</w:t>
      </w:r>
      <w:r>
        <w:rPr>
          <w:rFonts w:hint="eastAsia" w:eastAsia="楷体"/>
          <w:sz w:val="30"/>
          <w:szCs w:val="30"/>
          <w:lang w:val="en-US" w:eastAsia="zh-CN"/>
        </w:rPr>
        <w:t>充分做好前期调研工作</w:t>
      </w:r>
      <w:r>
        <w:rPr>
          <w:rFonts w:hint="eastAsia" w:eastAsia="楷体"/>
          <w:sz w:val="30"/>
          <w:szCs w:val="30"/>
          <w:lang w:eastAsia="zh-CN"/>
        </w:rPr>
        <w:t>，</w:t>
      </w:r>
      <w:r>
        <w:rPr>
          <w:rFonts w:hint="eastAsia" w:ascii="楷体" w:hAnsi="楷体" w:eastAsia="楷体" w:cs="楷体"/>
          <w:b/>
          <w:bCs w:val="0"/>
          <w:caps/>
          <w:sz w:val="30"/>
          <w:szCs w:val="30"/>
          <w:lang w:eastAsia="zh-Hans"/>
        </w:rPr>
        <w:t>建立健全投资管理制度</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bCs/>
          <w:caps/>
          <w:sz w:val="30"/>
          <w:szCs w:val="30"/>
          <w:lang w:eastAsia="zh-Hans"/>
        </w:rPr>
      </w:pPr>
      <w:r>
        <w:rPr>
          <w:rFonts w:hint="eastAsia" w:ascii="仿宋" w:hAnsi="仿宋" w:eastAsia="仿宋"/>
          <w:sz w:val="30"/>
          <w:szCs w:val="30"/>
        </w:rPr>
        <w:t>在投资项目初选、调研等初期阶段，充分借助专业咨询机构的行业知识储备，开展投资项目可行性研究，对拟投资项目的市场需求、资源条件、建设规模、工艺设备等进行详细、周密、全面的调查研究和综合论证，明确项目的市场发展前景、技术上的先进性和可行性、财务上的实施可能性以及经济上的合理性等，为投资决策提供参考，提高投资项目的成功率。同时，建立健全投资管理制度，明确投资项目决策、初选分析、实地考察、调查研究、审批立项、组织实施、收益回收等管理要求，有效引导和规范投资项目管理。</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default"/>
          <w:sz w:val="30"/>
          <w:szCs w:val="30"/>
          <w:highlight w:val="none"/>
          <w:lang w:val="en-US"/>
        </w:rPr>
      </w:pPr>
      <w:r>
        <w:rPr>
          <w:rFonts w:hint="eastAsia" w:ascii="楷体" w:hAnsi="楷体" w:eastAsia="楷体" w:cs="楷体"/>
          <w:b/>
          <w:bCs/>
          <w:caps/>
          <w:sz w:val="30"/>
          <w:szCs w:val="30"/>
          <w:highlight w:val="none"/>
          <w:lang w:eastAsia="zh-Hans"/>
        </w:rPr>
        <w:t>（</w:t>
      </w:r>
      <w:r>
        <w:rPr>
          <w:rFonts w:hint="eastAsia" w:ascii="楷体" w:hAnsi="楷体" w:eastAsia="楷体" w:cs="楷体"/>
          <w:b/>
          <w:bCs/>
          <w:caps/>
          <w:sz w:val="30"/>
          <w:szCs w:val="30"/>
          <w:highlight w:val="none"/>
        </w:rPr>
        <w:t>二</w:t>
      </w:r>
      <w:r>
        <w:rPr>
          <w:rFonts w:hint="eastAsia" w:ascii="楷体" w:hAnsi="楷体" w:eastAsia="楷体" w:cs="楷体"/>
          <w:b/>
          <w:bCs/>
          <w:caps/>
          <w:sz w:val="30"/>
          <w:szCs w:val="30"/>
          <w:highlight w:val="none"/>
          <w:lang w:eastAsia="zh-Hans"/>
        </w:rPr>
        <w:t>）</w:t>
      </w:r>
      <w:bookmarkEnd w:id="8"/>
      <w:bookmarkEnd w:id="9"/>
      <w:r>
        <w:rPr>
          <w:rFonts w:hint="eastAsia" w:ascii="楷体" w:hAnsi="楷体" w:eastAsia="楷体" w:cs="楷体"/>
          <w:b/>
          <w:bCs/>
          <w:caps/>
          <w:sz w:val="30"/>
          <w:szCs w:val="30"/>
          <w:highlight w:val="none"/>
          <w:lang w:val="en-US" w:eastAsia="zh-CN"/>
        </w:rPr>
        <w:t>强化营销观念</w:t>
      </w:r>
      <w:r>
        <w:rPr>
          <w:rFonts w:hint="eastAsia" w:ascii="楷体" w:hAnsi="楷体" w:eastAsia="楷体" w:cs="楷体"/>
          <w:b/>
          <w:caps/>
          <w:sz w:val="30"/>
          <w:szCs w:val="30"/>
          <w:highlight w:val="none"/>
          <w:lang w:val="zh-CN" w:eastAsia="zh-CN"/>
        </w:rPr>
        <w:t>，</w:t>
      </w:r>
      <w:r>
        <w:rPr>
          <w:rFonts w:hint="eastAsia" w:ascii="楷体" w:hAnsi="楷体" w:eastAsia="楷体" w:cs="楷体"/>
          <w:b/>
          <w:caps/>
          <w:sz w:val="30"/>
          <w:szCs w:val="30"/>
          <w:highlight w:val="none"/>
          <w:lang w:val="en-US" w:eastAsia="zh-CN"/>
        </w:rPr>
        <w:t>进一步</w:t>
      </w:r>
      <w:r>
        <w:rPr>
          <w:rFonts w:hint="eastAsia" w:ascii="楷体" w:hAnsi="楷体" w:eastAsia="楷体" w:cs="楷体"/>
          <w:b/>
          <w:caps/>
          <w:sz w:val="30"/>
          <w:szCs w:val="30"/>
          <w:highlight w:val="none"/>
          <w:lang w:val="zh-CN" w:eastAsia="zh-CN"/>
        </w:rPr>
        <w:t>提高经济效益</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建议要深入关注农产品的标准化问题以提升产品的质量，还要在农产品市场调研、农产品目标市场选择、农产品开发、农产品渠道选择及农产品促销、储运、销售等各个方面努力下功夫，从而形成现代企业市场营销观念，切实掌握现代企业的营销方式，建立起农业科技企业的营销流程，进而形成市场化竞争优势，以获得较好的经济效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02" w:firstLineChars="200"/>
        <w:textAlignment w:val="auto"/>
        <w:outlineLvl w:val="0"/>
        <w:rPr>
          <w:rFonts w:hint="eastAsia" w:ascii="楷体" w:hAnsi="楷体" w:eastAsia="楷体" w:cs="楷体"/>
          <w:b/>
          <w:bCs/>
          <w:caps/>
          <w:sz w:val="30"/>
          <w:szCs w:val="30"/>
          <w:highlight w:val="none"/>
          <w:lang w:val="en-US" w:eastAsia="zh-CN"/>
        </w:rPr>
      </w:pPr>
      <w:r>
        <w:rPr>
          <w:rFonts w:hint="eastAsia" w:ascii="楷体" w:hAnsi="楷体" w:eastAsia="楷体" w:cs="楷体"/>
          <w:b/>
          <w:bCs/>
          <w:caps/>
          <w:sz w:val="30"/>
          <w:szCs w:val="30"/>
        </w:rPr>
        <w:t>完善管理制度，合理控制管理费用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caps/>
          <w:sz w:val="30"/>
          <w:szCs w:val="30"/>
          <w:lang w:val="en-US" w:eastAsia="zh-CN"/>
        </w:rPr>
      </w:pPr>
      <w:r>
        <w:rPr>
          <w:rFonts w:hint="eastAsia" w:ascii="仿宋" w:hAnsi="仿宋" w:eastAsia="仿宋" w:cs="仿宋"/>
          <w:b w:val="0"/>
          <w:caps/>
          <w:sz w:val="30"/>
          <w:szCs w:val="30"/>
          <w:highlight w:val="none"/>
          <w:lang w:val="en-US" w:eastAsia="zh-CN"/>
        </w:rPr>
        <w:t>一是</w:t>
      </w:r>
      <w:r>
        <w:rPr>
          <w:rFonts w:hint="eastAsia" w:ascii="仿宋" w:hAnsi="仿宋" w:eastAsia="仿宋" w:cs="仿宋"/>
          <w:caps/>
          <w:sz w:val="30"/>
          <w:szCs w:val="30"/>
        </w:rPr>
        <w:t>完善企业管理费用的支出、报销、入账相关</w:t>
      </w:r>
      <w:r>
        <w:rPr>
          <w:rFonts w:hint="eastAsia" w:ascii="仿宋" w:hAnsi="仿宋" w:eastAsia="仿宋" w:cs="仿宋"/>
          <w:caps/>
          <w:sz w:val="30"/>
          <w:szCs w:val="30"/>
          <w:lang w:val="en-US" w:eastAsia="zh-CN"/>
        </w:rPr>
        <w:t>制度</w:t>
      </w:r>
      <w:r>
        <w:rPr>
          <w:rFonts w:hint="eastAsia" w:ascii="仿宋" w:hAnsi="仿宋" w:eastAsia="仿宋" w:cs="仿宋"/>
          <w:caps/>
          <w:sz w:val="30"/>
          <w:szCs w:val="30"/>
        </w:rPr>
        <w:t>，确保相关工作有条不紊的进行；</w:t>
      </w:r>
      <w:r>
        <w:rPr>
          <w:rFonts w:hint="eastAsia" w:ascii="仿宋" w:hAnsi="仿宋" w:eastAsia="仿宋" w:cs="仿宋"/>
          <w:caps/>
          <w:sz w:val="30"/>
          <w:szCs w:val="30"/>
          <w:lang w:val="en-US" w:eastAsia="zh-CN"/>
        </w:rPr>
        <w:t>二是</w:t>
      </w:r>
      <w:r>
        <w:rPr>
          <w:rFonts w:hint="eastAsia" w:ascii="仿宋" w:hAnsi="仿宋" w:eastAsia="仿宋" w:cs="仿宋"/>
          <w:caps/>
          <w:sz w:val="30"/>
          <w:szCs w:val="30"/>
        </w:rPr>
        <w:t>完善管理费用</w:t>
      </w:r>
      <w:r>
        <w:rPr>
          <w:rFonts w:hint="eastAsia" w:ascii="仿宋" w:hAnsi="仿宋" w:eastAsia="仿宋" w:cs="仿宋"/>
          <w:caps/>
          <w:sz w:val="30"/>
          <w:szCs w:val="30"/>
          <w:lang w:val="en-US" w:eastAsia="zh-CN"/>
        </w:rPr>
        <w:t>支出</w:t>
      </w:r>
      <w:r>
        <w:rPr>
          <w:rFonts w:hint="eastAsia" w:ascii="仿宋" w:hAnsi="仿宋" w:eastAsia="仿宋" w:cs="仿宋"/>
          <w:caps/>
          <w:sz w:val="30"/>
          <w:szCs w:val="30"/>
        </w:rPr>
        <w:t>的监管制度，对企业管理费用的</w:t>
      </w:r>
      <w:r>
        <w:rPr>
          <w:rFonts w:hint="eastAsia" w:ascii="仿宋" w:hAnsi="仿宋" w:eastAsia="仿宋" w:cs="仿宋"/>
          <w:caps/>
          <w:sz w:val="30"/>
          <w:szCs w:val="30"/>
          <w:lang w:val="en-US" w:eastAsia="zh-CN"/>
        </w:rPr>
        <w:t>支出</w:t>
      </w:r>
      <w:r>
        <w:rPr>
          <w:rFonts w:hint="eastAsia" w:ascii="仿宋" w:hAnsi="仿宋" w:eastAsia="仿宋" w:cs="仿宋"/>
          <w:caps/>
          <w:sz w:val="30"/>
          <w:szCs w:val="30"/>
        </w:rPr>
        <w:t>进行全面的监管和审查，确保管理费用</w:t>
      </w:r>
      <w:r>
        <w:rPr>
          <w:rFonts w:hint="eastAsia" w:ascii="仿宋" w:hAnsi="仿宋" w:eastAsia="仿宋" w:cs="仿宋"/>
          <w:caps/>
          <w:sz w:val="30"/>
          <w:szCs w:val="30"/>
          <w:lang w:val="en-US" w:eastAsia="zh-CN"/>
        </w:rPr>
        <w:t>支出</w:t>
      </w:r>
      <w:r>
        <w:rPr>
          <w:rFonts w:hint="eastAsia" w:ascii="仿宋" w:hAnsi="仿宋" w:eastAsia="仿宋" w:cs="仿宋"/>
          <w:caps/>
          <w:sz w:val="30"/>
          <w:szCs w:val="30"/>
        </w:rPr>
        <w:t>结果的精准性。</w:t>
      </w:r>
    </w:p>
    <w:sectPr>
      <w:headerReference r:id="rId5" w:type="default"/>
      <w:footerReference r:id="rId6"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serif">
    <w:altName w:val="Noto Sans CJK HK"/>
    <w:panose1 w:val="020B0604020202020204"/>
    <w:charset w:val="00"/>
    <w:family w:val="auto"/>
    <w:pitch w:val="default"/>
    <w:sig w:usb0="00000000" w:usb1="00000000" w:usb2="00000000" w:usb3="00000000" w:csb0="00040001" w:csb1="00000000"/>
  </w:font>
  <w:font w:name="Noto Sans CJK HK">
    <w:panose1 w:val="020B0500000000000000"/>
    <w:charset w:val="88"/>
    <w:family w:val="auto"/>
    <w:pitch w:val="default"/>
    <w:sig w:usb0="30000083" w:usb1="2BDF3C10" w:usb2="00000016" w:usb3="00000000" w:csb0="603A0107"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1u5d9AAAAACAQAADwAAAAAAAAABACAAAAA4AAAAZHJzL2Rvd25yZXYueG1sUEsBAhQA&#10;FAAAAAgAh07iQN2VjbXkAQAAvgMAAA4AAAAAAAAAAQAgAAAANQEAAGRycy9lMm9Eb2MueG1sUEsF&#10;BgAAAAAGAAYAWQEAAIs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rPr>
        <w:rFonts w:hint="eastAsia"/>
      </w:rPr>
    </w:pPr>
    <w:r>
      <w:rPr>
        <w:rFonts w:hint="eastAsia" w:ascii="等线" w:hAnsi="等线" w:eastAsia="等线" w:cs="等线"/>
      </w:rPr>
      <w:t>鄂尔多斯市云东农林牧产业投资集团有限责任公司国有资本经营预算项目绩效评价报告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E2AA5"/>
    <w:multiLevelType w:val="singleLevel"/>
    <w:tmpl w:val="B85E2AA5"/>
    <w:lvl w:ilvl="0" w:tentative="0">
      <w:start w:val="3"/>
      <w:numFmt w:val="chineseCounting"/>
      <w:suff w:val="nothing"/>
      <w:lvlText w:val="（%1）"/>
      <w:lvlJc w:val="left"/>
      <w:rPr>
        <w:rFonts w:hint="eastAsia"/>
      </w:rPr>
    </w:lvl>
  </w:abstractNum>
  <w:abstractNum w:abstractNumId="1">
    <w:nsid w:val="D7230DB2"/>
    <w:multiLevelType w:val="singleLevel"/>
    <w:tmpl w:val="D7230DB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172A27"/>
    <w:rsid w:val="00010517"/>
    <w:rsid w:val="00031159"/>
    <w:rsid w:val="00031348"/>
    <w:rsid w:val="00051A6C"/>
    <w:rsid w:val="00070477"/>
    <w:rsid w:val="000A1825"/>
    <w:rsid w:val="000A1F7E"/>
    <w:rsid w:val="000B5AE4"/>
    <w:rsid w:val="000D1B3A"/>
    <w:rsid w:val="000E483E"/>
    <w:rsid w:val="000F099F"/>
    <w:rsid w:val="000F1DBD"/>
    <w:rsid w:val="001006BD"/>
    <w:rsid w:val="0010173C"/>
    <w:rsid w:val="0012537D"/>
    <w:rsid w:val="00132748"/>
    <w:rsid w:val="00142311"/>
    <w:rsid w:val="00144436"/>
    <w:rsid w:val="00146FC8"/>
    <w:rsid w:val="00161F66"/>
    <w:rsid w:val="00170732"/>
    <w:rsid w:val="00172C3E"/>
    <w:rsid w:val="001750B0"/>
    <w:rsid w:val="001813BA"/>
    <w:rsid w:val="001A5184"/>
    <w:rsid w:val="001B2507"/>
    <w:rsid w:val="001E2363"/>
    <w:rsid w:val="001F1C93"/>
    <w:rsid w:val="0020597E"/>
    <w:rsid w:val="00213C6F"/>
    <w:rsid w:val="0022242A"/>
    <w:rsid w:val="00223A64"/>
    <w:rsid w:val="00225294"/>
    <w:rsid w:val="00230F47"/>
    <w:rsid w:val="00233D8D"/>
    <w:rsid w:val="002524BB"/>
    <w:rsid w:val="002663BB"/>
    <w:rsid w:val="00273CE0"/>
    <w:rsid w:val="00291FE6"/>
    <w:rsid w:val="002A3016"/>
    <w:rsid w:val="002D4534"/>
    <w:rsid w:val="002D65C6"/>
    <w:rsid w:val="002D6B03"/>
    <w:rsid w:val="002D7AAD"/>
    <w:rsid w:val="00304961"/>
    <w:rsid w:val="003148E7"/>
    <w:rsid w:val="00322680"/>
    <w:rsid w:val="00326FBC"/>
    <w:rsid w:val="00333E22"/>
    <w:rsid w:val="0034172A"/>
    <w:rsid w:val="00342339"/>
    <w:rsid w:val="00345562"/>
    <w:rsid w:val="003544E3"/>
    <w:rsid w:val="00357748"/>
    <w:rsid w:val="0036112B"/>
    <w:rsid w:val="00362314"/>
    <w:rsid w:val="003648E4"/>
    <w:rsid w:val="0037377A"/>
    <w:rsid w:val="00393A81"/>
    <w:rsid w:val="003A0CCC"/>
    <w:rsid w:val="003A6104"/>
    <w:rsid w:val="003A67AD"/>
    <w:rsid w:val="003D5876"/>
    <w:rsid w:val="003E4ABB"/>
    <w:rsid w:val="003F1F8C"/>
    <w:rsid w:val="003F604B"/>
    <w:rsid w:val="004225C5"/>
    <w:rsid w:val="0042795A"/>
    <w:rsid w:val="00435FAC"/>
    <w:rsid w:val="0044500C"/>
    <w:rsid w:val="00450EA4"/>
    <w:rsid w:val="00457C99"/>
    <w:rsid w:val="00470194"/>
    <w:rsid w:val="00473638"/>
    <w:rsid w:val="004905C2"/>
    <w:rsid w:val="00492630"/>
    <w:rsid w:val="004A11E7"/>
    <w:rsid w:val="004A2773"/>
    <w:rsid w:val="004B6DFC"/>
    <w:rsid w:val="004C7950"/>
    <w:rsid w:val="004E3B8B"/>
    <w:rsid w:val="004E4864"/>
    <w:rsid w:val="004F3C4B"/>
    <w:rsid w:val="0050750D"/>
    <w:rsid w:val="00520012"/>
    <w:rsid w:val="0052747F"/>
    <w:rsid w:val="00531132"/>
    <w:rsid w:val="005339D9"/>
    <w:rsid w:val="00536BBF"/>
    <w:rsid w:val="005572FA"/>
    <w:rsid w:val="00570F75"/>
    <w:rsid w:val="00584B52"/>
    <w:rsid w:val="00585063"/>
    <w:rsid w:val="00586714"/>
    <w:rsid w:val="005A2F1D"/>
    <w:rsid w:val="005A45CD"/>
    <w:rsid w:val="005A6007"/>
    <w:rsid w:val="005C0140"/>
    <w:rsid w:val="005C7DBF"/>
    <w:rsid w:val="005E5052"/>
    <w:rsid w:val="005F6623"/>
    <w:rsid w:val="006016CE"/>
    <w:rsid w:val="00605E05"/>
    <w:rsid w:val="0062079B"/>
    <w:rsid w:val="00630741"/>
    <w:rsid w:val="006370E8"/>
    <w:rsid w:val="006969D0"/>
    <w:rsid w:val="006A645D"/>
    <w:rsid w:val="006B2E0A"/>
    <w:rsid w:val="006C7B49"/>
    <w:rsid w:val="006E77C5"/>
    <w:rsid w:val="00703EA9"/>
    <w:rsid w:val="007051F0"/>
    <w:rsid w:val="00725354"/>
    <w:rsid w:val="0073455B"/>
    <w:rsid w:val="0075619A"/>
    <w:rsid w:val="00760F96"/>
    <w:rsid w:val="007740DA"/>
    <w:rsid w:val="007816FE"/>
    <w:rsid w:val="00783432"/>
    <w:rsid w:val="00787616"/>
    <w:rsid w:val="007B4641"/>
    <w:rsid w:val="007B5E22"/>
    <w:rsid w:val="007C0845"/>
    <w:rsid w:val="007D08AB"/>
    <w:rsid w:val="007D4EC0"/>
    <w:rsid w:val="007E0689"/>
    <w:rsid w:val="007E61CE"/>
    <w:rsid w:val="007F1EAC"/>
    <w:rsid w:val="007F3BB1"/>
    <w:rsid w:val="008260EB"/>
    <w:rsid w:val="00826960"/>
    <w:rsid w:val="008458C8"/>
    <w:rsid w:val="00861CA6"/>
    <w:rsid w:val="008671BC"/>
    <w:rsid w:val="0087647F"/>
    <w:rsid w:val="008767F7"/>
    <w:rsid w:val="00890AB5"/>
    <w:rsid w:val="008A20F7"/>
    <w:rsid w:val="008A70BE"/>
    <w:rsid w:val="008B1A18"/>
    <w:rsid w:val="008B2B3E"/>
    <w:rsid w:val="008B69F0"/>
    <w:rsid w:val="008F0ECD"/>
    <w:rsid w:val="00912185"/>
    <w:rsid w:val="00914C1E"/>
    <w:rsid w:val="0091712A"/>
    <w:rsid w:val="00932A73"/>
    <w:rsid w:val="009332B1"/>
    <w:rsid w:val="0094323B"/>
    <w:rsid w:val="00952C6F"/>
    <w:rsid w:val="00962B00"/>
    <w:rsid w:val="00971DC1"/>
    <w:rsid w:val="00972CA8"/>
    <w:rsid w:val="00991A14"/>
    <w:rsid w:val="00993569"/>
    <w:rsid w:val="00995A42"/>
    <w:rsid w:val="009A695A"/>
    <w:rsid w:val="009B0FA6"/>
    <w:rsid w:val="009C4244"/>
    <w:rsid w:val="009D28AB"/>
    <w:rsid w:val="009E5F69"/>
    <w:rsid w:val="009F6294"/>
    <w:rsid w:val="00A0318F"/>
    <w:rsid w:val="00A12403"/>
    <w:rsid w:val="00A245A8"/>
    <w:rsid w:val="00A34439"/>
    <w:rsid w:val="00A4336B"/>
    <w:rsid w:val="00A456A2"/>
    <w:rsid w:val="00A514BB"/>
    <w:rsid w:val="00A67228"/>
    <w:rsid w:val="00A95A6C"/>
    <w:rsid w:val="00AC6BBC"/>
    <w:rsid w:val="00AE2FFE"/>
    <w:rsid w:val="00AF3813"/>
    <w:rsid w:val="00AF57E4"/>
    <w:rsid w:val="00B36FA0"/>
    <w:rsid w:val="00B4283B"/>
    <w:rsid w:val="00B511F0"/>
    <w:rsid w:val="00B512B7"/>
    <w:rsid w:val="00B536C5"/>
    <w:rsid w:val="00B74830"/>
    <w:rsid w:val="00B7552F"/>
    <w:rsid w:val="00B77B95"/>
    <w:rsid w:val="00B8189D"/>
    <w:rsid w:val="00B90D45"/>
    <w:rsid w:val="00B939A3"/>
    <w:rsid w:val="00BA161C"/>
    <w:rsid w:val="00BB6C44"/>
    <w:rsid w:val="00BC6069"/>
    <w:rsid w:val="00BD5D17"/>
    <w:rsid w:val="00BF6A1A"/>
    <w:rsid w:val="00BF7A08"/>
    <w:rsid w:val="00C1008E"/>
    <w:rsid w:val="00C11869"/>
    <w:rsid w:val="00C12E6C"/>
    <w:rsid w:val="00C177D0"/>
    <w:rsid w:val="00C4723F"/>
    <w:rsid w:val="00C81104"/>
    <w:rsid w:val="00C816EF"/>
    <w:rsid w:val="00C8670F"/>
    <w:rsid w:val="00CA0326"/>
    <w:rsid w:val="00CA0ADC"/>
    <w:rsid w:val="00CC52F1"/>
    <w:rsid w:val="00CC69C7"/>
    <w:rsid w:val="00CD6E95"/>
    <w:rsid w:val="00CE2F25"/>
    <w:rsid w:val="00CE6642"/>
    <w:rsid w:val="00CF05CF"/>
    <w:rsid w:val="00CF10AE"/>
    <w:rsid w:val="00CF43B4"/>
    <w:rsid w:val="00D301A6"/>
    <w:rsid w:val="00D331D4"/>
    <w:rsid w:val="00D6351B"/>
    <w:rsid w:val="00D94311"/>
    <w:rsid w:val="00D97867"/>
    <w:rsid w:val="00DB57B4"/>
    <w:rsid w:val="00DB59CD"/>
    <w:rsid w:val="00DD6806"/>
    <w:rsid w:val="00DE01DD"/>
    <w:rsid w:val="00DF7A06"/>
    <w:rsid w:val="00E07025"/>
    <w:rsid w:val="00E07907"/>
    <w:rsid w:val="00E162E4"/>
    <w:rsid w:val="00E244F5"/>
    <w:rsid w:val="00E26078"/>
    <w:rsid w:val="00E435E6"/>
    <w:rsid w:val="00E470C0"/>
    <w:rsid w:val="00E65FB9"/>
    <w:rsid w:val="00E959DD"/>
    <w:rsid w:val="00EA3F49"/>
    <w:rsid w:val="00EC77BD"/>
    <w:rsid w:val="00EF3DD4"/>
    <w:rsid w:val="00F3274B"/>
    <w:rsid w:val="00F34CD2"/>
    <w:rsid w:val="00F378C7"/>
    <w:rsid w:val="00F72D32"/>
    <w:rsid w:val="00F9503A"/>
    <w:rsid w:val="00F96CE7"/>
    <w:rsid w:val="00FB75C2"/>
    <w:rsid w:val="00FC09EC"/>
    <w:rsid w:val="00FC45E9"/>
    <w:rsid w:val="00FD04F0"/>
    <w:rsid w:val="00FD76F6"/>
    <w:rsid w:val="00FE6D54"/>
    <w:rsid w:val="00FF1764"/>
    <w:rsid w:val="01327664"/>
    <w:rsid w:val="01EA44FF"/>
    <w:rsid w:val="01EF2040"/>
    <w:rsid w:val="022D16AF"/>
    <w:rsid w:val="025339B9"/>
    <w:rsid w:val="031829FD"/>
    <w:rsid w:val="036A23C8"/>
    <w:rsid w:val="03982449"/>
    <w:rsid w:val="05042547"/>
    <w:rsid w:val="052B70BE"/>
    <w:rsid w:val="05DE55A9"/>
    <w:rsid w:val="05DF58CD"/>
    <w:rsid w:val="067C0DE7"/>
    <w:rsid w:val="069371C6"/>
    <w:rsid w:val="06F22278"/>
    <w:rsid w:val="075B126D"/>
    <w:rsid w:val="08A05E91"/>
    <w:rsid w:val="08C8178B"/>
    <w:rsid w:val="09371591"/>
    <w:rsid w:val="09CA3B3B"/>
    <w:rsid w:val="09EE394E"/>
    <w:rsid w:val="0A6C39B4"/>
    <w:rsid w:val="0B467AEB"/>
    <w:rsid w:val="0B4E0D85"/>
    <w:rsid w:val="0B64718D"/>
    <w:rsid w:val="0B767BF7"/>
    <w:rsid w:val="0B7B4BE3"/>
    <w:rsid w:val="0B8951B4"/>
    <w:rsid w:val="0BB22CAA"/>
    <w:rsid w:val="0BB5572C"/>
    <w:rsid w:val="0BE16D20"/>
    <w:rsid w:val="0C215784"/>
    <w:rsid w:val="0C4D636E"/>
    <w:rsid w:val="0CD411DB"/>
    <w:rsid w:val="0D420550"/>
    <w:rsid w:val="0D84608A"/>
    <w:rsid w:val="0DF1495B"/>
    <w:rsid w:val="0E4601D1"/>
    <w:rsid w:val="0EA3691A"/>
    <w:rsid w:val="0EA65872"/>
    <w:rsid w:val="0EE84984"/>
    <w:rsid w:val="0F070F37"/>
    <w:rsid w:val="0F6C4B0D"/>
    <w:rsid w:val="0F94602A"/>
    <w:rsid w:val="0FD52407"/>
    <w:rsid w:val="0FF66611"/>
    <w:rsid w:val="106A31E0"/>
    <w:rsid w:val="11145021"/>
    <w:rsid w:val="11621E9A"/>
    <w:rsid w:val="12056664"/>
    <w:rsid w:val="12865F21"/>
    <w:rsid w:val="12FD1AD8"/>
    <w:rsid w:val="13351681"/>
    <w:rsid w:val="13AA46B7"/>
    <w:rsid w:val="13FC4CB4"/>
    <w:rsid w:val="14F25242"/>
    <w:rsid w:val="15201EB5"/>
    <w:rsid w:val="157223B7"/>
    <w:rsid w:val="15B5537C"/>
    <w:rsid w:val="167B3E10"/>
    <w:rsid w:val="170E7A40"/>
    <w:rsid w:val="17AA6880"/>
    <w:rsid w:val="17BB144B"/>
    <w:rsid w:val="183C1C75"/>
    <w:rsid w:val="18742A39"/>
    <w:rsid w:val="18843061"/>
    <w:rsid w:val="189270E7"/>
    <w:rsid w:val="18BD3D33"/>
    <w:rsid w:val="197D72CE"/>
    <w:rsid w:val="1A4E6CEE"/>
    <w:rsid w:val="1B1965F5"/>
    <w:rsid w:val="1B2A18D8"/>
    <w:rsid w:val="1B8A6B2F"/>
    <w:rsid w:val="1B9B4505"/>
    <w:rsid w:val="1BC6267A"/>
    <w:rsid w:val="1BE17361"/>
    <w:rsid w:val="1C0839F8"/>
    <w:rsid w:val="1C2365D8"/>
    <w:rsid w:val="1C666204"/>
    <w:rsid w:val="1D112750"/>
    <w:rsid w:val="1D16363F"/>
    <w:rsid w:val="1D935BAD"/>
    <w:rsid w:val="1E102231"/>
    <w:rsid w:val="1E7E635E"/>
    <w:rsid w:val="1EC577FD"/>
    <w:rsid w:val="1EDC730E"/>
    <w:rsid w:val="1F184FF8"/>
    <w:rsid w:val="1FE019BC"/>
    <w:rsid w:val="1FFE71C3"/>
    <w:rsid w:val="203D0BFB"/>
    <w:rsid w:val="20462ADE"/>
    <w:rsid w:val="205B230F"/>
    <w:rsid w:val="205C1E24"/>
    <w:rsid w:val="208E5AB1"/>
    <w:rsid w:val="20EE7C74"/>
    <w:rsid w:val="21146958"/>
    <w:rsid w:val="216713CE"/>
    <w:rsid w:val="21771570"/>
    <w:rsid w:val="221D33EB"/>
    <w:rsid w:val="22264989"/>
    <w:rsid w:val="222C2865"/>
    <w:rsid w:val="22695CBE"/>
    <w:rsid w:val="2271479E"/>
    <w:rsid w:val="22C61EA2"/>
    <w:rsid w:val="22EF15CB"/>
    <w:rsid w:val="22F453DF"/>
    <w:rsid w:val="22FF7E7D"/>
    <w:rsid w:val="23042488"/>
    <w:rsid w:val="2328623E"/>
    <w:rsid w:val="234142EF"/>
    <w:rsid w:val="23712C4B"/>
    <w:rsid w:val="2409076F"/>
    <w:rsid w:val="242C1BDE"/>
    <w:rsid w:val="245A5C05"/>
    <w:rsid w:val="247E5D01"/>
    <w:rsid w:val="24E601CC"/>
    <w:rsid w:val="24F55964"/>
    <w:rsid w:val="2520449C"/>
    <w:rsid w:val="252F4F0E"/>
    <w:rsid w:val="253467A8"/>
    <w:rsid w:val="254917C7"/>
    <w:rsid w:val="25A96588"/>
    <w:rsid w:val="25DA3E7C"/>
    <w:rsid w:val="25E25EB3"/>
    <w:rsid w:val="25EB1945"/>
    <w:rsid w:val="25ED57C9"/>
    <w:rsid w:val="25F86287"/>
    <w:rsid w:val="26325A66"/>
    <w:rsid w:val="265C2AE3"/>
    <w:rsid w:val="26614F39"/>
    <w:rsid w:val="268944C1"/>
    <w:rsid w:val="26BF6CF4"/>
    <w:rsid w:val="26ED516B"/>
    <w:rsid w:val="276A2196"/>
    <w:rsid w:val="277F7D1D"/>
    <w:rsid w:val="281A0EA7"/>
    <w:rsid w:val="28353CD9"/>
    <w:rsid w:val="2842494F"/>
    <w:rsid w:val="289A2692"/>
    <w:rsid w:val="28D57CBA"/>
    <w:rsid w:val="28F67D3D"/>
    <w:rsid w:val="29010282"/>
    <w:rsid w:val="29AF3A10"/>
    <w:rsid w:val="2A697208"/>
    <w:rsid w:val="2A7E4E6E"/>
    <w:rsid w:val="2AF968C5"/>
    <w:rsid w:val="2B2314F6"/>
    <w:rsid w:val="2BBB7AEA"/>
    <w:rsid w:val="2BCE6D3C"/>
    <w:rsid w:val="2C0B05E0"/>
    <w:rsid w:val="2C0F520D"/>
    <w:rsid w:val="2C7405D1"/>
    <w:rsid w:val="2CC868DD"/>
    <w:rsid w:val="2CCD473A"/>
    <w:rsid w:val="2CD23429"/>
    <w:rsid w:val="2D355424"/>
    <w:rsid w:val="2D63463E"/>
    <w:rsid w:val="2DE23367"/>
    <w:rsid w:val="2DED18F2"/>
    <w:rsid w:val="2E227EF5"/>
    <w:rsid w:val="2E3A7347"/>
    <w:rsid w:val="2E493B0E"/>
    <w:rsid w:val="2EBD6A71"/>
    <w:rsid w:val="2F0D050F"/>
    <w:rsid w:val="2F177FAD"/>
    <w:rsid w:val="2F427063"/>
    <w:rsid w:val="2F5D606D"/>
    <w:rsid w:val="2F69634B"/>
    <w:rsid w:val="300A061F"/>
    <w:rsid w:val="302525DF"/>
    <w:rsid w:val="302A08B9"/>
    <w:rsid w:val="30536D0B"/>
    <w:rsid w:val="305D1E35"/>
    <w:rsid w:val="306C3E57"/>
    <w:rsid w:val="30757CE3"/>
    <w:rsid w:val="308C21C7"/>
    <w:rsid w:val="30F370A6"/>
    <w:rsid w:val="30FE75F7"/>
    <w:rsid w:val="31004FA5"/>
    <w:rsid w:val="31BB1A71"/>
    <w:rsid w:val="3251488B"/>
    <w:rsid w:val="325638EC"/>
    <w:rsid w:val="32C401BF"/>
    <w:rsid w:val="32FF701B"/>
    <w:rsid w:val="33682DF3"/>
    <w:rsid w:val="33BA4A58"/>
    <w:rsid w:val="33EF79F1"/>
    <w:rsid w:val="340321F7"/>
    <w:rsid w:val="34343A54"/>
    <w:rsid w:val="345114C0"/>
    <w:rsid w:val="346A075D"/>
    <w:rsid w:val="346E3294"/>
    <w:rsid w:val="348E6628"/>
    <w:rsid w:val="35157500"/>
    <w:rsid w:val="353310A9"/>
    <w:rsid w:val="356911E6"/>
    <w:rsid w:val="357E1CD7"/>
    <w:rsid w:val="360E5E12"/>
    <w:rsid w:val="36B17BF1"/>
    <w:rsid w:val="3703359E"/>
    <w:rsid w:val="374372E0"/>
    <w:rsid w:val="37507D57"/>
    <w:rsid w:val="37851863"/>
    <w:rsid w:val="379F064F"/>
    <w:rsid w:val="38145FA4"/>
    <w:rsid w:val="387A13BD"/>
    <w:rsid w:val="38A53F20"/>
    <w:rsid w:val="38D549FA"/>
    <w:rsid w:val="38EB3A7B"/>
    <w:rsid w:val="38EC3A07"/>
    <w:rsid w:val="3903438C"/>
    <w:rsid w:val="396F364F"/>
    <w:rsid w:val="3984334A"/>
    <w:rsid w:val="39A77381"/>
    <w:rsid w:val="3A3335B7"/>
    <w:rsid w:val="3A6F6E99"/>
    <w:rsid w:val="3AB663CC"/>
    <w:rsid w:val="3AC80E92"/>
    <w:rsid w:val="3AD34FAD"/>
    <w:rsid w:val="3B37322C"/>
    <w:rsid w:val="3B6D6BAA"/>
    <w:rsid w:val="3BE86D6D"/>
    <w:rsid w:val="3C755230"/>
    <w:rsid w:val="3C9FEB83"/>
    <w:rsid w:val="3CCD4DB4"/>
    <w:rsid w:val="3D355A2C"/>
    <w:rsid w:val="3D5E45C9"/>
    <w:rsid w:val="3D704DB0"/>
    <w:rsid w:val="3E1A3557"/>
    <w:rsid w:val="3E304E87"/>
    <w:rsid w:val="3E856CBB"/>
    <w:rsid w:val="3FB64363"/>
    <w:rsid w:val="3FDE5AF2"/>
    <w:rsid w:val="403E3A69"/>
    <w:rsid w:val="40552625"/>
    <w:rsid w:val="40F03CDE"/>
    <w:rsid w:val="416F7716"/>
    <w:rsid w:val="42860122"/>
    <w:rsid w:val="42DC7D90"/>
    <w:rsid w:val="42FF578F"/>
    <w:rsid w:val="434B5F61"/>
    <w:rsid w:val="437A4E3C"/>
    <w:rsid w:val="43D11879"/>
    <w:rsid w:val="44215270"/>
    <w:rsid w:val="443417CC"/>
    <w:rsid w:val="449C4424"/>
    <w:rsid w:val="44EA2668"/>
    <w:rsid w:val="45277666"/>
    <w:rsid w:val="45570695"/>
    <w:rsid w:val="456C0052"/>
    <w:rsid w:val="45B7128B"/>
    <w:rsid w:val="45B85CB4"/>
    <w:rsid w:val="46051EF7"/>
    <w:rsid w:val="46156884"/>
    <w:rsid w:val="464D7A1D"/>
    <w:rsid w:val="46F875AC"/>
    <w:rsid w:val="472E3F97"/>
    <w:rsid w:val="475C757D"/>
    <w:rsid w:val="47A45C40"/>
    <w:rsid w:val="47B202C9"/>
    <w:rsid w:val="47C87B80"/>
    <w:rsid w:val="47E214FF"/>
    <w:rsid w:val="481C1C63"/>
    <w:rsid w:val="486F33C3"/>
    <w:rsid w:val="48BD3BE7"/>
    <w:rsid w:val="48F76E20"/>
    <w:rsid w:val="49012FDB"/>
    <w:rsid w:val="491F3208"/>
    <w:rsid w:val="49666217"/>
    <w:rsid w:val="497E6F68"/>
    <w:rsid w:val="49A34051"/>
    <w:rsid w:val="49BF039E"/>
    <w:rsid w:val="4AE427EC"/>
    <w:rsid w:val="4B0A2C46"/>
    <w:rsid w:val="4B6F293E"/>
    <w:rsid w:val="4B761263"/>
    <w:rsid w:val="4BCF1B8A"/>
    <w:rsid w:val="4CE60D9D"/>
    <w:rsid w:val="4D700A9E"/>
    <w:rsid w:val="4DFB47C8"/>
    <w:rsid w:val="4E1460AC"/>
    <w:rsid w:val="4E5841D3"/>
    <w:rsid w:val="4EDA609C"/>
    <w:rsid w:val="4F797786"/>
    <w:rsid w:val="4F8553A5"/>
    <w:rsid w:val="50AC7814"/>
    <w:rsid w:val="50B90CFD"/>
    <w:rsid w:val="5160543E"/>
    <w:rsid w:val="521823EC"/>
    <w:rsid w:val="52DB741E"/>
    <w:rsid w:val="53287AE8"/>
    <w:rsid w:val="53315D16"/>
    <w:rsid w:val="53334B78"/>
    <w:rsid w:val="533ADBBF"/>
    <w:rsid w:val="534027FD"/>
    <w:rsid w:val="53767D7B"/>
    <w:rsid w:val="53916E8F"/>
    <w:rsid w:val="539D1358"/>
    <w:rsid w:val="54B55930"/>
    <w:rsid w:val="54D16D13"/>
    <w:rsid w:val="54D5698C"/>
    <w:rsid w:val="551203E2"/>
    <w:rsid w:val="55290A1B"/>
    <w:rsid w:val="553B1739"/>
    <w:rsid w:val="5569360C"/>
    <w:rsid w:val="558105B3"/>
    <w:rsid w:val="55FA0B9A"/>
    <w:rsid w:val="561402D5"/>
    <w:rsid w:val="5637484F"/>
    <w:rsid w:val="564C7A18"/>
    <w:rsid w:val="564E0F15"/>
    <w:rsid w:val="57BB35E3"/>
    <w:rsid w:val="58125BA5"/>
    <w:rsid w:val="5900361E"/>
    <w:rsid w:val="593A2835"/>
    <w:rsid w:val="59551141"/>
    <w:rsid w:val="5A032618"/>
    <w:rsid w:val="5A314CE7"/>
    <w:rsid w:val="5A490723"/>
    <w:rsid w:val="5ABD109B"/>
    <w:rsid w:val="5BA6720B"/>
    <w:rsid w:val="5BF428F1"/>
    <w:rsid w:val="5C3757E7"/>
    <w:rsid w:val="5C491D3E"/>
    <w:rsid w:val="5C952629"/>
    <w:rsid w:val="5C9A0C9C"/>
    <w:rsid w:val="5D2E4BA1"/>
    <w:rsid w:val="5D704629"/>
    <w:rsid w:val="5D852344"/>
    <w:rsid w:val="5D9B4391"/>
    <w:rsid w:val="5DBE37F8"/>
    <w:rsid w:val="5E1A6E03"/>
    <w:rsid w:val="5E271ED7"/>
    <w:rsid w:val="5E6D7E26"/>
    <w:rsid w:val="5EAE041F"/>
    <w:rsid w:val="5F100A56"/>
    <w:rsid w:val="5F2B6F1B"/>
    <w:rsid w:val="5F994E18"/>
    <w:rsid w:val="5FFB05DD"/>
    <w:rsid w:val="60291888"/>
    <w:rsid w:val="60574443"/>
    <w:rsid w:val="60FF489C"/>
    <w:rsid w:val="61011F76"/>
    <w:rsid w:val="610269A5"/>
    <w:rsid w:val="61194810"/>
    <w:rsid w:val="61C16189"/>
    <w:rsid w:val="61FC71EF"/>
    <w:rsid w:val="620845A1"/>
    <w:rsid w:val="62981268"/>
    <w:rsid w:val="62DE5FD2"/>
    <w:rsid w:val="62E1027E"/>
    <w:rsid w:val="634621C0"/>
    <w:rsid w:val="636944DB"/>
    <w:rsid w:val="637C7027"/>
    <w:rsid w:val="63B612A0"/>
    <w:rsid w:val="646377B2"/>
    <w:rsid w:val="64896FDD"/>
    <w:rsid w:val="648F3AA8"/>
    <w:rsid w:val="64AA73DE"/>
    <w:rsid w:val="64AB0E3D"/>
    <w:rsid w:val="64C20D8B"/>
    <w:rsid w:val="64F04D78"/>
    <w:rsid w:val="6533367E"/>
    <w:rsid w:val="65BE290C"/>
    <w:rsid w:val="65E03BBC"/>
    <w:rsid w:val="65E74BDC"/>
    <w:rsid w:val="66087A21"/>
    <w:rsid w:val="664F77DE"/>
    <w:rsid w:val="666913E6"/>
    <w:rsid w:val="66782817"/>
    <w:rsid w:val="66EB7F78"/>
    <w:rsid w:val="66F474C0"/>
    <w:rsid w:val="674F5770"/>
    <w:rsid w:val="679703A9"/>
    <w:rsid w:val="68727597"/>
    <w:rsid w:val="68DF61EC"/>
    <w:rsid w:val="6A3D1481"/>
    <w:rsid w:val="6A87126B"/>
    <w:rsid w:val="6A8E26C8"/>
    <w:rsid w:val="6AF8543E"/>
    <w:rsid w:val="6B00290C"/>
    <w:rsid w:val="6B4F3F91"/>
    <w:rsid w:val="6B5F1F85"/>
    <w:rsid w:val="6B8A5729"/>
    <w:rsid w:val="6BFE4D16"/>
    <w:rsid w:val="6C077337"/>
    <w:rsid w:val="6C0A65AA"/>
    <w:rsid w:val="6C582842"/>
    <w:rsid w:val="6C6D0BD9"/>
    <w:rsid w:val="6C92761C"/>
    <w:rsid w:val="6CD23EAC"/>
    <w:rsid w:val="6D282002"/>
    <w:rsid w:val="6D5043D0"/>
    <w:rsid w:val="6DBB414A"/>
    <w:rsid w:val="6DBC6D3C"/>
    <w:rsid w:val="6DD50263"/>
    <w:rsid w:val="6DEB6ADF"/>
    <w:rsid w:val="6EB94D2B"/>
    <w:rsid w:val="6EC46274"/>
    <w:rsid w:val="6EEF7CA5"/>
    <w:rsid w:val="6EF56810"/>
    <w:rsid w:val="6F093531"/>
    <w:rsid w:val="6F1E737C"/>
    <w:rsid w:val="6F536C03"/>
    <w:rsid w:val="6FB743EE"/>
    <w:rsid w:val="6FEA7A9C"/>
    <w:rsid w:val="700A4AFE"/>
    <w:rsid w:val="70474A63"/>
    <w:rsid w:val="70E9031C"/>
    <w:rsid w:val="71071B51"/>
    <w:rsid w:val="71506AC0"/>
    <w:rsid w:val="72313FED"/>
    <w:rsid w:val="7274704E"/>
    <w:rsid w:val="72CD2B5D"/>
    <w:rsid w:val="72DD2263"/>
    <w:rsid w:val="72FC50AA"/>
    <w:rsid w:val="73870866"/>
    <w:rsid w:val="73873608"/>
    <w:rsid w:val="741F0DBF"/>
    <w:rsid w:val="74303A97"/>
    <w:rsid w:val="74824553"/>
    <w:rsid w:val="74A12790"/>
    <w:rsid w:val="74A36C8A"/>
    <w:rsid w:val="74AE0D42"/>
    <w:rsid w:val="74B25AED"/>
    <w:rsid w:val="74C917BC"/>
    <w:rsid w:val="74CE0A7A"/>
    <w:rsid w:val="751C2F65"/>
    <w:rsid w:val="753D68A2"/>
    <w:rsid w:val="75C2587C"/>
    <w:rsid w:val="76856AB9"/>
    <w:rsid w:val="76893F48"/>
    <w:rsid w:val="768A0573"/>
    <w:rsid w:val="76957881"/>
    <w:rsid w:val="77013E9B"/>
    <w:rsid w:val="77302EC9"/>
    <w:rsid w:val="776E568D"/>
    <w:rsid w:val="7770402C"/>
    <w:rsid w:val="77930267"/>
    <w:rsid w:val="77BF120C"/>
    <w:rsid w:val="784763DE"/>
    <w:rsid w:val="78BB6390"/>
    <w:rsid w:val="78CE53DF"/>
    <w:rsid w:val="78EC0453"/>
    <w:rsid w:val="79652BD2"/>
    <w:rsid w:val="796B468C"/>
    <w:rsid w:val="7970602A"/>
    <w:rsid w:val="798F5005"/>
    <w:rsid w:val="79AB78A4"/>
    <w:rsid w:val="7A023A6F"/>
    <w:rsid w:val="7A344700"/>
    <w:rsid w:val="7A6B4218"/>
    <w:rsid w:val="7AC727D9"/>
    <w:rsid w:val="7ADC72D9"/>
    <w:rsid w:val="7AE11B82"/>
    <w:rsid w:val="7B226246"/>
    <w:rsid w:val="7B5A14E8"/>
    <w:rsid w:val="7BFD6A70"/>
    <w:rsid w:val="7C751FB1"/>
    <w:rsid w:val="7CA129C3"/>
    <w:rsid w:val="7D2750B3"/>
    <w:rsid w:val="7D847772"/>
    <w:rsid w:val="7DAA5057"/>
    <w:rsid w:val="7DBA17B2"/>
    <w:rsid w:val="7DCE5629"/>
    <w:rsid w:val="7DCF1B39"/>
    <w:rsid w:val="7DED2A5C"/>
    <w:rsid w:val="7E1D267E"/>
    <w:rsid w:val="7E7713DD"/>
    <w:rsid w:val="7EE360E7"/>
    <w:rsid w:val="7F1C7CD6"/>
    <w:rsid w:val="7F1E2FAB"/>
    <w:rsid w:val="7F436797"/>
    <w:rsid w:val="7F4C6F18"/>
    <w:rsid w:val="7F6A1A59"/>
    <w:rsid w:val="7F855CF8"/>
    <w:rsid w:val="7FD43F1B"/>
    <w:rsid w:val="97DD01EB"/>
    <w:rsid w:val="ABFF953C"/>
    <w:rsid w:val="D7CE509D"/>
    <w:rsid w:val="DD7F5B04"/>
    <w:rsid w:val="DEFFAB89"/>
    <w:rsid w:val="DF929CE6"/>
    <w:rsid w:val="DFD76AA9"/>
    <w:rsid w:val="F1FF3FD4"/>
    <w:rsid w:val="F41F579C"/>
    <w:rsid w:val="FEBF811D"/>
    <w:rsid w:val="FF773C0A"/>
    <w:rsid w:val="FF7A9152"/>
    <w:rsid w:val="FF7FB0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6"/>
    <w:qFormat/>
    <w:uiPriority w:val="9"/>
    <w:pPr>
      <w:keepNext/>
      <w:keepLines/>
      <w:spacing w:before="260" w:after="260" w:line="416" w:lineRule="auto"/>
      <w:outlineLvl w:val="2"/>
    </w:pPr>
    <w:rPr>
      <w:b/>
      <w:bCs/>
      <w:kern w:val="0"/>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5">
    <w:name w:val="annotation text"/>
    <w:basedOn w:val="1"/>
    <w:link w:val="37"/>
    <w:unhideWhenUsed/>
    <w:qFormat/>
    <w:uiPriority w:val="99"/>
    <w:pPr>
      <w:jc w:val="left"/>
    </w:pPr>
    <w:rPr>
      <w:kern w:val="0"/>
      <w:sz w:val="20"/>
      <w:szCs w:val="20"/>
    </w:rPr>
  </w:style>
  <w:style w:type="paragraph" w:styleId="6">
    <w:name w:val="Body Text"/>
    <w:basedOn w:val="1"/>
    <w:unhideWhenUsed/>
    <w:qFormat/>
    <w:uiPriority w:val="0"/>
    <w:pPr>
      <w:spacing w:line="560" w:lineRule="exact"/>
      <w:ind w:firstLine="960" w:firstLineChars="200"/>
    </w:pPr>
    <w:rPr>
      <w:rFonts w:ascii="仿宋_GB2312" w:hAnsi="仿宋_GB2312" w:eastAsia="仿宋_GB2312"/>
      <w:sz w:val="30"/>
    </w:rPr>
  </w:style>
  <w:style w:type="paragraph" w:styleId="7">
    <w:name w:val="toc 3"/>
    <w:basedOn w:val="1"/>
    <w:next w:val="1"/>
    <w:unhideWhenUsed/>
    <w:qFormat/>
    <w:uiPriority w:val="39"/>
    <w:pPr>
      <w:ind w:left="840" w:leftChars="400"/>
    </w:pPr>
  </w:style>
  <w:style w:type="paragraph" w:styleId="8">
    <w:name w:val="Date"/>
    <w:basedOn w:val="1"/>
    <w:next w:val="1"/>
    <w:link w:val="38"/>
    <w:unhideWhenUsed/>
    <w:qFormat/>
    <w:uiPriority w:val="99"/>
    <w:pPr>
      <w:ind w:left="100" w:leftChars="2500"/>
    </w:pPr>
    <w:rPr>
      <w:kern w:val="0"/>
      <w:sz w:val="20"/>
      <w:szCs w:val="20"/>
    </w:rPr>
  </w:style>
  <w:style w:type="paragraph" w:styleId="9">
    <w:name w:val="Body Text Indent 2"/>
    <w:basedOn w:val="1"/>
    <w:qFormat/>
    <w:uiPriority w:val="0"/>
    <w:pPr>
      <w:spacing w:after="120" w:line="480" w:lineRule="auto"/>
      <w:ind w:left="420" w:leftChars="200"/>
    </w:pPr>
    <w:rPr>
      <w:rFonts w:ascii="宋体" w:eastAsia="宋体"/>
      <w:sz w:val="24"/>
      <w:szCs w:val="24"/>
    </w:rPr>
  </w:style>
  <w:style w:type="paragraph" w:styleId="10">
    <w:name w:val="Balloon Text"/>
    <w:basedOn w:val="1"/>
    <w:link w:val="39"/>
    <w:unhideWhenUsed/>
    <w:qFormat/>
    <w:uiPriority w:val="99"/>
    <w:rPr>
      <w:kern w:val="0"/>
      <w:sz w:val="18"/>
      <w:szCs w:val="18"/>
    </w:rPr>
  </w:style>
  <w:style w:type="paragraph" w:styleId="11">
    <w:name w:val="footer"/>
    <w:basedOn w:val="1"/>
    <w:link w:val="40"/>
    <w:unhideWhenUsed/>
    <w:qFormat/>
    <w:uiPriority w:val="99"/>
    <w:pPr>
      <w:tabs>
        <w:tab w:val="center" w:pos="4153"/>
        <w:tab w:val="right" w:pos="8306"/>
      </w:tabs>
      <w:snapToGrid w:val="0"/>
      <w:jc w:val="left"/>
    </w:pPr>
    <w:rPr>
      <w:kern w:val="0"/>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spacing w:before="360"/>
      <w:jc w:val="left"/>
    </w:pPr>
    <w:rPr>
      <w:rFonts w:ascii="Cambria" w:hAnsi="Cambria" w:eastAsia="仿宋_GB2312"/>
      <w:b/>
      <w:bCs/>
      <w:caps/>
      <w:w w:val="90"/>
      <w:sz w:val="24"/>
      <w:szCs w:val="24"/>
    </w:rPr>
  </w:style>
  <w:style w:type="paragraph" w:styleId="14">
    <w:name w:val="footnote text"/>
    <w:basedOn w:val="1"/>
    <w:link w:val="42"/>
    <w:unhideWhenUsed/>
    <w:qFormat/>
    <w:uiPriority w:val="99"/>
    <w:pPr>
      <w:snapToGrid w:val="0"/>
      <w:jc w:val="left"/>
    </w:pPr>
    <w:rPr>
      <w:kern w:val="0"/>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43"/>
    <w:qFormat/>
    <w:uiPriority w:val="10"/>
    <w:pPr>
      <w:spacing w:before="240" w:after="60"/>
      <w:jc w:val="center"/>
      <w:outlineLvl w:val="0"/>
    </w:pPr>
    <w:rPr>
      <w:rFonts w:ascii="Calibri Light" w:hAnsi="Calibri Light"/>
      <w:b/>
      <w:bCs/>
      <w:kern w:val="0"/>
      <w:sz w:val="32"/>
      <w:szCs w:val="32"/>
    </w:rPr>
  </w:style>
  <w:style w:type="paragraph" w:styleId="18">
    <w:name w:val="annotation subject"/>
    <w:basedOn w:val="5"/>
    <w:next w:val="5"/>
    <w:link w:val="44"/>
    <w:unhideWhenUsed/>
    <w:qFormat/>
    <w:uiPriority w:val="99"/>
    <w:pPr>
      <w:spacing w:line="360" w:lineRule="auto"/>
    </w:pPr>
    <w:rPr>
      <w:rFonts w:ascii="Times New Roman" w:hAnsi="Times New Roman" w:eastAsia="仿宋_GB2312"/>
      <w:b/>
      <w:bCs/>
      <w:sz w:val="24"/>
    </w:rPr>
  </w:style>
  <w:style w:type="table" w:styleId="20">
    <w:name w:val="Table Grid"/>
    <w:basedOn w:val="1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rPr>
  </w:style>
  <w:style w:type="character" w:styleId="23">
    <w:name w:val="FollowedHyperlink"/>
    <w:unhideWhenUsed/>
    <w:qFormat/>
    <w:uiPriority w:val="99"/>
    <w:rPr>
      <w:color w:val="338DE6"/>
      <w:u w:val="none"/>
    </w:rPr>
  </w:style>
  <w:style w:type="character" w:styleId="24">
    <w:name w:val="Emphasis"/>
    <w:qFormat/>
    <w:uiPriority w:val="20"/>
  </w:style>
  <w:style w:type="character" w:styleId="25">
    <w:name w:val="HTML Definition"/>
    <w:unhideWhenUsed/>
    <w:qFormat/>
    <w:uiPriority w:val="99"/>
  </w:style>
  <w:style w:type="character" w:styleId="26">
    <w:name w:val="HTML Variable"/>
    <w:unhideWhenUsed/>
    <w:qFormat/>
    <w:uiPriority w:val="99"/>
  </w:style>
  <w:style w:type="character" w:styleId="27">
    <w:name w:val="Hyperlink"/>
    <w:qFormat/>
    <w:uiPriority w:val="99"/>
    <w:rPr>
      <w:rFonts w:cs="Times New Roman"/>
      <w:color w:val="0000FF"/>
      <w:u w:val="single"/>
    </w:rPr>
  </w:style>
  <w:style w:type="character" w:styleId="28">
    <w:name w:val="HTML Code"/>
    <w:unhideWhenUsed/>
    <w:qFormat/>
    <w:uiPriority w:val="99"/>
    <w:rPr>
      <w:rFonts w:ascii="serif" w:hAnsi="serif" w:eastAsia="serif" w:cs="serif"/>
      <w:sz w:val="21"/>
      <w:szCs w:val="21"/>
    </w:rPr>
  </w:style>
  <w:style w:type="character" w:styleId="29">
    <w:name w:val="annotation reference"/>
    <w:unhideWhenUsed/>
    <w:qFormat/>
    <w:uiPriority w:val="99"/>
    <w:rPr>
      <w:sz w:val="16"/>
      <w:szCs w:val="16"/>
    </w:rPr>
  </w:style>
  <w:style w:type="character" w:styleId="30">
    <w:name w:val="HTML Cite"/>
    <w:unhideWhenUsed/>
    <w:qFormat/>
    <w:uiPriority w:val="99"/>
  </w:style>
  <w:style w:type="character" w:styleId="31">
    <w:name w:val="footnote reference"/>
    <w:unhideWhenUsed/>
    <w:qFormat/>
    <w:uiPriority w:val="99"/>
    <w:rPr>
      <w:vertAlign w:val="superscript"/>
    </w:rPr>
  </w:style>
  <w:style w:type="character" w:styleId="32">
    <w:name w:val="HTML Keyboard"/>
    <w:unhideWhenUsed/>
    <w:qFormat/>
    <w:uiPriority w:val="99"/>
    <w:rPr>
      <w:rFonts w:hint="default" w:ascii="serif" w:hAnsi="serif" w:eastAsia="serif" w:cs="serif"/>
      <w:sz w:val="21"/>
      <w:szCs w:val="21"/>
    </w:rPr>
  </w:style>
  <w:style w:type="character" w:styleId="33">
    <w:name w:val="HTML Sample"/>
    <w:unhideWhenUsed/>
    <w:qFormat/>
    <w:uiPriority w:val="99"/>
    <w:rPr>
      <w:rFonts w:hint="default" w:ascii="serif" w:hAnsi="serif" w:eastAsia="serif" w:cs="serif"/>
      <w:sz w:val="21"/>
      <w:szCs w:val="21"/>
    </w:rPr>
  </w:style>
  <w:style w:type="character" w:customStyle="1" w:styleId="34">
    <w:name w:val="标题 1 字符"/>
    <w:link w:val="2"/>
    <w:qFormat/>
    <w:uiPriority w:val="9"/>
    <w:rPr>
      <w:rFonts w:ascii="Times New Roman" w:hAnsi="Times New Roman" w:eastAsia="宋体" w:cs="Times New Roman"/>
      <w:b/>
      <w:bCs/>
      <w:kern w:val="44"/>
      <w:sz w:val="44"/>
      <w:szCs w:val="44"/>
    </w:rPr>
  </w:style>
  <w:style w:type="character" w:customStyle="1" w:styleId="35">
    <w:name w:val="标题 2 字符"/>
    <w:link w:val="3"/>
    <w:qFormat/>
    <w:uiPriority w:val="9"/>
    <w:rPr>
      <w:rFonts w:ascii="Cambria" w:hAnsi="Cambria" w:eastAsia="宋体" w:cs="Times New Roman"/>
      <w:b/>
      <w:bCs/>
      <w:sz w:val="32"/>
      <w:szCs w:val="32"/>
    </w:rPr>
  </w:style>
  <w:style w:type="character" w:customStyle="1" w:styleId="36">
    <w:name w:val="标题 3 字符"/>
    <w:link w:val="4"/>
    <w:qFormat/>
    <w:uiPriority w:val="9"/>
    <w:rPr>
      <w:rFonts w:ascii="Calibri" w:hAnsi="Calibri" w:eastAsia="宋体" w:cs="Times New Roman"/>
      <w:b/>
      <w:bCs/>
      <w:sz w:val="32"/>
      <w:szCs w:val="32"/>
    </w:rPr>
  </w:style>
  <w:style w:type="character" w:customStyle="1" w:styleId="37">
    <w:name w:val="批注文字 字符"/>
    <w:link w:val="5"/>
    <w:qFormat/>
    <w:uiPriority w:val="99"/>
    <w:rPr>
      <w:rFonts w:ascii="Calibri" w:hAnsi="Calibri" w:eastAsia="宋体" w:cs="Times New Roman"/>
    </w:rPr>
  </w:style>
  <w:style w:type="character" w:customStyle="1" w:styleId="38">
    <w:name w:val="日期 字符"/>
    <w:link w:val="8"/>
    <w:semiHidden/>
    <w:qFormat/>
    <w:uiPriority w:val="99"/>
    <w:rPr>
      <w:rFonts w:ascii="Calibri" w:hAnsi="Calibri" w:eastAsia="宋体" w:cs="Times New Roman"/>
    </w:rPr>
  </w:style>
  <w:style w:type="character" w:customStyle="1" w:styleId="39">
    <w:name w:val="批注框文本 字符"/>
    <w:link w:val="10"/>
    <w:semiHidden/>
    <w:qFormat/>
    <w:uiPriority w:val="99"/>
    <w:rPr>
      <w:rFonts w:ascii="Calibri" w:hAnsi="Calibri" w:eastAsia="宋体" w:cs="Times New Roman"/>
      <w:sz w:val="18"/>
      <w:szCs w:val="18"/>
    </w:rPr>
  </w:style>
  <w:style w:type="character" w:customStyle="1" w:styleId="40">
    <w:name w:val="页脚 字符"/>
    <w:link w:val="11"/>
    <w:qFormat/>
    <w:uiPriority w:val="99"/>
    <w:rPr>
      <w:rFonts w:ascii="Calibri" w:hAnsi="Calibri" w:eastAsia="宋体" w:cs="Times New Roman"/>
      <w:sz w:val="18"/>
      <w:szCs w:val="18"/>
    </w:rPr>
  </w:style>
  <w:style w:type="character" w:customStyle="1" w:styleId="41">
    <w:name w:val="页眉 字符"/>
    <w:link w:val="12"/>
    <w:qFormat/>
    <w:uiPriority w:val="99"/>
    <w:rPr>
      <w:rFonts w:ascii="Calibri" w:hAnsi="Calibri" w:eastAsia="宋体" w:cs="Times New Roman"/>
      <w:sz w:val="18"/>
      <w:szCs w:val="18"/>
    </w:rPr>
  </w:style>
  <w:style w:type="character" w:customStyle="1" w:styleId="42">
    <w:name w:val="脚注文本 字符"/>
    <w:link w:val="14"/>
    <w:semiHidden/>
    <w:qFormat/>
    <w:uiPriority w:val="99"/>
    <w:rPr>
      <w:rFonts w:ascii="Calibri" w:hAnsi="Calibri" w:eastAsia="宋体" w:cs="Times New Roman"/>
      <w:sz w:val="18"/>
      <w:szCs w:val="18"/>
    </w:rPr>
  </w:style>
  <w:style w:type="character" w:customStyle="1" w:styleId="43">
    <w:name w:val="标题 字符"/>
    <w:link w:val="17"/>
    <w:qFormat/>
    <w:uiPriority w:val="10"/>
    <w:rPr>
      <w:rFonts w:ascii="Calibri Light" w:hAnsi="Calibri Light" w:eastAsia="宋体" w:cs="Times New Roman"/>
      <w:b/>
      <w:bCs/>
      <w:sz w:val="32"/>
      <w:szCs w:val="32"/>
    </w:rPr>
  </w:style>
  <w:style w:type="character" w:customStyle="1" w:styleId="44">
    <w:name w:val="批注主题 字符"/>
    <w:link w:val="18"/>
    <w:semiHidden/>
    <w:qFormat/>
    <w:uiPriority w:val="99"/>
    <w:rPr>
      <w:rFonts w:ascii="Times New Roman" w:hAnsi="Times New Roman" w:eastAsia="仿宋_GB2312" w:cs="Times New Roman"/>
      <w:b/>
      <w:bCs/>
      <w:sz w:val="24"/>
    </w:rPr>
  </w:style>
  <w:style w:type="character" w:customStyle="1" w:styleId="45">
    <w:name w:val="标题 1 Char"/>
    <w:link w:val="2"/>
    <w:qFormat/>
    <w:uiPriority w:val="9"/>
    <w:rPr>
      <w:rFonts w:ascii="Calibri" w:hAnsi="Calibri" w:eastAsia="宋体" w:cs="Times New Roman"/>
      <w:b/>
      <w:bCs/>
      <w:kern w:val="44"/>
      <w:sz w:val="44"/>
      <w:szCs w:val="44"/>
    </w:rPr>
  </w:style>
  <w:style w:type="character" w:customStyle="1" w:styleId="46">
    <w:name w:val="标题 Char1"/>
    <w:qFormat/>
    <w:uiPriority w:val="10"/>
    <w:rPr>
      <w:rFonts w:ascii="Cambria" w:hAnsi="Cambria" w:eastAsia="宋体" w:cs="Times New Roman"/>
      <w:b/>
      <w:bCs/>
      <w:sz w:val="32"/>
      <w:szCs w:val="32"/>
    </w:rPr>
  </w:style>
  <w:style w:type="character" w:customStyle="1" w:styleId="47">
    <w:name w:val="fontborder"/>
    <w:qFormat/>
    <w:uiPriority w:val="0"/>
    <w:rPr>
      <w:bdr w:val="single" w:color="000000" w:sz="4" w:space="0"/>
    </w:rPr>
  </w:style>
  <w:style w:type="character" w:customStyle="1" w:styleId="48">
    <w:name w:val="fontstrikethrough"/>
    <w:qFormat/>
    <w:uiPriority w:val="0"/>
    <w:rPr>
      <w:strike/>
    </w:rPr>
  </w:style>
  <w:style w:type="character" w:customStyle="1" w:styleId="49">
    <w:name w:val="font21"/>
    <w:qFormat/>
    <w:uiPriority w:val="0"/>
    <w:rPr>
      <w:rFonts w:hint="eastAsia" w:ascii="仿宋" w:hAnsi="仿宋" w:eastAsia="仿宋" w:cs="仿宋"/>
      <w:color w:val="000000"/>
      <w:sz w:val="28"/>
      <w:szCs w:val="28"/>
      <w:u w:val="none"/>
    </w:rPr>
  </w:style>
  <w:style w:type="character" w:customStyle="1" w:styleId="50">
    <w:name w:val="font61"/>
    <w:qFormat/>
    <w:uiPriority w:val="0"/>
    <w:rPr>
      <w:rFonts w:hint="eastAsia" w:ascii="宋体" w:hAnsi="宋体" w:eastAsia="宋体" w:cs="宋体"/>
      <w:color w:val="FF0000"/>
      <w:sz w:val="20"/>
      <w:szCs w:val="20"/>
      <w:u w:val="none"/>
    </w:rPr>
  </w:style>
  <w:style w:type="character" w:customStyle="1" w:styleId="51">
    <w:name w:val="批注文字 Char"/>
    <w:semiHidden/>
    <w:qFormat/>
    <w:uiPriority w:val="99"/>
    <w:rPr>
      <w:rFonts w:ascii="Times New Roman" w:hAnsi="Times New Roman" w:eastAsia="仿宋_GB2312"/>
      <w:sz w:val="24"/>
    </w:rPr>
  </w:style>
  <w:style w:type="character" w:customStyle="1" w:styleId="52">
    <w:name w:val="font41"/>
    <w:qFormat/>
    <w:uiPriority w:val="0"/>
    <w:rPr>
      <w:rFonts w:hint="eastAsia" w:ascii="仿宋" w:hAnsi="仿宋" w:eastAsia="仿宋" w:cs="仿宋"/>
      <w:color w:val="000000"/>
      <w:sz w:val="28"/>
      <w:szCs w:val="28"/>
      <w:u w:val="none"/>
    </w:rPr>
  </w:style>
  <w:style w:type="character" w:customStyle="1" w:styleId="53">
    <w:name w:val="font01"/>
    <w:qFormat/>
    <w:uiPriority w:val="0"/>
    <w:rPr>
      <w:rFonts w:hint="eastAsia" w:ascii="仿宋" w:hAnsi="仿宋" w:eastAsia="仿宋" w:cs="仿宋"/>
      <w:color w:val="000000"/>
      <w:sz w:val="28"/>
      <w:szCs w:val="28"/>
      <w:u w:val="none"/>
    </w:rPr>
  </w:style>
  <w:style w:type="character" w:customStyle="1" w:styleId="54">
    <w:name w:val="font11"/>
    <w:qFormat/>
    <w:uiPriority w:val="0"/>
    <w:rPr>
      <w:rFonts w:hint="eastAsia" w:ascii="仿宋" w:hAnsi="仿宋" w:eastAsia="仿宋" w:cs="仿宋"/>
      <w:color w:val="000000"/>
      <w:sz w:val="28"/>
      <w:szCs w:val="28"/>
      <w:u w:val="none"/>
    </w:rPr>
  </w:style>
  <w:style w:type="character" w:customStyle="1" w:styleId="55">
    <w:name w:val="Placeholder Text"/>
    <w:semiHidden/>
    <w:qFormat/>
    <w:uiPriority w:val="99"/>
    <w:rPr>
      <w:color w:val="808080"/>
    </w:rPr>
  </w:style>
  <w:style w:type="character" w:customStyle="1" w:styleId="56">
    <w:name w:val="font31"/>
    <w:qFormat/>
    <w:uiPriority w:val="0"/>
    <w:rPr>
      <w:rFonts w:hint="eastAsia" w:ascii="仿宋" w:hAnsi="仿宋" w:eastAsia="仿宋" w:cs="仿宋"/>
      <w:color w:val="000000"/>
      <w:sz w:val="28"/>
      <w:szCs w:val="28"/>
      <w:u w:val="none"/>
    </w:rPr>
  </w:style>
  <w:style w:type="paragraph" w:customStyle="1" w:styleId="57">
    <w:name w:val="_Style 3"/>
    <w:basedOn w:val="1"/>
    <w:next w:val="58"/>
    <w:unhideWhenUsed/>
    <w:qFormat/>
    <w:uiPriority w:val="99"/>
    <w:pPr>
      <w:spacing w:line="360" w:lineRule="auto"/>
      <w:ind w:firstLine="420" w:firstLineChars="200"/>
      <w:jc w:val="left"/>
    </w:pPr>
    <w:rPr>
      <w:rFonts w:ascii="Times New Roman" w:hAnsi="Times New Roman" w:eastAsia="仿宋"/>
      <w:sz w:val="32"/>
      <w:szCs w:val="24"/>
      <w:lang w:eastAsia="zh-TW"/>
    </w:rPr>
  </w:style>
  <w:style w:type="paragraph" w:customStyle="1" w:styleId="58">
    <w:name w:val="列表段落1"/>
    <w:basedOn w:val="1"/>
    <w:qFormat/>
    <w:uiPriority w:val="34"/>
    <w:pPr>
      <w:ind w:firstLine="420" w:firstLineChars="200"/>
    </w:pPr>
  </w:style>
  <w:style w:type="paragraph" w:customStyle="1" w:styleId="59">
    <w:name w:val="标题1"/>
    <w:basedOn w:val="1"/>
    <w:next w:val="1"/>
    <w:qFormat/>
    <w:uiPriority w:val="10"/>
    <w:pPr>
      <w:keepLines/>
      <w:spacing w:before="240" w:after="60" w:line="360" w:lineRule="auto"/>
      <w:jc w:val="left"/>
      <w:outlineLvl w:val="2"/>
    </w:pPr>
    <w:rPr>
      <w:rFonts w:ascii="Calibri Light" w:hAnsi="Calibri Light"/>
      <w:b/>
      <w:bCs/>
      <w:sz w:val="32"/>
      <w:szCs w:val="32"/>
    </w:rPr>
  </w:style>
  <w:style w:type="paragraph" w:customStyle="1" w:styleId="60">
    <w:name w:val="批注文字1"/>
    <w:basedOn w:val="1"/>
    <w:next w:val="5"/>
    <w:unhideWhenUsed/>
    <w:qFormat/>
    <w:uiPriority w:val="99"/>
    <w:pPr>
      <w:widowControl/>
      <w:spacing w:after="200" w:line="276" w:lineRule="auto"/>
      <w:jc w:val="left"/>
    </w:pPr>
  </w:style>
  <w:style w:type="paragraph" w:customStyle="1" w:styleId="61">
    <w:name w:val="List Paragraph"/>
    <w:basedOn w:val="1"/>
    <w:qFormat/>
    <w:uiPriority w:val="34"/>
    <w:pPr>
      <w:ind w:firstLine="420" w:firstLineChars="200"/>
    </w:pPr>
    <w:rPr>
      <w:rFonts w:ascii="Calibri" w:hAnsi="Calibri" w:eastAsia="宋体" w:cs="Times New Roman"/>
    </w:rPr>
  </w:style>
  <w:style w:type="table" w:customStyle="1" w:styleId="62">
    <w:name w:val="网格型1"/>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2"/>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
    <w:name w:val="font101"/>
    <w:qFormat/>
    <w:uiPriority w:val="0"/>
    <w:rPr>
      <w:rFonts w:ascii="Arial" w:hAnsi="Arial" w:cs="Arial"/>
      <w:color w:val="000000"/>
      <w:sz w:val="21"/>
      <w:szCs w:val="21"/>
      <w:u w:val="none"/>
    </w:rPr>
  </w:style>
  <w:style w:type="character" w:customStyle="1" w:styleId="65">
    <w:name w:val="font112"/>
    <w:qFormat/>
    <w:uiPriority w:val="0"/>
    <w:rPr>
      <w:rFonts w:hint="eastAsia" w:ascii="宋体" w:hAnsi="宋体" w:eastAsia="宋体" w:cs="宋体"/>
      <w:color w:val="000000"/>
      <w:sz w:val="21"/>
      <w:szCs w:val="21"/>
      <w:u w:val="none"/>
    </w:rPr>
  </w:style>
  <w:style w:type="character" w:customStyle="1" w:styleId="66">
    <w:name w:val="font71"/>
    <w:qFormat/>
    <w:uiPriority w:val="0"/>
    <w:rPr>
      <w:rFonts w:hint="eastAsia" w:ascii="等线" w:hAnsi="等线" w:eastAsia="等线" w:cs="等线"/>
      <w:color w:val="000000"/>
      <w:sz w:val="21"/>
      <w:szCs w:val="21"/>
      <w:u w:val="none"/>
    </w:rPr>
  </w:style>
  <w:style w:type="character" w:customStyle="1" w:styleId="67">
    <w:name w:val="font91"/>
    <w:qFormat/>
    <w:uiPriority w:val="0"/>
    <w:rPr>
      <w:rFonts w:ascii="Arial" w:hAnsi="Arial" w:cs="Arial"/>
      <w:color w:val="000000"/>
      <w:sz w:val="21"/>
      <w:szCs w:val="21"/>
      <w:u w:val="none"/>
    </w:rPr>
  </w:style>
  <w:style w:type="paragraph" w:customStyle="1" w:styleId="68">
    <w:name w:val="WPSOffice手动目录 1"/>
    <w:qFormat/>
    <w:uiPriority w:val="0"/>
    <w:rPr>
      <w:rFonts w:ascii="Times New Roman" w:hAnsi="Times New Roman" w:eastAsia="宋体" w:cs="Times New Roman"/>
      <w:lang w:val="en-US" w:eastAsia="zh-CN" w:bidi="ar-SA"/>
    </w:rPr>
  </w:style>
  <w:style w:type="paragraph" w:customStyle="1" w:styleId="69">
    <w:name w:val="index 91"/>
    <w:basedOn w:val="1"/>
    <w:next w:val="1"/>
    <w:qFormat/>
    <w:uiPriority w:val="0"/>
    <w:pPr>
      <w:ind w:left="336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14559</Words>
  <Characters>16433</Characters>
  <Lines>124</Lines>
  <Paragraphs>34</Paragraphs>
  <TotalTime>2</TotalTime>
  <ScaleCrop>false</ScaleCrop>
  <LinksUpToDate>false</LinksUpToDate>
  <CharactersWithSpaces>16466</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2021-05-30T07:30:00Z</dcterms:created>
  <dc:creator>admin</dc:creator>
  <cp:lastModifiedBy>aaa</cp:lastModifiedBy>
  <cp:lastPrinted>2023-08-16T16:56:00Z</cp:lastPrinted>
  <dcterms:modified xsi:type="dcterms:W3CDTF">2024-04-23T11:08:10Z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E7BC911B50C3E6F81A26276655947E09</vt:lpwstr>
  </property>
</Properties>
</file>