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rPr>
          <w:rFonts w:ascii="楷体" w:hAnsi="楷体" w:eastAsia="楷体"/>
          <w:b/>
          <w:color w:val="auto"/>
          <w:szCs w:val="21"/>
          <w:highlight w:val="none"/>
          <w:lang w:bidi="ar"/>
        </w:rPr>
      </w:pPr>
    </w:p>
    <w:p>
      <w:pPr>
        <w:widowControl/>
        <w:spacing w:before="156" w:beforeLines="50" w:line="360" w:lineRule="auto"/>
        <w:jc w:val="center"/>
        <w:rPr>
          <w:rFonts w:ascii="楷体" w:hAnsi="楷体" w:eastAsia="楷体"/>
          <w:b/>
          <w:color w:val="auto"/>
          <w:szCs w:val="21"/>
          <w:highlight w:val="none"/>
          <w:lang w:bidi="ar"/>
        </w:rPr>
      </w:pPr>
    </w:p>
    <w:p>
      <w:pPr>
        <w:adjustRightInd w:val="0"/>
        <w:snapToGrid w:val="0"/>
        <w:spacing w:line="360" w:lineRule="auto"/>
        <w:jc w:val="center"/>
        <w:rPr>
          <w:rFonts w:ascii="楷体" w:hAnsi="楷体" w:eastAsia="楷体"/>
          <w:b/>
          <w:color w:val="auto"/>
          <w:sz w:val="44"/>
          <w:szCs w:val="44"/>
          <w:highlight w:val="none"/>
          <w:lang w:bidi="ar"/>
        </w:rPr>
      </w:pPr>
    </w:p>
    <w:p>
      <w:pPr>
        <w:adjustRightInd w:val="0"/>
        <w:snapToGrid w:val="0"/>
        <w:spacing w:line="360" w:lineRule="auto"/>
        <w:jc w:val="center"/>
        <w:outlineLvl w:val="0"/>
        <w:rPr>
          <w:rFonts w:hint="eastAsia" w:ascii="楷体" w:hAnsi="楷体" w:eastAsia="楷体"/>
          <w:b/>
          <w:color w:val="auto"/>
          <w:sz w:val="44"/>
          <w:szCs w:val="44"/>
          <w:highlight w:val="none"/>
          <w:lang w:eastAsia="zh-CN" w:bidi="ar"/>
        </w:rPr>
      </w:pPr>
      <w:bookmarkStart w:id="0" w:name="_Toc8111"/>
      <w:r>
        <w:rPr>
          <w:rFonts w:hint="eastAsia" w:ascii="楷体" w:hAnsi="楷体" w:eastAsia="楷体"/>
          <w:b/>
          <w:color w:val="auto"/>
          <w:sz w:val="44"/>
          <w:szCs w:val="44"/>
          <w:highlight w:val="none"/>
          <w:lang w:eastAsia="zh-CN" w:bidi="ar"/>
        </w:rPr>
        <w:t>鄂尔多斯市招商投资集团有限责任公司</w:t>
      </w:r>
      <w:bookmarkEnd w:id="0"/>
    </w:p>
    <w:p>
      <w:pPr>
        <w:adjustRightInd w:val="0"/>
        <w:snapToGrid w:val="0"/>
        <w:spacing w:line="360" w:lineRule="auto"/>
        <w:jc w:val="center"/>
        <w:rPr>
          <w:rFonts w:ascii="黑体" w:hAnsi="宋体" w:eastAsia="黑体"/>
          <w:b/>
          <w:color w:val="auto"/>
          <w:sz w:val="72"/>
          <w:szCs w:val="72"/>
          <w:highlight w:val="none"/>
          <w:lang w:val="zh-CN" w:bidi="ar"/>
        </w:rPr>
      </w:pPr>
      <w:r>
        <w:rPr>
          <w:rFonts w:hint="eastAsia" w:ascii="楷体" w:hAnsi="楷体" w:eastAsia="楷体"/>
          <w:b/>
          <w:color w:val="auto"/>
          <w:sz w:val="44"/>
          <w:szCs w:val="44"/>
          <w:highlight w:val="none"/>
          <w:lang w:eastAsia="zh-CN" w:bidi="ar"/>
        </w:rPr>
        <w:t>财政预算资金</w:t>
      </w:r>
      <w:r>
        <w:rPr>
          <w:rFonts w:hint="eastAsia" w:ascii="楷体" w:hAnsi="楷体" w:eastAsia="楷体"/>
          <w:b/>
          <w:color w:val="auto"/>
          <w:sz w:val="44"/>
          <w:szCs w:val="44"/>
          <w:highlight w:val="none"/>
          <w:lang w:val="zh-CN" w:eastAsia="zh-CN" w:bidi="ar"/>
        </w:rPr>
        <w:t>绩效评价报告</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 w:hAnsi="楷体" w:eastAsia="楷体"/>
          <w:b/>
          <w:color w:val="auto"/>
          <w:sz w:val="44"/>
          <w:szCs w:val="44"/>
          <w:highlight w:val="none"/>
          <w:lang w:val="en-US" w:eastAsia="zh-CN" w:bidi="ar"/>
        </w:rPr>
      </w:pPr>
    </w:p>
    <w:p>
      <w:pPr>
        <w:keepNext w:val="0"/>
        <w:keepLines w:val="0"/>
        <w:pageBreakBefore w:val="0"/>
        <w:widowControl w:val="0"/>
        <w:kinsoku/>
        <w:wordWrap/>
        <w:overflowPunct/>
        <w:topLinePunct w:val="0"/>
        <w:autoSpaceDE/>
        <w:autoSpaceDN/>
        <w:bidi w:val="0"/>
        <w:spacing w:line="600" w:lineRule="exact"/>
        <w:textAlignment w:val="auto"/>
        <w:rPr>
          <w:color w:val="auto"/>
          <w:highlight w:val="none"/>
          <w:lang w:val="zh-CN"/>
        </w:rPr>
      </w:pPr>
    </w:p>
    <w:p>
      <w:pPr>
        <w:pStyle w:val="2"/>
        <w:rPr>
          <w:lang w:val="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楷体" w:hAnsi="楷体" w:eastAsia="楷体"/>
          <w:b/>
          <w:color w:val="auto"/>
          <w:sz w:val="44"/>
          <w:szCs w:val="44"/>
          <w:highlight w:val="none"/>
          <w:lang w:bidi="ar"/>
        </w:rPr>
      </w:pPr>
    </w:p>
    <w:p>
      <w:pPr>
        <w:pStyle w:val="2"/>
        <w:rPr>
          <w:rFonts w:ascii="楷体" w:hAnsi="楷体" w:eastAsia="楷体"/>
          <w:b/>
          <w:color w:val="auto"/>
          <w:sz w:val="44"/>
          <w:szCs w:val="44"/>
          <w:highlight w:val="none"/>
          <w:lang w:bidi="ar"/>
        </w:rPr>
      </w:pPr>
    </w:p>
    <w:p>
      <w:pPr>
        <w:rPr>
          <w:color w:val="auto"/>
          <w:highlight w:val="none"/>
        </w:rPr>
      </w:pPr>
    </w:p>
    <w:p>
      <w:pPr>
        <w:pStyle w:val="2"/>
        <w:rPr>
          <w:color w:val="auto"/>
          <w:highlight w:val="none"/>
        </w:rPr>
      </w:pPr>
    </w:p>
    <w:p>
      <w:pPr>
        <w:rPr>
          <w:color w:val="auto"/>
          <w:highlight w:val="none"/>
        </w:rPr>
      </w:pPr>
    </w:p>
    <w:p>
      <w:pPr>
        <w:pStyle w:val="2"/>
      </w:pPr>
    </w:p>
    <w:p>
      <w:pPr>
        <w:pStyle w:val="2"/>
        <w:ind w:left="0" w:leftChars="0" w:firstLine="0" w:firstLineChars="0"/>
        <w:rPr>
          <w:color w:val="auto"/>
          <w:highlight w:val="none"/>
        </w:rPr>
      </w:pPr>
    </w:p>
    <w:p>
      <w:pPr>
        <w:adjustRightInd w:val="0"/>
        <w:snapToGrid w:val="0"/>
        <w:spacing w:line="360" w:lineRule="auto"/>
        <w:jc w:val="center"/>
        <w:outlineLvl w:val="0"/>
        <w:rPr>
          <w:rFonts w:hint="eastAsia" w:ascii="楷体" w:hAnsi="楷体" w:eastAsia="楷体"/>
          <w:b/>
          <w:color w:val="auto"/>
          <w:sz w:val="44"/>
          <w:szCs w:val="44"/>
          <w:highlight w:val="none"/>
          <w:lang w:bidi="ar"/>
        </w:rPr>
      </w:pPr>
      <w:bookmarkStart w:id="1" w:name="_Toc32282"/>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楷体" w:hAnsi="楷体" w:eastAsia="楷体"/>
          <w:b/>
          <w:color w:val="auto"/>
          <w:sz w:val="44"/>
          <w:szCs w:val="44"/>
          <w:highlight w:val="none"/>
          <w:lang w:bidi="ar"/>
        </w:rPr>
      </w:pPr>
      <w:bookmarkStart w:id="2" w:name="_Toc3733"/>
      <w:r>
        <w:rPr>
          <w:rFonts w:hint="eastAsia" w:ascii="楷体" w:hAnsi="楷体" w:eastAsia="楷体"/>
          <w:b/>
          <w:color w:val="auto"/>
          <w:sz w:val="44"/>
          <w:szCs w:val="44"/>
          <w:highlight w:val="none"/>
          <w:lang w:bidi="ar"/>
        </w:rPr>
        <w:t>内蒙古东衡政同咨询管理有限公司</w:t>
      </w:r>
      <w:bookmarkEnd w:id="1"/>
      <w:bookmarkEnd w:id="2"/>
    </w:p>
    <w:p>
      <w:pPr>
        <w:pStyle w:val="2"/>
        <w:rPr>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 w:hAnsi="仿宋" w:eastAsia="仿宋"/>
          <w:b/>
          <w:bCs w:val="0"/>
          <w:color w:val="auto"/>
          <w:sz w:val="32"/>
          <w:szCs w:val="32"/>
          <w:highlight w:val="none"/>
          <w:lang w:val="zh-CN" w:bidi="ar"/>
        </w:rPr>
      </w:pPr>
    </w:p>
    <w:p>
      <w:pPr>
        <w:pStyle w:val="2"/>
        <w:rPr>
          <w:rFonts w:hint="eastAsia"/>
          <w:lang w:val="zh-CN"/>
        </w:rPr>
      </w:pPr>
    </w:p>
    <w:p>
      <w:pPr>
        <w:rPr>
          <w:b w:val="0"/>
          <w:bCs/>
          <w:color w:val="auto"/>
          <w:highlight w:val="none"/>
        </w:rPr>
      </w:pPr>
    </w:p>
    <w:p>
      <w:pPr>
        <w:adjustRightInd w:val="0"/>
        <w:snapToGrid w:val="0"/>
        <w:spacing w:line="348" w:lineRule="auto"/>
        <w:rPr>
          <w:color w:val="auto"/>
          <w:highlight w:val="none"/>
        </w:rPr>
        <w:sectPr>
          <w:headerReference r:id="rId3" w:type="default"/>
          <w:footerReference r:id="rId4" w:type="default"/>
          <w:type w:val="continuous"/>
          <w:pgSz w:w="11906" w:h="16838"/>
          <w:pgMar w:top="1440" w:right="1797" w:bottom="1440" w:left="1797" w:header="851" w:footer="992" w:gutter="0"/>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ascii="Times New Roman" w:hAnsi="Times New Roman" w:eastAsia="黑体" w:cs="Times New Roman"/>
          <w:color w:val="auto"/>
          <w:kern w:val="0"/>
          <w:sz w:val="30"/>
          <w:szCs w:val="30"/>
          <w:highlight w:val="none"/>
        </w:rPr>
      </w:pPr>
      <w:r>
        <w:rPr>
          <w:rFonts w:hint="eastAsia" w:ascii="仿宋_GB2312" w:hAnsi="仿宋_GB2312" w:eastAsia="仿宋_GB2312" w:cs="仿宋_GB2312"/>
          <w:b/>
          <w:color w:val="auto"/>
          <w:sz w:val="32"/>
          <w:szCs w:val="32"/>
          <w:highlight w:val="none"/>
          <w:lang w:eastAsia="zh-CN" w:bidi="ar"/>
        </w:rPr>
        <w:t>财政预算资金</w:t>
      </w:r>
      <w:r>
        <w:rPr>
          <w:rFonts w:hint="eastAsia" w:ascii="仿宋_GB2312" w:hAnsi="仿宋_GB2312" w:eastAsia="仿宋_GB2312" w:cs="仿宋_GB2312"/>
          <w:b/>
          <w:color w:val="auto"/>
          <w:sz w:val="32"/>
          <w:szCs w:val="32"/>
          <w:highlight w:val="none"/>
          <w:lang w:val="zh-CN" w:eastAsia="zh-CN" w:bidi="ar"/>
        </w:rPr>
        <w:t>绩效评价报告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为推动国有企业提高经营管理水平，发挥绩效评价工作的全面评判、管理诊断和行为引导作用，根据《中央企业综合绩效评价管理暂行办法》《内蒙古自治区本级国有资本经营预算支出管理办法》《鄂尔多斯市本级国有资本经营预</w:t>
      </w:r>
      <w:bookmarkStart w:id="42" w:name="_GoBack"/>
      <w:bookmarkEnd w:id="42"/>
      <w:r>
        <w:rPr>
          <w:rFonts w:hint="eastAsia" w:ascii="仿宋" w:hAnsi="仿宋" w:eastAsia="仿宋" w:cs="仿宋"/>
          <w:color w:val="auto"/>
          <w:kern w:val="0"/>
          <w:sz w:val="30"/>
          <w:szCs w:val="30"/>
          <w:highlight w:val="none"/>
        </w:rPr>
        <w:t>算支出管理暂行办法》《伊金霍洛旗人民政府办公室关于印发全面实施预算绩效管理意见的通知》《伊金霍洛旗国有企业领导人员经营业绩考核办法》《伊金霍洛旗绩效评价税收服务中心关于开展财政预算资金绩效评价工作的通知》等相关规定，内蒙古东衡政同咨询管理有限公司接受委托，成立绩效评价工作组，于2023年2月1日至2023年</w:t>
      </w:r>
      <w:r>
        <w:rPr>
          <w:rFonts w:hint="eastAsia" w:ascii="仿宋" w:hAnsi="仿宋" w:eastAsia="仿宋" w:cs="仿宋"/>
          <w:color w:val="auto"/>
          <w:kern w:val="0"/>
          <w:sz w:val="30"/>
          <w:szCs w:val="30"/>
          <w:highlight w:val="none"/>
          <w:lang w:val="en-US" w:eastAsia="zh-CN"/>
        </w:rPr>
        <w:t>8</w:t>
      </w:r>
      <w:r>
        <w:rPr>
          <w:rFonts w:hint="eastAsia" w:ascii="仿宋" w:hAnsi="仿宋" w:eastAsia="仿宋" w:cs="仿宋"/>
          <w:color w:val="auto"/>
          <w:kern w:val="0"/>
          <w:sz w:val="30"/>
          <w:szCs w:val="30"/>
          <w:highlight w:val="none"/>
        </w:rPr>
        <w:t>月31日，对鄂尔多斯市招商投资集团有限责任公司（以下简称“招商投资集团”）2022年</w:t>
      </w:r>
      <w:r>
        <w:rPr>
          <w:rFonts w:hint="eastAsia" w:ascii="仿宋" w:hAnsi="仿宋" w:eastAsia="仿宋" w:cs="仿宋"/>
          <w:color w:val="auto"/>
          <w:kern w:val="0"/>
          <w:sz w:val="30"/>
          <w:szCs w:val="30"/>
          <w:highlight w:val="none"/>
          <w:lang w:eastAsia="zh-CN"/>
        </w:rPr>
        <w:t>国有企业财政预算资金</w:t>
      </w:r>
      <w:r>
        <w:rPr>
          <w:rFonts w:hint="eastAsia" w:ascii="仿宋" w:hAnsi="仿宋" w:eastAsia="仿宋" w:cs="仿宋"/>
          <w:color w:val="auto"/>
          <w:kern w:val="0"/>
          <w:sz w:val="30"/>
          <w:szCs w:val="30"/>
          <w:highlight w:val="none"/>
        </w:rPr>
        <w:t>，包括蒙苏工业园区东片区项目、隆基新能源科技产业园建设项目、华景新材料零碳产业园建设项目、“双创”和孵化基地项目进行了绩效评价。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原则上，</w:t>
      </w:r>
      <w:r>
        <w:rPr>
          <w:rFonts w:hint="eastAsia" w:ascii="仿宋" w:hAnsi="仿宋" w:eastAsia="仿宋" w:cs="仿宋"/>
          <w:bCs/>
          <w:caps/>
          <w:color w:val="auto"/>
          <w:sz w:val="30"/>
          <w:szCs w:val="30"/>
          <w:highlight w:val="none"/>
          <w:lang w:eastAsia="zh-CN"/>
        </w:rPr>
        <w:t>国有企业财政预算资金</w:t>
      </w:r>
      <w:r>
        <w:rPr>
          <w:rFonts w:hint="eastAsia" w:ascii="仿宋" w:hAnsi="仿宋" w:eastAsia="仿宋" w:cs="仿宋"/>
          <w:bCs/>
          <w:caps/>
          <w:color w:val="auto"/>
          <w:sz w:val="30"/>
          <w:szCs w:val="30"/>
          <w:highlight w:val="none"/>
        </w:rPr>
        <w:t>涉及企业经营业绩方面的</w:t>
      </w:r>
      <w:r>
        <w:rPr>
          <w:rFonts w:hint="eastAsia" w:ascii="仿宋" w:hAnsi="仿宋" w:eastAsia="仿宋" w:cs="仿宋"/>
          <w:color w:val="auto"/>
          <w:kern w:val="0"/>
          <w:sz w:val="30"/>
          <w:szCs w:val="30"/>
          <w:highlight w:val="none"/>
        </w:rPr>
        <w:t>评价应当以经社会中介机构或企业内部审计机构审计后的财务会计报告为基础，故本次以招商投资集团提供的2022年合并财务报表为基础进行评价。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ascii="Times New Roman" w:hAnsi="Times New Roman" w:eastAsia="楷体" w:cs="Times New Roman"/>
          <w:color w:val="auto"/>
          <w:highlight w:val="none"/>
        </w:rPr>
      </w:pPr>
      <w:bookmarkStart w:id="3" w:name="_Toc7949"/>
      <w:bookmarkStart w:id="4" w:name="_Toc26243"/>
      <w:r>
        <w:rPr>
          <w:rFonts w:ascii="Times New Roman" w:hAnsi="Times New Roman" w:eastAsia="黑体" w:cs="Times New Roman"/>
          <w:color w:val="auto"/>
          <w:sz w:val="32"/>
          <w:szCs w:val="32"/>
          <w:highlight w:val="none"/>
        </w:rPr>
        <w:t>一、</w:t>
      </w:r>
      <w:bookmarkEnd w:id="3"/>
      <w:bookmarkStart w:id="5" w:name="_Toc41750164"/>
      <w:bookmarkStart w:id="6" w:name="_Toc43914266"/>
      <w:r>
        <w:rPr>
          <w:rFonts w:ascii="Times New Roman" w:hAnsi="Times New Roman" w:eastAsia="黑体" w:cs="Times New Roman"/>
          <w:color w:val="auto"/>
          <w:sz w:val="32"/>
          <w:szCs w:val="32"/>
          <w:highlight w:val="none"/>
        </w:rPr>
        <w:t>基本情况</w:t>
      </w:r>
      <w:bookmarkEnd w:id="4"/>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02"/>
        <w:textAlignment w:val="auto"/>
        <w:outlineLvl w:val="1"/>
        <w:rPr>
          <w:rFonts w:ascii="Times New Roman" w:hAnsi="Times New Roman" w:eastAsia="楷体"/>
          <w:b/>
          <w:color w:val="auto"/>
          <w:sz w:val="30"/>
          <w:szCs w:val="30"/>
          <w:highlight w:val="none"/>
        </w:rPr>
      </w:pPr>
      <w:bookmarkStart w:id="7" w:name="_Toc21176"/>
      <w:r>
        <w:rPr>
          <w:rFonts w:ascii="Times New Roman" w:hAnsi="Times New Roman" w:eastAsia="楷体"/>
          <w:b/>
          <w:color w:val="auto"/>
          <w:sz w:val="30"/>
          <w:szCs w:val="30"/>
          <w:highlight w:val="none"/>
        </w:rPr>
        <w:t>（一）</w:t>
      </w:r>
      <w:r>
        <w:rPr>
          <w:rFonts w:hint="eastAsia" w:ascii="Times New Roman" w:hAnsi="Times New Roman" w:eastAsia="楷体"/>
          <w:b/>
          <w:color w:val="auto"/>
          <w:sz w:val="30"/>
          <w:szCs w:val="30"/>
          <w:highlight w:val="none"/>
        </w:rPr>
        <w:t>企业基本情况</w:t>
      </w:r>
      <w:bookmarkEnd w:id="7"/>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2"/>
        <w:rPr>
          <w:rFonts w:ascii="仿宋" w:hAnsi="仿宋" w:eastAsia="仿宋" w:cs="仿宋"/>
          <w:b/>
          <w:color w:val="auto"/>
          <w:sz w:val="30"/>
          <w:szCs w:val="30"/>
          <w:highlight w:val="none"/>
        </w:rPr>
      </w:pPr>
      <w:bookmarkStart w:id="8" w:name="_Toc3854"/>
      <w:r>
        <w:rPr>
          <w:rFonts w:hint="eastAsia" w:ascii="仿宋" w:hAnsi="仿宋" w:eastAsia="仿宋" w:cs="仿宋"/>
          <w:b/>
          <w:bCs/>
          <w:color w:val="auto"/>
          <w:kern w:val="0"/>
          <w:sz w:val="30"/>
          <w:szCs w:val="30"/>
          <w:highlight w:val="none"/>
        </w:rPr>
        <w:t>1.</w:t>
      </w:r>
      <w:r>
        <w:rPr>
          <w:rFonts w:hint="eastAsia" w:ascii="仿宋" w:hAnsi="仿宋" w:eastAsia="仿宋" w:cs="仿宋"/>
          <w:b/>
          <w:color w:val="auto"/>
          <w:sz w:val="30"/>
          <w:szCs w:val="30"/>
          <w:highlight w:val="none"/>
        </w:rPr>
        <w:t>企业概况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招商投资集团前身为鄂尔多斯市招商投资有限责任公司，成立于2020年3月10日，由伊金霍洛旗人民政府出资，是一家具有投资性质的专门服务于政府、园区、企业的国有独资企业。2022年4月，按照《伊金霍洛旗人民政府关于印发旗属国有企业整合重组方案的通知》（伊政发〔2021〕72号）要求，牵头成立了鄂尔多斯市招商投资集团有限责任公司，注册资本50.00亿元。公司业务领域涉及产业招商、开发建设、人才服务、资产运营、物流业务五个板块，主要业务范围为：以自有资金从事投资活动、园区管理服务、工程管理服务、信息技术咨询服务、采购代理服务、商务代理代办服务、承包或接受委托经营管理企业、会议及展览服务、酒店管理、餐饮服务、住宿服务、酒类经营、信息咨询服务、非居住房地产租赁、广告发布、个人商务服务。</w:t>
      </w:r>
      <w:bookmarkEnd w:id="8"/>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2"/>
        <w:rPr>
          <w:rFonts w:ascii="仿宋" w:hAnsi="仿宋" w:eastAsia="仿宋" w:cs="仿宋"/>
          <w:b/>
          <w:color w:val="auto"/>
          <w:sz w:val="30"/>
          <w:szCs w:val="30"/>
          <w:highlight w:val="none"/>
        </w:rPr>
      </w:pPr>
      <w:bookmarkStart w:id="9" w:name="_Toc6547"/>
      <w:r>
        <w:rPr>
          <w:rFonts w:hint="eastAsia" w:ascii="仿宋" w:hAnsi="仿宋" w:eastAsia="仿宋" w:cs="仿宋"/>
          <w:b/>
          <w:color w:val="auto"/>
          <w:sz w:val="30"/>
          <w:szCs w:val="30"/>
          <w:highlight w:val="none"/>
          <w:lang w:val="en-US" w:eastAsia="zh-CN"/>
        </w:rPr>
        <w:t>2.</w:t>
      </w:r>
      <w:r>
        <w:rPr>
          <w:rFonts w:hint="eastAsia" w:ascii="仿宋" w:hAnsi="仿宋" w:eastAsia="仿宋" w:cs="仿宋"/>
          <w:b/>
          <w:color w:val="auto"/>
          <w:sz w:val="30"/>
          <w:szCs w:val="30"/>
          <w:highlight w:val="none"/>
        </w:rPr>
        <w:t>企业机构设置。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s="仿宋"/>
          <w:color w:val="auto"/>
          <w:sz w:val="30"/>
          <w:szCs w:val="30"/>
          <w:highlight w:val="none"/>
        </w:rPr>
      </w:pPr>
      <w:r>
        <w:rPr>
          <w:rFonts w:hint="eastAsia" w:ascii="仿宋" w:hAnsi="仿宋" w:eastAsia="仿宋" w:cs="仿宋"/>
          <w:b/>
          <w:color w:val="auto"/>
          <w:sz w:val="30"/>
          <w:szCs w:val="30"/>
          <w:highlight w:val="none"/>
        </w:rPr>
        <w:t>一是内设机构。</w:t>
      </w:r>
      <w:r>
        <w:rPr>
          <w:rFonts w:hint="eastAsia" w:ascii="仿宋" w:hAnsi="仿宋" w:eastAsia="仿宋" w:cs="仿宋"/>
          <w:color w:val="auto"/>
          <w:sz w:val="30"/>
          <w:szCs w:val="30"/>
          <w:highlight w:val="none"/>
        </w:rPr>
        <w:t>招商投资集团内设机构包括综合部、党群部、财务部、审计部、工程部、招商部、集采部、法务部和投资发展部9个部门。</w:t>
      </w:r>
      <w:r>
        <w:rPr>
          <w:rFonts w:hint="eastAsia" w:ascii="仿宋" w:hAnsi="仿宋" w:eastAsia="仿宋" w:cs="仿宋"/>
          <w:b/>
          <w:color w:val="auto"/>
          <w:sz w:val="30"/>
          <w:szCs w:val="30"/>
          <w:highlight w:val="none"/>
        </w:rPr>
        <w:t>二是子公司设立情况。</w:t>
      </w:r>
      <w:r>
        <w:rPr>
          <w:rFonts w:hint="eastAsia" w:ascii="仿宋" w:hAnsi="仿宋" w:eastAsia="仿宋" w:cs="仿宋"/>
          <w:color w:val="auto"/>
          <w:sz w:val="30"/>
          <w:szCs w:val="30"/>
          <w:highlight w:val="none"/>
        </w:rPr>
        <w:t>招商投资集团成立了7家子公司，包括伊金霍洛旗天骄创投运营有限责任公司（以下简称“天骄创投”）、鄂尔多斯市鄂苏工业园区市政工程建设有限责任公司（以下简称“鄂苏</w:t>
      </w:r>
      <w:r>
        <w:rPr>
          <w:rFonts w:hint="eastAsia" w:ascii="仿宋" w:hAnsi="仿宋" w:eastAsia="仿宋" w:cs="仿宋"/>
          <w:color w:val="auto"/>
          <w:sz w:val="30"/>
          <w:szCs w:val="30"/>
          <w:highlight w:val="none"/>
          <w:lang w:val="en-US" w:eastAsia="zh-CN"/>
        </w:rPr>
        <w:t>市政</w:t>
      </w:r>
      <w:r>
        <w:rPr>
          <w:rFonts w:hint="eastAsia" w:ascii="仿宋" w:hAnsi="仿宋" w:eastAsia="仿宋" w:cs="仿宋"/>
          <w:color w:val="auto"/>
          <w:sz w:val="30"/>
          <w:szCs w:val="30"/>
          <w:highlight w:val="none"/>
        </w:rPr>
        <w:t>”）、鄂尔多斯市圣圆物流有限责任公司（以下简称“圣圆物流”）、伊金霍洛旗招商资产管理有限责任公司（以下简称“招商资产”）、伊金霍洛旗人才青青客舍酒店有限责任公司（以下简称“青青客舍”）、江苏共赢商务服务有限责任公司（以下简称“江苏共赢”）和山东鲁蒙共创招商发展有限公司（以下简称“山东鲁蒙”），其中天骄创投、鄂苏工业、圣圆物流、招商资产、青青客舍和江苏共赢公司正在运营中，山东鲁蒙公司正在启动中，暂未运营。各子公司情况见表1。</w:t>
      </w:r>
      <w:bookmarkEnd w:id="9"/>
    </w:p>
    <w:p>
      <w:pPr>
        <w:widowControl/>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 xml:space="preserve">表1 </w:t>
      </w:r>
      <w:r>
        <w:rPr>
          <w:rFonts w:hint="eastAsia" w:ascii="Times New Roman" w:hAnsi="Times New Roman" w:eastAsia="黑体" w:cs="Times New Roman"/>
          <w:color w:val="auto"/>
          <w:sz w:val="24"/>
          <w:highlight w:val="none"/>
        </w:rPr>
        <w:t>各</w:t>
      </w:r>
      <w:r>
        <w:rPr>
          <w:rFonts w:ascii="Times New Roman" w:hAnsi="Times New Roman" w:eastAsia="黑体" w:cs="Times New Roman"/>
          <w:color w:val="auto"/>
          <w:sz w:val="24"/>
          <w:highlight w:val="none"/>
        </w:rPr>
        <w:t>子公司情况表</w:t>
      </w:r>
    </w:p>
    <w:tbl>
      <w:tblPr>
        <w:tblStyle w:val="23"/>
        <w:tblW w:w="56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42"/>
        <w:gridCol w:w="1433"/>
        <w:gridCol w:w="1220"/>
        <w:gridCol w:w="1745"/>
        <w:gridCol w:w="915"/>
        <w:gridCol w:w="155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376" w:type="pct"/>
            <w:shd w:val="clear" w:color="auto" w:fill="auto"/>
            <w:vAlign w:val="center"/>
          </w:tcPr>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序号</w:t>
            </w:r>
          </w:p>
        </w:tc>
        <w:tc>
          <w:tcPr>
            <w:tcW w:w="590" w:type="pct"/>
            <w:shd w:val="clear" w:color="auto" w:fill="auto"/>
            <w:vAlign w:val="center"/>
          </w:tcPr>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企业名称</w:t>
            </w:r>
          </w:p>
        </w:tc>
        <w:tc>
          <w:tcPr>
            <w:tcW w:w="740" w:type="pct"/>
            <w:shd w:val="clear" w:color="auto" w:fill="auto"/>
            <w:vAlign w:val="center"/>
          </w:tcPr>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注册时间</w:t>
            </w:r>
          </w:p>
        </w:tc>
        <w:tc>
          <w:tcPr>
            <w:tcW w:w="630" w:type="pct"/>
            <w:shd w:val="clear" w:color="auto" w:fill="auto"/>
            <w:vAlign w:val="center"/>
          </w:tcPr>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注册资本</w:t>
            </w:r>
          </w:p>
          <w:p>
            <w:pPr>
              <w:widowControl/>
              <w:snapToGrid w:val="0"/>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w:t>
            </w:r>
            <w:r>
              <w:rPr>
                <w:rFonts w:ascii="Times New Roman" w:hAnsi="Times New Roman" w:eastAsia="宋体" w:cs="Times New Roman"/>
                <w:b/>
                <w:bCs/>
                <w:color w:val="auto"/>
                <w:kern w:val="0"/>
                <w:szCs w:val="21"/>
                <w:highlight w:val="none"/>
              </w:rPr>
              <w:t>万元</w:t>
            </w:r>
            <w:r>
              <w:rPr>
                <w:rFonts w:ascii="Times New Roman" w:hAnsi="Times New Roman" w:eastAsia="宋体" w:cs="Times New Roman"/>
                <w:b/>
                <w:color w:val="auto"/>
                <w:kern w:val="0"/>
                <w:szCs w:val="21"/>
                <w:highlight w:val="none"/>
              </w:rPr>
              <w:t>）</w:t>
            </w:r>
          </w:p>
        </w:tc>
        <w:tc>
          <w:tcPr>
            <w:tcW w:w="902" w:type="pct"/>
            <w:shd w:val="clear" w:color="auto" w:fill="auto"/>
            <w:vAlign w:val="center"/>
          </w:tcPr>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股权</w:t>
            </w:r>
          </w:p>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占比</w:t>
            </w:r>
          </w:p>
        </w:tc>
        <w:tc>
          <w:tcPr>
            <w:tcW w:w="472" w:type="pct"/>
            <w:shd w:val="clear" w:color="auto" w:fill="auto"/>
            <w:noWrap/>
            <w:vAlign w:val="center"/>
          </w:tcPr>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法定</w:t>
            </w:r>
          </w:p>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代表人</w:t>
            </w:r>
          </w:p>
        </w:tc>
        <w:tc>
          <w:tcPr>
            <w:tcW w:w="803" w:type="pct"/>
            <w:shd w:val="clear" w:color="auto" w:fill="auto"/>
            <w:noWrap/>
            <w:vAlign w:val="center"/>
          </w:tcPr>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业务定位</w:t>
            </w:r>
          </w:p>
        </w:tc>
        <w:tc>
          <w:tcPr>
            <w:tcW w:w="482" w:type="pct"/>
            <w:shd w:val="clear" w:color="auto" w:fill="auto"/>
            <w:vAlign w:val="center"/>
          </w:tcPr>
          <w:p>
            <w:pPr>
              <w:widowControl/>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运营状态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76"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590"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天骄创投</w:t>
            </w:r>
          </w:p>
        </w:tc>
        <w:tc>
          <w:tcPr>
            <w:tcW w:w="74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2016.6.13</w:t>
            </w:r>
          </w:p>
        </w:tc>
        <w:tc>
          <w:tcPr>
            <w:tcW w:w="63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2000.00</w:t>
            </w:r>
          </w:p>
        </w:tc>
        <w:tc>
          <w:tcPr>
            <w:tcW w:w="902" w:type="pct"/>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100%</w:t>
            </w:r>
          </w:p>
        </w:tc>
        <w:tc>
          <w:tcPr>
            <w:tcW w:w="472" w:type="pct"/>
            <w:shd w:val="clear" w:color="auto" w:fill="auto"/>
            <w:noWrap/>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高世军</w:t>
            </w:r>
          </w:p>
        </w:tc>
        <w:tc>
          <w:tcPr>
            <w:tcW w:w="803"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商业综合体、园区管理服务等</w:t>
            </w:r>
          </w:p>
        </w:tc>
        <w:tc>
          <w:tcPr>
            <w:tcW w:w="482"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76"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590"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鄂苏</w:t>
            </w:r>
            <w:r>
              <w:rPr>
                <w:rFonts w:hint="eastAsia" w:ascii="宋体" w:hAnsi="宋体" w:eastAsia="宋体" w:cs="宋体"/>
                <w:color w:val="auto"/>
                <w:kern w:val="0"/>
                <w:szCs w:val="21"/>
                <w:highlight w:val="none"/>
                <w:lang w:val="en-US" w:eastAsia="zh-CN"/>
              </w:rPr>
              <w:t>市政</w:t>
            </w:r>
          </w:p>
        </w:tc>
        <w:tc>
          <w:tcPr>
            <w:tcW w:w="74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2013.6.27</w:t>
            </w:r>
          </w:p>
        </w:tc>
        <w:tc>
          <w:tcPr>
            <w:tcW w:w="63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1000.00</w:t>
            </w:r>
          </w:p>
        </w:tc>
        <w:tc>
          <w:tcPr>
            <w:tcW w:w="902" w:type="pct"/>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100%</w:t>
            </w:r>
          </w:p>
        </w:tc>
        <w:tc>
          <w:tcPr>
            <w:tcW w:w="472" w:type="pct"/>
            <w:shd w:val="clear" w:color="auto" w:fill="auto"/>
            <w:noWrap/>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杨柳</w:t>
            </w:r>
          </w:p>
        </w:tc>
        <w:tc>
          <w:tcPr>
            <w:tcW w:w="803"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市政工程、房地产开发等</w:t>
            </w:r>
          </w:p>
        </w:tc>
        <w:tc>
          <w:tcPr>
            <w:tcW w:w="482"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76"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590"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圣圆物流</w:t>
            </w:r>
          </w:p>
        </w:tc>
        <w:tc>
          <w:tcPr>
            <w:tcW w:w="74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2011.1.19</w:t>
            </w:r>
          </w:p>
        </w:tc>
        <w:tc>
          <w:tcPr>
            <w:tcW w:w="63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6015.00</w:t>
            </w:r>
          </w:p>
        </w:tc>
        <w:tc>
          <w:tcPr>
            <w:tcW w:w="902" w:type="pct"/>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100%</w:t>
            </w:r>
          </w:p>
        </w:tc>
        <w:tc>
          <w:tcPr>
            <w:tcW w:w="472" w:type="pct"/>
            <w:shd w:val="clear" w:color="auto" w:fill="auto"/>
            <w:noWrap/>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刘伟</w:t>
            </w:r>
          </w:p>
        </w:tc>
        <w:tc>
          <w:tcPr>
            <w:tcW w:w="803"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煤炭运营、物流管理等</w:t>
            </w:r>
          </w:p>
        </w:tc>
        <w:tc>
          <w:tcPr>
            <w:tcW w:w="482"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76"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590"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招商资产</w:t>
            </w:r>
          </w:p>
        </w:tc>
        <w:tc>
          <w:tcPr>
            <w:tcW w:w="74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2020.5.28</w:t>
            </w:r>
          </w:p>
        </w:tc>
        <w:tc>
          <w:tcPr>
            <w:tcW w:w="63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5000.00</w:t>
            </w:r>
          </w:p>
        </w:tc>
        <w:tc>
          <w:tcPr>
            <w:tcW w:w="902" w:type="pct"/>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100%</w:t>
            </w:r>
          </w:p>
        </w:tc>
        <w:tc>
          <w:tcPr>
            <w:tcW w:w="472" w:type="pct"/>
            <w:shd w:val="clear" w:color="auto" w:fill="auto"/>
            <w:noWrap/>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王磊</w:t>
            </w:r>
          </w:p>
        </w:tc>
        <w:tc>
          <w:tcPr>
            <w:tcW w:w="803"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运营管理</w:t>
            </w:r>
          </w:p>
        </w:tc>
        <w:tc>
          <w:tcPr>
            <w:tcW w:w="482"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76"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590"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青青客舍</w:t>
            </w:r>
          </w:p>
        </w:tc>
        <w:tc>
          <w:tcPr>
            <w:tcW w:w="74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2020.12.18</w:t>
            </w:r>
          </w:p>
        </w:tc>
        <w:tc>
          <w:tcPr>
            <w:tcW w:w="63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1000.00</w:t>
            </w:r>
          </w:p>
        </w:tc>
        <w:tc>
          <w:tcPr>
            <w:tcW w:w="902" w:type="pct"/>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100%</w:t>
            </w:r>
          </w:p>
        </w:tc>
        <w:tc>
          <w:tcPr>
            <w:tcW w:w="472" w:type="pct"/>
            <w:shd w:val="clear" w:color="auto" w:fill="auto"/>
            <w:noWrap/>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朱丽</w:t>
            </w:r>
          </w:p>
        </w:tc>
        <w:tc>
          <w:tcPr>
            <w:tcW w:w="803"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酒店管理</w:t>
            </w:r>
          </w:p>
        </w:tc>
        <w:tc>
          <w:tcPr>
            <w:tcW w:w="482"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76"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590"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江苏共赢</w:t>
            </w:r>
          </w:p>
        </w:tc>
        <w:tc>
          <w:tcPr>
            <w:tcW w:w="74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2020.4.30</w:t>
            </w:r>
          </w:p>
        </w:tc>
        <w:tc>
          <w:tcPr>
            <w:tcW w:w="63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1000.00</w:t>
            </w:r>
          </w:p>
        </w:tc>
        <w:tc>
          <w:tcPr>
            <w:tcW w:w="902" w:type="pct"/>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100%</w:t>
            </w:r>
          </w:p>
        </w:tc>
        <w:tc>
          <w:tcPr>
            <w:tcW w:w="472" w:type="pct"/>
            <w:shd w:val="clear" w:color="auto" w:fill="auto"/>
            <w:noWrap/>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李强</w:t>
            </w:r>
          </w:p>
        </w:tc>
        <w:tc>
          <w:tcPr>
            <w:tcW w:w="803"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资产租赁</w:t>
            </w:r>
          </w:p>
        </w:tc>
        <w:tc>
          <w:tcPr>
            <w:tcW w:w="482"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76"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590"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山东鲁蒙</w:t>
            </w:r>
          </w:p>
        </w:tc>
        <w:tc>
          <w:tcPr>
            <w:tcW w:w="74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2020.6.16</w:t>
            </w:r>
          </w:p>
        </w:tc>
        <w:tc>
          <w:tcPr>
            <w:tcW w:w="630" w:type="pct"/>
            <w:shd w:val="clear" w:color="auto" w:fill="auto"/>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bidi="ar"/>
              </w:rPr>
              <w:t>100</w:t>
            </w:r>
            <w:r>
              <w:rPr>
                <w:rFonts w:hint="eastAsia" w:ascii="宋体" w:hAnsi="宋体" w:eastAsia="宋体" w:cs="宋体"/>
                <w:color w:val="auto"/>
                <w:kern w:val="0"/>
                <w:szCs w:val="21"/>
                <w:highlight w:val="none"/>
                <w:lang w:bidi="ar"/>
              </w:rPr>
              <w:t>0.00</w:t>
            </w:r>
          </w:p>
        </w:tc>
        <w:tc>
          <w:tcPr>
            <w:tcW w:w="902" w:type="pct"/>
            <w:vAlign w:val="center"/>
          </w:tcPr>
          <w:p>
            <w:pPr>
              <w:widowControl/>
              <w:jc w:val="center"/>
              <w:textAlignment w:val="center"/>
              <w:rPr>
                <w:rFonts w:hint="eastAsia"/>
              </w:rPr>
            </w:pPr>
            <w:r>
              <w:rPr>
                <w:rFonts w:hint="eastAsia"/>
                <w:lang w:val="en-US" w:eastAsia="zh-CN"/>
              </w:rPr>
              <w:t>67</w:t>
            </w:r>
            <w:r>
              <w:rPr>
                <w:rFonts w:hint="eastAsia"/>
              </w:rPr>
              <w:t>%</w:t>
            </w:r>
          </w:p>
          <w:p>
            <w:pPr>
              <w:widowControl/>
              <w:jc w:val="center"/>
              <w:textAlignment w:val="center"/>
              <w:rPr>
                <w:rFonts w:hint="default" w:eastAsia="宋体"/>
                <w:lang w:val="en-US" w:eastAsia="zh-CN"/>
              </w:rPr>
            </w:pPr>
            <w:r>
              <w:rPr>
                <w:rFonts w:hint="eastAsia"/>
                <w:lang w:eastAsia="zh-CN"/>
              </w:rPr>
              <w:t>（</w:t>
            </w:r>
            <w:r>
              <w:rPr>
                <w:rFonts w:hint="eastAsia" w:ascii="宋体" w:hAnsi="宋体" w:eastAsia="宋体" w:cs="宋体"/>
                <w:color w:val="auto"/>
                <w:kern w:val="0"/>
                <w:szCs w:val="21"/>
                <w:highlight w:val="none"/>
              </w:rPr>
              <w:t>山东鲁蒙</w:t>
            </w:r>
            <w:r>
              <w:rPr>
                <w:rFonts w:hint="eastAsia" w:asciiTheme="minorHAnsi" w:hAnsiTheme="minorHAnsi" w:eastAsiaTheme="minorEastAsia" w:cstheme="minorBidi"/>
                <w:kern w:val="2"/>
                <w:sz w:val="21"/>
                <w:szCs w:val="24"/>
                <w:lang w:val="en-US" w:eastAsia="zh-CN" w:bidi="ar-SA"/>
              </w:rPr>
              <w:t>23%</w:t>
            </w:r>
            <w:r>
              <w:rPr>
                <w:rFonts w:hint="eastAsia"/>
                <w:lang w:eastAsia="zh-CN"/>
              </w:rPr>
              <w:t>）</w:t>
            </w:r>
          </w:p>
        </w:tc>
        <w:tc>
          <w:tcPr>
            <w:tcW w:w="472" w:type="pct"/>
            <w:shd w:val="clear" w:color="auto" w:fill="auto"/>
            <w:noWrap/>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李强</w:t>
            </w:r>
          </w:p>
        </w:tc>
        <w:tc>
          <w:tcPr>
            <w:tcW w:w="803" w:type="pct"/>
            <w:shd w:val="clear" w:color="auto" w:fill="auto"/>
            <w:vAlign w:val="center"/>
          </w:tcPr>
          <w:p>
            <w:pPr>
              <w:widowControl/>
              <w:snapToGrid w:val="0"/>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w:t>
            </w:r>
          </w:p>
        </w:tc>
        <w:tc>
          <w:tcPr>
            <w:tcW w:w="482" w:type="pct"/>
            <w:shd w:val="clear" w:color="auto" w:fill="auto"/>
            <w:vAlign w:val="center"/>
          </w:tcPr>
          <w:p>
            <w:pPr>
              <w:widowControl/>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在业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7" w:type="pct"/>
            <w:gridSpan w:val="3"/>
            <w:shd w:val="clear" w:color="auto" w:fill="auto"/>
            <w:vAlign w:val="center"/>
          </w:tcPr>
          <w:p>
            <w:pPr>
              <w:widowControl/>
              <w:snapToGrid w:val="0"/>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合 计</w:t>
            </w:r>
          </w:p>
        </w:tc>
        <w:tc>
          <w:tcPr>
            <w:tcW w:w="630" w:type="pct"/>
            <w:shd w:val="clear" w:color="auto" w:fill="auto"/>
            <w:vAlign w:val="center"/>
          </w:tcPr>
          <w:p>
            <w:pPr>
              <w:widowControl/>
              <w:snapToGrid w:val="0"/>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16685</w:t>
            </w:r>
          </w:p>
        </w:tc>
        <w:tc>
          <w:tcPr>
            <w:tcW w:w="902" w:type="pct"/>
            <w:vAlign w:val="center"/>
          </w:tcPr>
          <w:p>
            <w:pPr>
              <w:widowControl/>
              <w:snapToGrid w:val="0"/>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100%</w:t>
            </w:r>
          </w:p>
        </w:tc>
        <w:tc>
          <w:tcPr>
            <w:tcW w:w="472" w:type="pct"/>
            <w:shd w:val="clear" w:color="auto" w:fill="auto"/>
            <w:noWrap/>
            <w:vAlign w:val="center"/>
          </w:tcPr>
          <w:p>
            <w:pPr>
              <w:widowControl/>
              <w:snapToGrid w:val="0"/>
              <w:jc w:val="center"/>
              <w:rPr>
                <w:rFonts w:ascii="宋体" w:hAnsi="宋体" w:eastAsia="宋体" w:cs="宋体"/>
                <w:b/>
                <w:color w:val="auto"/>
                <w:kern w:val="0"/>
                <w:szCs w:val="21"/>
                <w:highlight w:val="none"/>
              </w:rPr>
            </w:pPr>
          </w:p>
        </w:tc>
        <w:tc>
          <w:tcPr>
            <w:tcW w:w="803" w:type="pct"/>
            <w:shd w:val="clear" w:color="auto" w:fill="auto"/>
            <w:vAlign w:val="center"/>
          </w:tcPr>
          <w:p>
            <w:pPr>
              <w:widowControl/>
              <w:snapToGrid w:val="0"/>
              <w:jc w:val="center"/>
              <w:rPr>
                <w:rFonts w:ascii="Times New Roman" w:hAnsi="Times New Roman" w:eastAsia="宋体" w:cs="Times New Roman"/>
                <w:b/>
                <w:color w:val="auto"/>
                <w:kern w:val="0"/>
                <w:szCs w:val="21"/>
                <w:highlight w:val="none"/>
              </w:rPr>
            </w:pPr>
          </w:p>
        </w:tc>
        <w:tc>
          <w:tcPr>
            <w:tcW w:w="482" w:type="pct"/>
            <w:shd w:val="clear" w:color="auto" w:fill="auto"/>
            <w:vAlign w:val="center"/>
          </w:tcPr>
          <w:p>
            <w:pPr>
              <w:widowControl/>
              <w:snapToGrid w:val="0"/>
              <w:jc w:val="center"/>
              <w:rPr>
                <w:rFonts w:ascii="Times New Roman" w:hAnsi="Times New Roman" w:eastAsia="宋体" w:cs="Times New Roman"/>
                <w:b/>
                <w:color w:val="auto"/>
                <w:kern w:val="0"/>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2"/>
        <w:rPr>
          <w:rFonts w:ascii="仿宋" w:hAnsi="仿宋" w:eastAsia="仿宋" w:cs="仿宋"/>
          <w:b/>
          <w:color w:val="auto"/>
          <w:sz w:val="30"/>
          <w:szCs w:val="30"/>
          <w:highlight w:val="none"/>
        </w:rPr>
      </w:pPr>
      <w:bookmarkStart w:id="10" w:name="_Toc13425"/>
      <w:r>
        <w:rPr>
          <w:rFonts w:hint="eastAsia" w:ascii="仿宋" w:hAnsi="仿宋" w:eastAsia="仿宋" w:cs="仿宋"/>
          <w:b/>
          <w:color w:val="auto"/>
          <w:sz w:val="30"/>
          <w:szCs w:val="30"/>
          <w:highlight w:val="none"/>
          <w:lang w:val="en-US" w:eastAsia="zh-CN"/>
        </w:rPr>
        <w:t>3.</w:t>
      </w:r>
      <w:r>
        <w:rPr>
          <w:rFonts w:hint="eastAsia" w:ascii="仿宋" w:hAnsi="仿宋" w:eastAsia="仿宋" w:cs="仿宋"/>
          <w:b/>
          <w:color w:val="auto"/>
          <w:sz w:val="30"/>
          <w:szCs w:val="30"/>
          <w:highlight w:val="none"/>
        </w:rPr>
        <w:t>企业财务状况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仿宋" w:hAnsi="仿宋" w:eastAsia="仿宋" w:cs="仿宋"/>
          <w:bCs/>
          <w:caps/>
          <w:color w:val="auto"/>
          <w:sz w:val="30"/>
          <w:szCs w:val="30"/>
          <w:highlight w:val="none"/>
          <w:lang w:val="en-US"/>
        </w:rPr>
      </w:pPr>
      <w:r>
        <w:rPr>
          <w:rFonts w:hint="eastAsia" w:ascii="仿宋" w:hAnsi="仿宋" w:eastAsia="仿宋" w:cs="仿宋"/>
          <w:bCs/>
          <w:caps/>
          <w:color w:val="auto"/>
          <w:sz w:val="30"/>
          <w:szCs w:val="30"/>
          <w:highlight w:val="none"/>
        </w:rPr>
        <w:t>根据招商投资集团提供的《</w:t>
      </w:r>
      <w:r>
        <w:rPr>
          <w:rFonts w:hint="eastAsia" w:ascii="仿宋" w:hAnsi="仿宋" w:eastAsia="仿宋" w:cs="仿宋"/>
          <w:bCs/>
          <w:caps/>
          <w:color w:val="auto"/>
          <w:sz w:val="30"/>
          <w:szCs w:val="30"/>
          <w:highlight w:val="none"/>
          <w:lang w:eastAsia="zh-CN"/>
        </w:rPr>
        <w:t>鄂尔多斯市招商投资集团有限责任公司</w:t>
      </w:r>
      <w:r>
        <w:rPr>
          <w:rFonts w:hint="eastAsia" w:ascii="仿宋" w:hAnsi="仿宋" w:eastAsia="仿宋" w:cs="仿宋"/>
          <w:bCs/>
          <w:caps/>
          <w:color w:val="auto"/>
          <w:sz w:val="30"/>
          <w:szCs w:val="30"/>
          <w:highlight w:val="none"/>
        </w:rPr>
        <w:t>（合并）审计报告书》，</w:t>
      </w:r>
      <w:bookmarkEnd w:id="10"/>
      <w:r>
        <w:rPr>
          <w:rFonts w:hint="eastAsia" w:ascii="仿宋" w:hAnsi="仿宋" w:eastAsia="仿宋" w:cs="仿宋"/>
          <w:bCs/>
          <w:caps/>
          <w:color w:val="auto"/>
          <w:sz w:val="30"/>
          <w:szCs w:val="30"/>
          <w:highlight w:val="none"/>
        </w:rPr>
        <w:t>2022年招商投资集团资产总额</w:t>
      </w:r>
      <w:r>
        <w:rPr>
          <w:rFonts w:hint="eastAsia" w:ascii="仿宋" w:hAnsi="仿宋" w:eastAsia="仿宋" w:cs="仿宋"/>
          <w:bCs/>
          <w:caps/>
          <w:color w:val="auto"/>
          <w:sz w:val="30"/>
          <w:szCs w:val="30"/>
          <w:highlight w:val="none"/>
          <w:lang w:val="en-US" w:eastAsia="zh-CN"/>
        </w:rPr>
        <w:t>310</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138</w:t>
      </w:r>
      <w:r>
        <w:rPr>
          <w:rFonts w:hint="eastAsia" w:ascii="仿宋" w:hAnsi="仿宋" w:eastAsia="仿宋" w:cs="仿宋"/>
          <w:bCs/>
          <w:caps/>
          <w:color w:val="auto"/>
          <w:sz w:val="30"/>
          <w:szCs w:val="30"/>
          <w:highlight w:val="none"/>
        </w:rPr>
        <w:t>.5</w:t>
      </w:r>
      <w:r>
        <w:rPr>
          <w:rFonts w:hint="eastAsia" w:ascii="仿宋" w:hAnsi="仿宋" w:eastAsia="仿宋" w:cs="仿宋"/>
          <w:bCs/>
          <w:caps/>
          <w:color w:val="auto"/>
          <w:sz w:val="30"/>
          <w:szCs w:val="30"/>
          <w:highlight w:val="none"/>
          <w:lang w:val="en-US" w:eastAsia="zh-CN"/>
        </w:rPr>
        <w:t>1</w:t>
      </w:r>
      <w:r>
        <w:rPr>
          <w:rFonts w:hint="eastAsia" w:ascii="仿宋" w:hAnsi="仿宋" w:eastAsia="仿宋" w:cs="仿宋"/>
          <w:bCs/>
          <w:caps/>
          <w:color w:val="auto"/>
          <w:sz w:val="30"/>
          <w:szCs w:val="30"/>
          <w:highlight w:val="none"/>
        </w:rPr>
        <w:t>万元，其中流动资产合计1</w:t>
      </w:r>
      <w:r>
        <w:rPr>
          <w:rFonts w:hint="eastAsia" w:ascii="仿宋" w:hAnsi="仿宋" w:eastAsia="仿宋" w:cs="仿宋"/>
          <w:bCs/>
          <w:caps/>
          <w:color w:val="auto"/>
          <w:sz w:val="30"/>
          <w:szCs w:val="30"/>
          <w:highlight w:val="none"/>
          <w:lang w:val="en-US" w:eastAsia="zh-CN"/>
        </w:rPr>
        <w:t>99</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748</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85</w:t>
      </w:r>
      <w:r>
        <w:rPr>
          <w:rFonts w:hint="eastAsia" w:ascii="仿宋" w:hAnsi="仿宋" w:eastAsia="仿宋" w:cs="仿宋"/>
          <w:bCs/>
          <w:caps/>
          <w:color w:val="auto"/>
          <w:sz w:val="30"/>
          <w:szCs w:val="30"/>
          <w:highlight w:val="none"/>
        </w:rPr>
        <w:t>万元，非流动资产110,</w:t>
      </w:r>
      <w:r>
        <w:rPr>
          <w:rFonts w:hint="eastAsia" w:ascii="仿宋" w:hAnsi="仿宋" w:eastAsia="仿宋" w:cs="仿宋"/>
          <w:bCs/>
          <w:caps/>
          <w:color w:val="auto"/>
          <w:sz w:val="30"/>
          <w:szCs w:val="30"/>
          <w:highlight w:val="none"/>
          <w:lang w:val="en-US" w:eastAsia="zh-CN"/>
        </w:rPr>
        <w:t>389</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6</w:t>
      </w:r>
      <w:r>
        <w:rPr>
          <w:rFonts w:hint="eastAsia" w:ascii="仿宋" w:hAnsi="仿宋" w:eastAsia="仿宋" w:cs="仿宋"/>
          <w:bCs/>
          <w:caps/>
          <w:color w:val="auto"/>
          <w:sz w:val="30"/>
          <w:szCs w:val="30"/>
          <w:highlight w:val="none"/>
        </w:rPr>
        <w:t>6万元；负债总额</w:t>
      </w:r>
      <w:r>
        <w:rPr>
          <w:rFonts w:hint="eastAsia" w:ascii="仿宋" w:hAnsi="仿宋" w:eastAsia="仿宋" w:cs="仿宋"/>
          <w:bCs/>
          <w:caps/>
          <w:color w:val="auto"/>
          <w:sz w:val="30"/>
          <w:szCs w:val="30"/>
          <w:highlight w:val="none"/>
          <w:lang w:val="en-US" w:eastAsia="zh-CN"/>
        </w:rPr>
        <w:t>183</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382</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2</w:t>
      </w:r>
      <w:r>
        <w:rPr>
          <w:rFonts w:hint="eastAsia" w:ascii="仿宋" w:hAnsi="仿宋" w:eastAsia="仿宋" w:cs="仿宋"/>
          <w:bCs/>
          <w:caps/>
          <w:color w:val="auto"/>
          <w:sz w:val="30"/>
          <w:szCs w:val="30"/>
          <w:highlight w:val="none"/>
        </w:rPr>
        <w:t>7万元</w:t>
      </w:r>
      <w:r>
        <w:rPr>
          <w:rFonts w:hint="eastAsia" w:ascii="仿宋" w:hAnsi="仿宋" w:eastAsia="仿宋" w:cs="仿宋"/>
          <w:bCs/>
          <w:caps/>
          <w:color w:val="auto"/>
          <w:sz w:val="30"/>
          <w:szCs w:val="30"/>
          <w:highlight w:val="none"/>
          <w:lang w:eastAsia="zh-CN"/>
        </w:rPr>
        <w:t>，</w:t>
      </w:r>
      <w:r>
        <w:rPr>
          <w:rFonts w:hint="eastAsia" w:ascii="仿宋" w:hAnsi="仿宋" w:eastAsia="仿宋" w:cs="仿宋"/>
          <w:bCs/>
          <w:caps/>
          <w:color w:val="auto"/>
          <w:sz w:val="30"/>
          <w:szCs w:val="30"/>
          <w:highlight w:val="none"/>
        </w:rPr>
        <w:t>流动负债</w:t>
      </w:r>
      <w:r>
        <w:rPr>
          <w:rFonts w:hint="eastAsia" w:ascii="仿宋" w:hAnsi="仿宋" w:eastAsia="仿宋" w:cs="仿宋"/>
          <w:bCs/>
          <w:caps/>
          <w:color w:val="auto"/>
          <w:sz w:val="30"/>
          <w:szCs w:val="30"/>
          <w:highlight w:val="none"/>
          <w:lang w:val="en-US" w:eastAsia="zh-CN"/>
        </w:rPr>
        <w:t>60</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741</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93</w:t>
      </w:r>
      <w:r>
        <w:rPr>
          <w:rFonts w:hint="eastAsia" w:ascii="仿宋" w:hAnsi="仿宋" w:eastAsia="仿宋" w:cs="仿宋"/>
          <w:bCs/>
          <w:caps/>
          <w:color w:val="auto"/>
          <w:sz w:val="30"/>
          <w:szCs w:val="30"/>
          <w:highlight w:val="none"/>
        </w:rPr>
        <w:t>万元，非流动负债</w:t>
      </w:r>
      <w:r>
        <w:rPr>
          <w:rFonts w:hint="eastAsia" w:ascii="仿宋" w:hAnsi="仿宋" w:eastAsia="仿宋" w:cs="仿宋"/>
          <w:bCs/>
          <w:caps/>
          <w:color w:val="auto"/>
          <w:sz w:val="30"/>
          <w:szCs w:val="30"/>
          <w:highlight w:val="none"/>
          <w:lang w:val="en-US" w:eastAsia="zh-CN"/>
        </w:rPr>
        <w:t>122</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640</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34</w:t>
      </w:r>
      <w:r>
        <w:rPr>
          <w:rFonts w:hint="eastAsia" w:ascii="仿宋" w:hAnsi="仿宋" w:eastAsia="仿宋" w:cs="仿宋"/>
          <w:bCs/>
          <w:caps/>
          <w:color w:val="auto"/>
          <w:sz w:val="30"/>
          <w:szCs w:val="30"/>
          <w:highlight w:val="none"/>
        </w:rPr>
        <w:t>万元；所有者权益12</w:t>
      </w:r>
      <w:r>
        <w:rPr>
          <w:rFonts w:hint="eastAsia" w:ascii="仿宋" w:hAnsi="仿宋" w:eastAsia="仿宋" w:cs="仿宋"/>
          <w:bCs/>
          <w:caps/>
          <w:color w:val="auto"/>
          <w:sz w:val="30"/>
          <w:szCs w:val="30"/>
          <w:highlight w:val="none"/>
          <w:lang w:val="en-US" w:eastAsia="zh-CN"/>
        </w:rPr>
        <w:t>6</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756</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24</w:t>
      </w:r>
      <w:r>
        <w:rPr>
          <w:rFonts w:hint="eastAsia" w:ascii="仿宋" w:hAnsi="仿宋" w:eastAsia="仿宋" w:cs="仿宋"/>
          <w:bCs/>
          <w:caps/>
          <w:color w:val="auto"/>
          <w:sz w:val="30"/>
          <w:szCs w:val="30"/>
          <w:highlight w:val="none"/>
        </w:rPr>
        <w:t>万元；2</w:t>
      </w:r>
      <w:r>
        <w:rPr>
          <w:rFonts w:ascii="仿宋" w:hAnsi="仿宋" w:eastAsia="仿宋" w:cs="仿宋"/>
          <w:bCs/>
          <w:caps/>
          <w:color w:val="auto"/>
          <w:sz w:val="30"/>
          <w:szCs w:val="30"/>
          <w:highlight w:val="none"/>
        </w:rPr>
        <w:t>022</w:t>
      </w:r>
      <w:r>
        <w:rPr>
          <w:rFonts w:hint="eastAsia" w:ascii="仿宋" w:hAnsi="仿宋" w:eastAsia="仿宋" w:cs="仿宋"/>
          <w:bCs/>
          <w:caps/>
          <w:color w:val="auto"/>
          <w:sz w:val="30"/>
          <w:szCs w:val="30"/>
          <w:highlight w:val="none"/>
        </w:rPr>
        <w:t>年度，营业收入</w:t>
      </w:r>
      <w:r>
        <w:rPr>
          <w:rFonts w:hint="eastAsia" w:ascii="仿宋" w:hAnsi="仿宋" w:eastAsia="仿宋" w:cs="仿宋"/>
          <w:bCs/>
          <w:caps/>
          <w:color w:val="auto"/>
          <w:sz w:val="30"/>
          <w:szCs w:val="30"/>
          <w:highlight w:val="none"/>
          <w:lang w:val="en-US" w:eastAsia="zh-CN"/>
        </w:rPr>
        <w:t>14</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124.85</w:t>
      </w:r>
      <w:r>
        <w:rPr>
          <w:rFonts w:hint="eastAsia" w:ascii="仿宋" w:hAnsi="仿宋" w:eastAsia="仿宋" w:cs="仿宋"/>
          <w:bCs/>
          <w:caps/>
          <w:color w:val="auto"/>
          <w:sz w:val="30"/>
          <w:szCs w:val="30"/>
          <w:highlight w:val="none"/>
        </w:rPr>
        <w:t>万元，营业成本1</w:t>
      </w:r>
      <w:r>
        <w:rPr>
          <w:rFonts w:hint="eastAsia" w:ascii="仿宋" w:hAnsi="仿宋" w:eastAsia="仿宋" w:cs="仿宋"/>
          <w:bCs/>
          <w:caps/>
          <w:color w:val="auto"/>
          <w:sz w:val="30"/>
          <w:szCs w:val="30"/>
          <w:highlight w:val="none"/>
          <w:lang w:val="en-US" w:eastAsia="zh-CN"/>
        </w:rPr>
        <w:t>2</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710</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val="en-US" w:eastAsia="zh-CN"/>
        </w:rPr>
        <w:t>49</w:t>
      </w:r>
      <w:r>
        <w:rPr>
          <w:rFonts w:hint="eastAsia" w:ascii="仿宋" w:hAnsi="仿宋" w:eastAsia="仿宋" w:cs="仿宋"/>
          <w:bCs/>
          <w:caps/>
          <w:color w:val="auto"/>
          <w:sz w:val="30"/>
          <w:szCs w:val="30"/>
          <w:highlight w:val="none"/>
        </w:rPr>
        <w:t>万，净利润</w:t>
      </w:r>
      <w:r>
        <w:rPr>
          <w:rFonts w:hint="eastAsia" w:ascii="仿宋" w:hAnsi="仿宋" w:eastAsia="仿宋" w:cs="仿宋"/>
          <w:bCs/>
          <w:caps/>
          <w:color w:val="auto"/>
          <w:sz w:val="30"/>
          <w:szCs w:val="30"/>
          <w:highlight w:val="none"/>
          <w:lang w:val="en-US" w:eastAsia="zh-CN"/>
        </w:rPr>
        <w:t>309.27</w:t>
      </w:r>
      <w:r>
        <w:rPr>
          <w:rFonts w:hint="eastAsia" w:ascii="仿宋" w:hAnsi="仿宋" w:eastAsia="仿宋" w:cs="仿宋"/>
          <w:bCs/>
          <w:caps/>
          <w:color w:val="auto"/>
          <w:sz w:val="30"/>
          <w:szCs w:val="30"/>
          <w:highlight w:val="none"/>
        </w:rPr>
        <w:t>万元。</w:t>
      </w:r>
      <w:r>
        <w:rPr>
          <w:rFonts w:hint="eastAsia" w:ascii="仿宋" w:hAnsi="仿宋" w:eastAsia="仿宋" w:cs="仿宋"/>
          <w:b w:val="0"/>
          <w:bCs/>
          <w:caps/>
          <w:color w:val="auto"/>
          <w:sz w:val="30"/>
          <w:szCs w:val="30"/>
          <w:highlight w:val="none"/>
          <w:lang w:val="en-US" w:eastAsia="zh-CN"/>
        </w:rPr>
        <w:t>招商投资集团未对2022年度收益上缴。</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02"/>
        <w:textAlignment w:val="auto"/>
        <w:outlineLvl w:val="1"/>
        <w:rPr>
          <w:rFonts w:ascii="Times New Roman" w:hAnsi="Times New Roman" w:eastAsia="楷体"/>
          <w:b/>
          <w:color w:val="auto"/>
          <w:sz w:val="30"/>
          <w:szCs w:val="30"/>
          <w:highlight w:val="none"/>
        </w:rPr>
      </w:pPr>
      <w:bookmarkStart w:id="11" w:name="_Toc32465"/>
      <w:r>
        <w:rPr>
          <w:rFonts w:ascii="Times New Roman" w:hAnsi="Times New Roman" w:eastAsia="楷体"/>
          <w:b/>
          <w:color w:val="auto"/>
          <w:sz w:val="30"/>
          <w:szCs w:val="30"/>
          <w:highlight w:val="none"/>
        </w:rPr>
        <w:t>（</w:t>
      </w:r>
      <w:r>
        <w:rPr>
          <w:rFonts w:hint="eastAsia" w:ascii="Times New Roman" w:hAnsi="Times New Roman" w:eastAsia="楷体"/>
          <w:b/>
          <w:color w:val="auto"/>
          <w:sz w:val="30"/>
          <w:szCs w:val="30"/>
          <w:highlight w:val="none"/>
        </w:rPr>
        <w:t>二</w:t>
      </w:r>
      <w:r>
        <w:rPr>
          <w:rFonts w:ascii="Times New Roman" w:hAnsi="Times New Roman" w:eastAsia="楷体"/>
          <w:b/>
          <w:color w:val="auto"/>
          <w:sz w:val="30"/>
          <w:szCs w:val="30"/>
          <w:highlight w:val="none"/>
        </w:rPr>
        <w:t>）</w:t>
      </w:r>
      <w:r>
        <w:rPr>
          <w:rFonts w:hint="eastAsia" w:ascii="Times New Roman" w:hAnsi="Times New Roman" w:eastAsia="楷体"/>
          <w:b/>
          <w:color w:val="auto"/>
          <w:sz w:val="30"/>
          <w:szCs w:val="30"/>
          <w:highlight w:val="none"/>
        </w:rPr>
        <w:t>项目基本情况</w:t>
      </w:r>
      <w:bookmarkEnd w:id="11"/>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2"/>
        <w:rPr>
          <w:rFonts w:ascii="楷体" w:hAnsi="楷体" w:eastAsia="楷体" w:cs="楷体"/>
          <w:b/>
          <w:color w:val="auto"/>
          <w:sz w:val="30"/>
          <w:szCs w:val="30"/>
          <w:highlight w:val="none"/>
        </w:rPr>
      </w:pPr>
      <w:bookmarkStart w:id="12" w:name="_Toc31868"/>
      <w:r>
        <w:rPr>
          <w:rFonts w:hint="eastAsia" w:ascii="楷体" w:hAnsi="楷体" w:eastAsia="楷体" w:cs="楷体"/>
          <w:b/>
          <w:color w:val="auto"/>
          <w:sz w:val="30"/>
          <w:szCs w:val="30"/>
          <w:highlight w:val="none"/>
        </w:rPr>
        <w:t>1.项目背景及内容</w:t>
      </w:r>
      <w:bookmarkEnd w:id="12"/>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3"/>
        <w:rPr>
          <w:rFonts w:ascii="仿宋" w:hAnsi="仿宋" w:eastAsia="仿宋" w:cs="仿宋"/>
          <w:bCs/>
          <w:caps/>
          <w:color w:val="auto"/>
          <w:sz w:val="30"/>
          <w:szCs w:val="30"/>
          <w:highlight w:val="none"/>
        </w:rPr>
      </w:pPr>
      <w:r>
        <w:rPr>
          <w:rFonts w:hint="eastAsia" w:ascii="仿宋" w:hAnsi="仿宋" w:eastAsia="仿宋" w:cs="仿宋"/>
          <w:b/>
          <w:caps/>
          <w:color w:val="auto"/>
          <w:sz w:val="30"/>
          <w:szCs w:val="30"/>
          <w:highlight w:val="none"/>
        </w:rPr>
        <w:t>（1）招商投资集团申请注册资本金</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ascii="仿宋" w:hAnsi="仿宋" w:eastAsia="仿宋" w:cs="仿宋"/>
          <w:bCs/>
          <w:caps/>
          <w:color w:val="auto"/>
          <w:szCs w:val="30"/>
          <w:highlight w:val="none"/>
        </w:rPr>
      </w:pPr>
      <w:r>
        <w:rPr>
          <w:rFonts w:hint="eastAsia" w:ascii="仿宋" w:hAnsi="仿宋" w:eastAsia="仿宋" w:cs="仿宋"/>
          <w:bCs/>
          <w:caps/>
          <w:color w:val="auto"/>
          <w:szCs w:val="30"/>
          <w:highlight w:val="none"/>
        </w:rPr>
        <w:t>2020年6月，习近平总书记主持召开中央深改委第十四次会议，审议通过了《国企改革三年行动方案（2020</w:t>
      </w:r>
      <w:r>
        <w:rPr>
          <w:rFonts w:hint="eastAsia" w:ascii="仿宋" w:hAnsi="仿宋" w:eastAsia="仿宋" w:cs="仿宋"/>
          <w:bCs/>
          <w:caps/>
          <w:color w:val="auto"/>
          <w:szCs w:val="30"/>
          <w:highlight w:val="none"/>
          <w:lang w:eastAsia="zh-CN"/>
        </w:rPr>
        <w:t>—</w:t>
      </w:r>
      <w:r>
        <w:rPr>
          <w:rFonts w:hint="eastAsia" w:ascii="仿宋" w:hAnsi="仿宋" w:eastAsia="仿宋" w:cs="仿宋"/>
          <w:bCs/>
          <w:caps/>
          <w:color w:val="auto"/>
          <w:szCs w:val="30"/>
          <w:highlight w:val="none"/>
        </w:rPr>
        <w:t>2022年）》，提出了加快形成以管资本为主的国有资产监管体制，充分发挥国有资本投资、运营公司在授权经营、结构调整、资本运营、激发所出资企业活力和服务实体经济等方面的功能作用。</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ascii="仿宋" w:hAnsi="仿宋" w:eastAsia="仿宋" w:cs="仿宋"/>
          <w:bCs/>
          <w:caps/>
          <w:color w:val="auto"/>
          <w:szCs w:val="30"/>
          <w:highlight w:val="none"/>
        </w:rPr>
      </w:pPr>
      <w:r>
        <w:rPr>
          <w:rFonts w:hint="eastAsia" w:ascii="仿宋" w:hAnsi="仿宋" w:eastAsia="仿宋" w:cs="仿宋"/>
          <w:bCs/>
          <w:caps/>
          <w:color w:val="auto"/>
          <w:szCs w:val="30"/>
          <w:highlight w:val="none"/>
        </w:rPr>
        <w:t>2021年3月，十三届全国人大四次会议表决通过了关于国民经济和社会发展第十四个五年规划和2035年远景目标纲要的决议，规划中提出：加快国有经济布局优化、结构调整和战略性重组，增强国有经济竞争力、创新力、控制力、影响力、抗风险能力，做强做优做大国有资本和国有企业。</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ascii="仿宋" w:hAnsi="仿宋" w:eastAsia="仿宋" w:cs="仿宋"/>
          <w:bCs/>
          <w:caps/>
          <w:color w:val="auto"/>
          <w:szCs w:val="30"/>
          <w:highlight w:val="none"/>
        </w:rPr>
      </w:pPr>
      <w:r>
        <w:rPr>
          <w:rFonts w:hint="eastAsia" w:ascii="仿宋" w:hAnsi="仿宋" w:eastAsia="仿宋" w:cs="仿宋"/>
          <w:bCs/>
          <w:caps/>
          <w:color w:val="auto"/>
          <w:szCs w:val="30"/>
          <w:highlight w:val="none"/>
        </w:rPr>
        <w:t>2021年12月，鄂尔多斯人民政府印发《鄂尔多斯市国民经济和社会发展第十四个五年规划和2035年远景目标纲要》，规划中提出：始终坚持把园区作为推动全市产业转型升级和经济高质量发展的主阵地，按照</w:t>
      </w:r>
      <w:r>
        <w:rPr>
          <w:rFonts w:ascii="仿宋" w:hAnsi="仿宋" w:eastAsia="仿宋" w:cs="仿宋"/>
          <w:bCs/>
          <w:caps/>
          <w:color w:val="auto"/>
          <w:szCs w:val="30"/>
          <w:highlight w:val="none"/>
        </w:rPr>
        <w:t>“</w:t>
      </w:r>
      <w:r>
        <w:rPr>
          <w:rFonts w:hint="eastAsia" w:ascii="仿宋" w:hAnsi="仿宋" w:eastAsia="仿宋" w:cs="仿宋"/>
          <w:bCs/>
          <w:caps/>
          <w:color w:val="auto"/>
          <w:szCs w:val="30"/>
          <w:highlight w:val="none"/>
        </w:rPr>
        <w:t>业态集聚、资源集约、功能集成</w:t>
      </w:r>
      <w:r>
        <w:rPr>
          <w:rFonts w:ascii="仿宋" w:hAnsi="仿宋" w:eastAsia="仿宋" w:cs="仿宋"/>
          <w:bCs/>
          <w:caps/>
          <w:color w:val="auto"/>
          <w:szCs w:val="30"/>
          <w:highlight w:val="none"/>
        </w:rPr>
        <w:t>”</w:t>
      </w:r>
      <w:r>
        <w:rPr>
          <w:rFonts w:hint="eastAsia" w:ascii="仿宋" w:hAnsi="仿宋" w:eastAsia="仿宋" w:cs="仿宋"/>
          <w:bCs/>
          <w:caps/>
          <w:color w:val="auto"/>
          <w:szCs w:val="30"/>
          <w:highlight w:val="none"/>
        </w:rPr>
        <w:t>发展思路，优化生产力空间布局，推动园区整合提质，优势产业向园区集中、资源要素向产业链集聚，走高端化、特色化、品牌化园区发展之路。</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ascii="仿宋" w:hAnsi="仿宋" w:eastAsia="仿宋" w:cs="仿宋"/>
          <w:bCs/>
          <w:caps/>
          <w:color w:val="auto"/>
          <w:szCs w:val="30"/>
          <w:highlight w:val="none"/>
        </w:rPr>
      </w:pPr>
      <w:r>
        <w:rPr>
          <w:rFonts w:hint="eastAsia" w:ascii="仿宋" w:hAnsi="仿宋" w:eastAsia="仿宋" w:cs="仿宋"/>
          <w:bCs/>
          <w:caps/>
          <w:color w:val="auto"/>
          <w:szCs w:val="30"/>
          <w:highlight w:val="none"/>
        </w:rPr>
        <w:t>为响应国有企业及国有资本相关规划和要求，落实旗委、旗政府及国资委确定的战略目标和要求，进一步发挥招商投资集团战略性国有资本投资、运营平台的作用，不断增强综合实力，集团于2022年申请拨付注册资本金，用于以下项目</w:t>
      </w:r>
      <w:r>
        <w:rPr>
          <w:rFonts w:hint="eastAsia" w:ascii="仿宋" w:hAnsi="仿宋" w:eastAsia="仿宋" w:cs="仿宋"/>
          <w:bCs/>
          <w:caps/>
          <w:color w:val="auto"/>
          <w:szCs w:val="30"/>
          <w:highlight w:val="none"/>
          <w:lang w:eastAsia="zh-CN"/>
        </w:rPr>
        <w:t>，</w:t>
      </w:r>
      <w:r>
        <w:rPr>
          <w:rFonts w:hint="eastAsia" w:ascii="仿宋" w:hAnsi="仿宋" w:eastAsia="仿宋" w:cs="仿宋"/>
          <w:bCs/>
          <w:caps/>
          <w:color w:val="auto"/>
          <w:szCs w:val="30"/>
          <w:highlight w:val="none"/>
        </w:rPr>
        <w:t>项目主要内容如下：</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02"/>
        <w:textAlignment w:val="auto"/>
        <w:rPr>
          <w:rFonts w:ascii="仿宋" w:hAnsi="仿宋" w:eastAsia="仿宋"/>
          <w:b/>
          <w:bCs/>
          <w:color w:val="auto"/>
          <w:szCs w:val="30"/>
          <w:highlight w:val="none"/>
        </w:rPr>
      </w:pPr>
      <w:r>
        <w:rPr>
          <w:rFonts w:hint="eastAsia" w:ascii="仿宋" w:hAnsi="仿宋" w:eastAsia="仿宋"/>
          <w:b/>
          <w:bCs/>
          <w:color w:val="auto"/>
          <w:szCs w:val="30"/>
          <w:highlight w:val="none"/>
        </w:rPr>
        <w:t>一是蒙苏工业园区东片区项目。</w:t>
      </w:r>
      <w:r>
        <w:rPr>
          <w:rFonts w:hint="eastAsia" w:ascii="仿宋" w:hAnsi="仿宋" w:eastAsia="仿宋" w:cs="仿宋"/>
          <w:bCs/>
          <w:caps/>
          <w:color w:val="auto"/>
          <w:szCs w:val="30"/>
          <w:highlight w:val="none"/>
        </w:rPr>
        <w:t>蒙苏工业园区东片区项目（以下简称“东片区项目”），由招商投资集团全面负责项目管理工作，为中小企业提供标准化厂房，计划建设高端智能化厂房及办公楼12000㎡。建设期2年，自2021年5月至2023年5月。</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bCs/>
          <w:caps/>
          <w:color w:val="auto"/>
          <w:sz w:val="30"/>
          <w:szCs w:val="30"/>
          <w:highlight w:val="none"/>
        </w:rPr>
      </w:pPr>
      <w:r>
        <w:rPr>
          <w:rFonts w:hint="eastAsia" w:ascii="仿宋" w:hAnsi="仿宋" w:eastAsia="仿宋"/>
          <w:b/>
          <w:bCs/>
          <w:color w:val="auto"/>
          <w:sz w:val="30"/>
          <w:szCs w:val="30"/>
          <w:highlight w:val="none"/>
        </w:rPr>
        <w:t>二是隆基新能源科技产业园建设项目。</w:t>
      </w:r>
      <w:r>
        <w:rPr>
          <w:rFonts w:hint="eastAsia" w:ascii="仿宋" w:hAnsi="仿宋" w:eastAsia="仿宋" w:cs="仿宋"/>
          <w:bCs/>
          <w:caps/>
          <w:color w:val="auto"/>
          <w:sz w:val="30"/>
          <w:szCs w:val="30"/>
          <w:highlight w:val="none"/>
        </w:rPr>
        <w:t>隆基新能源科技产业园建设项目（以下简称“隆基项目”），总建筑面积1242754.3</w:t>
      </w:r>
      <w:r>
        <w:rPr>
          <w:rFonts w:hint="eastAsia" w:ascii="仿宋" w:hAnsi="仿宋" w:eastAsia="仿宋" w:cs="仿宋"/>
          <w:bCs/>
          <w:caps/>
          <w:color w:val="auto"/>
          <w:sz w:val="30"/>
          <w:szCs w:val="30"/>
          <w:highlight w:val="none"/>
          <w:lang w:val="en-US" w:eastAsia="zh-CN"/>
        </w:rPr>
        <w:t>0</w:t>
      </w:r>
      <w:r>
        <w:rPr>
          <w:rFonts w:hint="eastAsia" w:ascii="仿宋" w:hAnsi="仿宋" w:eastAsia="仿宋" w:cs="仿宋"/>
          <w:bCs/>
          <w:caps/>
          <w:color w:val="auto"/>
          <w:sz w:val="30"/>
          <w:szCs w:val="30"/>
          <w:highlight w:val="none"/>
        </w:rPr>
        <w:t>㎡，主要建设标准化厂房900389.42㎡</w:t>
      </w:r>
      <w:r>
        <w:rPr>
          <w:rFonts w:hint="eastAsia" w:ascii="仿宋" w:hAnsi="仿宋" w:eastAsia="仿宋" w:cs="仿宋"/>
          <w:bCs/>
          <w:caps/>
          <w:color w:val="auto"/>
          <w:sz w:val="30"/>
          <w:szCs w:val="30"/>
          <w:highlight w:val="none"/>
          <w:lang w:eastAsia="zh-CN"/>
        </w:rPr>
        <w:t>，</w:t>
      </w:r>
      <w:r>
        <w:rPr>
          <w:rFonts w:hint="eastAsia" w:ascii="仿宋" w:hAnsi="仿宋" w:eastAsia="仿宋" w:cs="仿宋"/>
          <w:bCs/>
          <w:caps/>
          <w:color w:val="auto"/>
          <w:sz w:val="30"/>
          <w:szCs w:val="30"/>
          <w:highlight w:val="none"/>
          <w:lang w:val="en-US" w:eastAsia="zh-CN"/>
        </w:rPr>
        <w:t>生产、生活及</w:t>
      </w:r>
      <w:r>
        <w:rPr>
          <w:rFonts w:hint="default" w:ascii="仿宋" w:hAnsi="仿宋" w:eastAsia="仿宋" w:cs="仿宋"/>
          <w:bCs/>
          <w:caps/>
          <w:color w:val="auto"/>
          <w:sz w:val="30"/>
          <w:szCs w:val="30"/>
          <w:highlight w:val="none"/>
          <w:lang w:val="en-US" w:eastAsia="zh-CN"/>
        </w:rPr>
        <w:t>220KV</w:t>
      </w:r>
      <w:r>
        <w:rPr>
          <w:rFonts w:hint="eastAsia" w:ascii="仿宋" w:hAnsi="仿宋" w:eastAsia="仿宋" w:cs="仿宋"/>
          <w:bCs/>
          <w:caps/>
          <w:color w:val="auto"/>
          <w:sz w:val="30"/>
          <w:szCs w:val="30"/>
          <w:highlight w:val="none"/>
          <w:lang w:val="en-US" w:eastAsia="zh-CN"/>
        </w:rPr>
        <w:t>变电站等辅助用房</w:t>
      </w:r>
      <w:r>
        <w:rPr>
          <w:rFonts w:hint="eastAsia" w:ascii="仿宋" w:hAnsi="仿宋" w:eastAsia="仿宋" w:cs="仿宋"/>
          <w:bCs/>
          <w:caps/>
          <w:color w:val="auto"/>
          <w:sz w:val="30"/>
          <w:szCs w:val="30"/>
          <w:highlight w:val="none"/>
        </w:rPr>
        <w:t>342364.88㎡</w:t>
      </w:r>
      <w:r>
        <w:rPr>
          <w:rFonts w:hint="eastAsia" w:ascii="仿宋" w:hAnsi="仿宋" w:eastAsia="仿宋" w:cs="仿宋"/>
          <w:bCs/>
          <w:caps/>
          <w:color w:val="auto"/>
          <w:sz w:val="30"/>
          <w:szCs w:val="30"/>
          <w:highlight w:val="none"/>
          <w:lang w:eastAsia="zh-CN"/>
        </w:rPr>
        <w:t>，</w:t>
      </w:r>
      <w:r>
        <w:rPr>
          <w:rFonts w:hint="eastAsia" w:ascii="仿宋" w:hAnsi="仿宋" w:eastAsia="仿宋" w:cs="仿宋"/>
          <w:bCs/>
          <w:caps/>
          <w:color w:val="auto"/>
          <w:sz w:val="30"/>
          <w:szCs w:val="30"/>
          <w:highlight w:val="none"/>
        </w:rPr>
        <w:t>为招商引资入驻企业提供标准化厂房。建设期2年，自2022年6月至2024年5月。</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b/>
          <w:bCs/>
          <w:color w:val="auto"/>
          <w:sz w:val="30"/>
          <w:szCs w:val="30"/>
          <w:highlight w:val="none"/>
        </w:rPr>
      </w:pPr>
      <w:r>
        <w:rPr>
          <w:rFonts w:hint="eastAsia" w:ascii="仿宋" w:hAnsi="仿宋" w:eastAsia="仿宋"/>
          <w:b/>
          <w:bCs/>
          <w:color w:val="auto"/>
          <w:sz w:val="30"/>
          <w:szCs w:val="30"/>
          <w:highlight w:val="none"/>
        </w:rPr>
        <w:t>三是华景新材料零碳产业园建设项目。</w:t>
      </w:r>
      <w:r>
        <w:rPr>
          <w:rFonts w:hint="eastAsia" w:ascii="仿宋" w:hAnsi="仿宋" w:eastAsia="仿宋" w:cs="仿宋"/>
          <w:bCs/>
          <w:caps/>
          <w:color w:val="auto"/>
          <w:sz w:val="30"/>
          <w:szCs w:val="30"/>
          <w:highlight w:val="none"/>
        </w:rPr>
        <w:t>华景新材料零碳产业园建设项目（以下简称“华景项目”），项目总建筑面积381000㎡，计划建设标准化厂房255270㎡，辅助设施用房11430㎡（含220KV变电站一座），办公、生活用房114300㎡，为招商引资入驻企业提供标准化厂房，建成后可实现年产20万吨磷酸铁锂正极材料。建设期2年，自2022年6月至2024年5月。</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3"/>
        <w:rPr>
          <w:rFonts w:ascii="仿宋" w:hAnsi="仿宋" w:eastAsia="仿宋" w:cs="仿宋"/>
          <w:bCs/>
          <w:caps/>
          <w:color w:val="auto"/>
          <w:sz w:val="30"/>
          <w:szCs w:val="30"/>
          <w:highlight w:val="none"/>
        </w:rPr>
      </w:pPr>
      <w:r>
        <w:rPr>
          <w:rFonts w:hint="eastAsia" w:ascii="仿宋" w:hAnsi="仿宋" w:eastAsia="仿宋" w:cs="仿宋"/>
          <w:b/>
          <w:caps/>
          <w:color w:val="auto"/>
          <w:sz w:val="30"/>
          <w:szCs w:val="30"/>
          <w:highlight w:val="none"/>
        </w:rPr>
        <w:t>（2）天骄创投公司申请注册资本金</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 w:hAnsi="仿宋" w:eastAsia="仿宋" w:cs="仿宋"/>
          <w:bCs/>
          <w:caps/>
          <w:color w:val="auto"/>
          <w:sz w:val="30"/>
          <w:szCs w:val="30"/>
          <w:highlight w:val="none"/>
        </w:rPr>
      </w:pPr>
      <w:r>
        <w:rPr>
          <w:rFonts w:hint="eastAsia" w:ascii="仿宋" w:hAnsi="仿宋" w:eastAsia="仿宋" w:cs="仿宋"/>
          <w:bCs/>
          <w:caps/>
          <w:color w:val="auto"/>
          <w:sz w:val="30"/>
          <w:szCs w:val="30"/>
          <w:highlight w:val="none"/>
        </w:rPr>
        <w:t>天骄创投为招商投资集团子公司，主要经营范围包括企业</w:t>
      </w:r>
      <w:r>
        <w:rPr>
          <w:rFonts w:ascii="仿宋" w:hAnsi="仿宋" w:eastAsia="仿宋" w:cs="仿宋"/>
          <w:bCs/>
          <w:caps/>
          <w:color w:val="auto"/>
          <w:sz w:val="30"/>
          <w:szCs w:val="30"/>
          <w:highlight w:val="none"/>
        </w:rPr>
        <w:t>运营管理、人力资源管理、教育培训、财务管理业务等</w:t>
      </w:r>
      <w:r>
        <w:rPr>
          <w:rFonts w:hint="eastAsia" w:ascii="仿宋" w:hAnsi="仿宋" w:eastAsia="仿宋" w:cs="仿宋"/>
          <w:bCs/>
          <w:caps/>
          <w:color w:val="auto"/>
          <w:sz w:val="30"/>
          <w:szCs w:val="30"/>
          <w:highlight w:val="none"/>
        </w:rPr>
        <w:t>，公司位于伊金霍洛旗阿勒腾席热镇。</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 w:hAnsi="仿宋" w:eastAsia="仿宋" w:cs="仿宋"/>
          <w:bCs/>
          <w:caps/>
          <w:color w:val="auto"/>
          <w:sz w:val="30"/>
          <w:szCs w:val="30"/>
          <w:highlight w:val="none"/>
        </w:rPr>
      </w:pPr>
      <w:r>
        <w:rPr>
          <w:rFonts w:hint="eastAsia" w:ascii="仿宋" w:hAnsi="仿宋" w:eastAsia="仿宋" w:cs="仿宋"/>
          <w:bCs/>
          <w:caps/>
          <w:color w:val="auto"/>
          <w:sz w:val="30"/>
          <w:szCs w:val="30"/>
          <w:highlight w:val="none"/>
        </w:rPr>
        <w:t>伊旗以创新促进发展、以创业带动就业，着力优化创新环境、丰富创业平台、完善服务体系，通过招商引资、鼓励创业、孵化培育等模式，引进培育了一批科技创新能力较强、技术先进的优质企业，“大众创业、万众创新”引领作用进一步显现，为推动地方经济社会持续健康发展发挥了重要作用。但仍存在“双创”平台发展空间有限等问题。</w:t>
      </w:r>
    </w:p>
    <w:p>
      <w:pPr>
        <w:pStyle w:val="37"/>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ascii="仿宋" w:hAnsi="仿宋" w:cs="仿宋"/>
          <w:bCs/>
          <w:caps/>
          <w:color w:val="auto"/>
          <w:sz w:val="30"/>
          <w:szCs w:val="30"/>
          <w:highlight w:val="none"/>
        </w:rPr>
      </w:pPr>
      <w:r>
        <w:rPr>
          <w:rFonts w:hint="eastAsia" w:ascii="仿宋" w:hAnsi="仿宋" w:cs="仿宋"/>
          <w:bCs/>
          <w:caps/>
          <w:color w:val="auto"/>
          <w:sz w:val="30"/>
          <w:szCs w:val="30"/>
          <w:highlight w:val="none"/>
        </w:rPr>
        <w:t>2020年3月，国务院办公厅印发《国务院办公厅关于提升大众创业万众创新示范基地带动作用进一步促改革稳就业强动能的实施意见》</w:t>
      </w:r>
      <w:r>
        <w:rPr>
          <w:rFonts w:hint="eastAsia" w:ascii="仿宋" w:hAnsi="仿宋" w:cs="仿宋"/>
          <w:bCs/>
          <w:caps/>
          <w:color w:val="auto"/>
          <w:spacing w:val="-6"/>
          <w:sz w:val="30"/>
          <w:szCs w:val="30"/>
          <w:highlight w:val="none"/>
        </w:rPr>
        <w:t>（国办发〔2020〕226号）</w:t>
      </w:r>
      <w:r>
        <w:rPr>
          <w:rFonts w:hint="eastAsia" w:ascii="仿宋" w:hAnsi="仿宋" w:cs="仿宋"/>
          <w:bCs/>
          <w:caps/>
          <w:color w:val="auto"/>
          <w:sz w:val="30"/>
          <w:szCs w:val="30"/>
          <w:highlight w:val="none"/>
        </w:rPr>
        <w:t>。意见指出提升双创示范基地带动作用，推动我国创新创业高质量发展。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 w:hAnsi="仿宋" w:eastAsia="仿宋" w:cs="仿宋"/>
          <w:bCs/>
          <w:caps/>
          <w:color w:val="auto"/>
          <w:sz w:val="30"/>
          <w:szCs w:val="30"/>
          <w:highlight w:val="none"/>
        </w:rPr>
      </w:pPr>
      <w:r>
        <w:rPr>
          <w:rFonts w:hint="eastAsia" w:ascii="仿宋" w:hAnsi="仿宋" w:eastAsia="仿宋" w:cs="仿宋"/>
          <w:bCs/>
          <w:caps/>
          <w:color w:val="auto"/>
          <w:sz w:val="30"/>
          <w:szCs w:val="30"/>
          <w:highlight w:val="none"/>
        </w:rPr>
        <w:t>为深入实施创新驱动发展战略，以实际举措推动“科技兴蒙”政策在伊旗落地见效，2020年12月，伊旗旗委十五届142次常委会明确指出，原则同意由旗城投集团支持天骄创投公司按照“双创”平台相关标准依法依规面向市场，结合“去库存”政策，在水岸新城范围内公开选购5万平方米左右具备入驻条件的综合体，为引进优质企业、高端人才提供创新创业发展空间。</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2"/>
        <w:rPr>
          <w:rFonts w:ascii="楷体" w:hAnsi="楷体" w:eastAsia="楷体" w:cs="楷体"/>
          <w:b/>
          <w:color w:val="auto"/>
          <w:sz w:val="30"/>
          <w:szCs w:val="30"/>
          <w:highlight w:val="none"/>
        </w:rPr>
      </w:pPr>
      <w:bookmarkStart w:id="13" w:name="_Toc12273"/>
      <w:r>
        <w:rPr>
          <w:rFonts w:hint="eastAsia" w:ascii="楷体" w:hAnsi="楷体" w:eastAsia="楷体" w:cs="楷体"/>
          <w:b/>
          <w:color w:val="auto"/>
          <w:sz w:val="30"/>
          <w:szCs w:val="30"/>
          <w:highlight w:val="none"/>
        </w:rPr>
        <w:t>2.项目实施情况</w:t>
      </w:r>
      <w:bookmarkEnd w:id="13"/>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3"/>
        <w:rPr>
          <w:rFonts w:ascii="仿宋" w:hAnsi="仿宋" w:eastAsia="仿宋" w:cs="仿宋"/>
          <w:b/>
          <w:caps/>
          <w:color w:val="auto"/>
          <w:sz w:val="30"/>
          <w:szCs w:val="30"/>
          <w:highlight w:val="none"/>
        </w:rPr>
      </w:pPr>
      <w:r>
        <w:rPr>
          <w:rFonts w:hint="eastAsia" w:ascii="仿宋" w:hAnsi="仿宋" w:eastAsia="仿宋" w:cs="仿宋"/>
          <w:b/>
          <w:caps/>
          <w:color w:val="auto"/>
          <w:sz w:val="30"/>
          <w:szCs w:val="30"/>
          <w:highlight w:val="none"/>
        </w:rPr>
        <w:t>（1）招商投资集团申请注册资本金</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olor w:val="auto"/>
          <w:sz w:val="30"/>
          <w:szCs w:val="30"/>
          <w:highlight w:val="none"/>
        </w:rPr>
      </w:pPr>
      <w:r>
        <w:rPr>
          <w:rFonts w:hint="eastAsia" w:ascii="仿宋" w:hAnsi="仿宋" w:eastAsia="仿宋"/>
          <w:b/>
          <w:bCs/>
          <w:color w:val="auto"/>
          <w:sz w:val="30"/>
          <w:szCs w:val="30"/>
          <w:highlight w:val="none"/>
        </w:rPr>
        <w:t>一是</w:t>
      </w:r>
      <w:r>
        <w:rPr>
          <w:rFonts w:hint="eastAsia" w:ascii="仿宋" w:hAnsi="仿宋" w:eastAsia="仿宋"/>
          <w:color w:val="auto"/>
          <w:sz w:val="30"/>
          <w:szCs w:val="30"/>
          <w:highlight w:val="none"/>
        </w:rPr>
        <w:t>东片区项目。截至评价日，东片区项目已完成建设面积11333㎡标准化厂房建设，并预验收合格。</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olor w:val="auto"/>
          <w:sz w:val="30"/>
          <w:szCs w:val="30"/>
          <w:highlight w:val="none"/>
        </w:rPr>
      </w:pPr>
      <w:r>
        <w:rPr>
          <w:rFonts w:hint="eastAsia" w:ascii="仿宋" w:hAnsi="仿宋" w:eastAsia="仿宋"/>
          <w:b/>
          <w:bCs/>
          <w:color w:val="auto"/>
          <w:sz w:val="30"/>
          <w:szCs w:val="30"/>
          <w:highlight w:val="none"/>
        </w:rPr>
        <w:t>二是</w:t>
      </w:r>
      <w:r>
        <w:rPr>
          <w:rFonts w:hint="eastAsia" w:ascii="仿宋" w:hAnsi="仿宋" w:eastAsia="仿宋"/>
          <w:color w:val="auto"/>
          <w:sz w:val="30"/>
          <w:szCs w:val="30"/>
          <w:highlight w:val="none"/>
        </w:rPr>
        <w:t>隆基项目。截至评价日，已完成项目勘察、设计、招投标、临时用电施工等前期工作，项目整体完成72%。</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olor w:val="auto"/>
          <w:sz w:val="30"/>
          <w:szCs w:val="30"/>
          <w:highlight w:val="none"/>
        </w:rPr>
      </w:pPr>
      <w:r>
        <w:rPr>
          <w:rFonts w:hint="eastAsia" w:ascii="仿宋" w:hAnsi="仿宋" w:eastAsia="仿宋"/>
          <w:b/>
          <w:bCs/>
          <w:color w:val="auto"/>
          <w:sz w:val="30"/>
          <w:szCs w:val="30"/>
          <w:highlight w:val="none"/>
        </w:rPr>
        <w:t>三是</w:t>
      </w:r>
      <w:r>
        <w:rPr>
          <w:rFonts w:hint="eastAsia" w:ascii="仿宋" w:hAnsi="仿宋" w:eastAsia="仿宋"/>
          <w:color w:val="auto"/>
          <w:sz w:val="30"/>
          <w:szCs w:val="30"/>
          <w:highlight w:val="none"/>
        </w:rPr>
        <w:t>华景项目。截至评价日，已完成项目勘察、设计、招投标、临时用电施工等前期工作，项目整体完成85%。</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3"/>
        <w:rPr>
          <w:rFonts w:ascii="仿宋" w:hAnsi="仿宋" w:eastAsia="仿宋" w:cs="仿宋"/>
          <w:b/>
          <w:caps/>
          <w:color w:val="auto"/>
          <w:sz w:val="30"/>
          <w:szCs w:val="30"/>
          <w:highlight w:val="none"/>
        </w:rPr>
      </w:pPr>
      <w:r>
        <w:rPr>
          <w:rFonts w:hint="eastAsia" w:ascii="仿宋" w:hAnsi="仿宋" w:eastAsia="仿宋" w:cs="仿宋"/>
          <w:b/>
          <w:caps/>
          <w:color w:val="auto"/>
          <w:sz w:val="30"/>
          <w:szCs w:val="30"/>
          <w:highlight w:val="none"/>
        </w:rPr>
        <w:t>（2）天骄创投申请注册资本金</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color w:val="auto"/>
          <w:highlight w:val="none"/>
        </w:rPr>
      </w:pPr>
      <w:r>
        <w:rPr>
          <w:rFonts w:hint="eastAsia" w:ascii="仿宋" w:hAnsi="仿宋" w:eastAsia="仿宋"/>
          <w:color w:val="auto"/>
          <w:sz w:val="30"/>
          <w:szCs w:val="30"/>
          <w:highlight w:val="none"/>
        </w:rPr>
        <w:t>招商投资集团子公司天骄创投申请注册资本金用于“双创”和孵化基地项目，由天骄创投负责选购房产事宜，为引进优质企业、高端人才提供创新创业发展空间，选购房屋面积为49312.05㎡。截至评价日，“双创”和孵化基地项目，已完成签订《房屋选购合同》《房票借付三方协议》及房票借付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2"/>
        <w:rPr>
          <w:rFonts w:ascii="楷体" w:hAnsi="楷体" w:eastAsia="楷体" w:cs="楷体"/>
          <w:b/>
          <w:color w:val="auto"/>
          <w:sz w:val="30"/>
          <w:szCs w:val="30"/>
          <w:highlight w:val="none"/>
        </w:rPr>
      </w:pPr>
      <w:bookmarkStart w:id="14" w:name="_Toc1953"/>
      <w:r>
        <w:rPr>
          <w:rFonts w:hint="eastAsia" w:ascii="楷体" w:hAnsi="楷体" w:eastAsia="楷体" w:cs="楷体"/>
          <w:b/>
          <w:color w:val="auto"/>
          <w:sz w:val="30"/>
          <w:szCs w:val="30"/>
          <w:highlight w:val="none"/>
        </w:rPr>
        <w:t>3.项目资金情况</w:t>
      </w:r>
      <w:bookmarkEnd w:id="14"/>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3"/>
        <w:rPr>
          <w:rFonts w:ascii="仿宋" w:hAnsi="仿宋" w:eastAsia="仿宋" w:cs="仿宋"/>
          <w:b/>
          <w:caps/>
          <w:color w:val="auto"/>
          <w:sz w:val="30"/>
          <w:szCs w:val="30"/>
          <w:highlight w:val="none"/>
        </w:rPr>
      </w:pPr>
      <w:r>
        <w:rPr>
          <w:rFonts w:hint="eastAsia" w:ascii="仿宋" w:hAnsi="仿宋" w:eastAsia="仿宋" w:cs="仿宋"/>
          <w:b/>
          <w:caps/>
          <w:color w:val="auto"/>
          <w:sz w:val="30"/>
          <w:szCs w:val="30"/>
          <w:highlight w:val="none"/>
        </w:rPr>
        <w:t>（1）招商投资集团申请注册资本金</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s="仿宋"/>
          <w:b/>
          <w:bCs/>
          <w:i/>
          <w:iCs/>
          <w:color w:val="auto"/>
          <w:sz w:val="30"/>
          <w:szCs w:val="30"/>
          <w:highlight w:val="none"/>
        </w:rPr>
      </w:pPr>
      <w:r>
        <w:rPr>
          <w:rFonts w:hint="eastAsia" w:ascii="仿宋" w:hAnsi="仿宋" w:eastAsia="仿宋" w:cs="仿宋"/>
          <w:b/>
          <w:bCs/>
          <w:color w:val="auto"/>
          <w:sz w:val="30"/>
          <w:szCs w:val="30"/>
          <w:highlight w:val="none"/>
        </w:rPr>
        <w:t>一是东片区项目。</w:t>
      </w:r>
      <w:r>
        <w:rPr>
          <w:rFonts w:hint="eastAsia" w:ascii="仿宋" w:hAnsi="仿宋" w:eastAsia="仿宋" w:cs="仿宋"/>
          <w:color w:val="auto"/>
          <w:kern w:val="0"/>
          <w:sz w:val="30"/>
          <w:szCs w:val="30"/>
          <w:highlight w:val="none"/>
        </w:rPr>
        <w:t>2022年</w:t>
      </w:r>
      <w:r>
        <w:rPr>
          <w:rFonts w:hint="eastAsia" w:ascii="仿宋" w:hAnsi="仿宋" w:eastAsia="仿宋" w:cs="仿宋"/>
          <w:color w:val="auto"/>
          <w:kern w:val="0"/>
          <w:sz w:val="30"/>
          <w:szCs w:val="30"/>
          <w:highlight w:val="none"/>
          <w:lang w:val="en-US" w:eastAsia="zh-CN"/>
        </w:rPr>
        <w:t>伊金霍洛旗</w:t>
      </w:r>
      <w:r>
        <w:rPr>
          <w:rFonts w:hint="eastAsia" w:ascii="仿宋" w:hAnsi="仿宋" w:eastAsia="仿宋" w:cs="仿宋"/>
          <w:color w:val="auto"/>
          <w:kern w:val="0"/>
          <w:sz w:val="30"/>
          <w:szCs w:val="30"/>
          <w:highlight w:val="none"/>
        </w:rPr>
        <w:t>发展</w:t>
      </w:r>
      <w:r>
        <w:rPr>
          <w:rFonts w:hint="eastAsia" w:ascii="仿宋" w:hAnsi="仿宋" w:eastAsia="仿宋" w:cs="仿宋"/>
          <w:color w:val="auto"/>
          <w:kern w:val="0"/>
          <w:sz w:val="30"/>
          <w:szCs w:val="30"/>
          <w:highlight w:val="none"/>
          <w:lang w:val="en-US" w:eastAsia="zh-CN"/>
        </w:rPr>
        <w:t>和</w:t>
      </w:r>
      <w:r>
        <w:rPr>
          <w:rFonts w:hint="eastAsia" w:ascii="仿宋" w:hAnsi="仿宋" w:eastAsia="仿宋" w:cs="仿宋"/>
          <w:color w:val="auto"/>
          <w:kern w:val="0"/>
          <w:sz w:val="30"/>
          <w:szCs w:val="30"/>
          <w:highlight w:val="none"/>
        </w:rPr>
        <w:t>改革委员会批复项目总投资2,139.86万元</w:t>
      </w:r>
      <w:r>
        <w:rPr>
          <w:rFonts w:hint="eastAsia" w:ascii="仿宋" w:hAnsi="仿宋" w:eastAsia="仿宋" w:cs="仿宋"/>
          <w:bCs/>
          <w:caps/>
          <w:color w:val="auto"/>
          <w:sz w:val="30"/>
          <w:szCs w:val="30"/>
          <w:highlight w:val="none"/>
        </w:rPr>
        <w:t>，资金来源为政府投资。招商投资集团于2022年申请注册资本金87.00万元用于本项目，现已全部到位。截至评价日，注册资本金已全部支出，预算执行率为100%。</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s="仿宋"/>
          <w:b/>
          <w:bCs/>
          <w:i/>
          <w:iCs/>
          <w:color w:val="auto"/>
          <w:sz w:val="30"/>
          <w:szCs w:val="30"/>
          <w:highlight w:val="none"/>
        </w:rPr>
      </w:pPr>
      <w:r>
        <w:rPr>
          <w:rFonts w:hint="eastAsia" w:ascii="仿宋" w:hAnsi="仿宋" w:eastAsia="仿宋" w:cs="仿宋"/>
          <w:b/>
          <w:color w:val="auto"/>
          <w:sz w:val="30"/>
          <w:szCs w:val="30"/>
          <w:highlight w:val="none"/>
        </w:rPr>
        <w:t>二是隆基项目。</w:t>
      </w:r>
      <w:r>
        <w:rPr>
          <w:rFonts w:hint="eastAsia" w:ascii="仿宋" w:hAnsi="仿宋" w:eastAsia="仿宋" w:cs="仿宋"/>
          <w:color w:val="auto"/>
          <w:kern w:val="0"/>
          <w:sz w:val="30"/>
          <w:szCs w:val="30"/>
          <w:highlight w:val="none"/>
        </w:rPr>
        <w:t>2022年伊旗发展改革委员会批复项目总投资</w:t>
      </w:r>
      <w:r>
        <w:rPr>
          <w:rFonts w:hint="eastAsia" w:ascii="仿宋" w:hAnsi="仿宋" w:eastAsia="仿宋" w:cs="仿宋"/>
          <w:color w:val="auto"/>
          <w:kern w:val="0"/>
          <w:sz w:val="30"/>
          <w:szCs w:val="30"/>
          <w:highlight w:val="none"/>
          <w:lang w:val="en-US" w:eastAsia="zh-CN"/>
        </w:rPr>
        <w:t>1,086,400</w:t>
      </w:r>
      <w:r>
        <w:rPr>
          <w:rFonts w:hint="eastAsia" w:ascii="仿宋" w:hAnsi="仿宋" w:eastAsia="仿宋" w:cs="仿宋"/>
          <w:color w:val="auto"/>
          <w:kern w:val="0"/>
          <w:sz w:val="30"/>
          <w:szCs w:val="30"/>
          <w:highlight w:val="none"/>
        </w:rPr>
        <w:t>.00万元，资金来源为政府投资、银行融资、专项债。招商投资集团于2022年申请注册资本金70,000.00万元用于本项目，现已全部到位。截至评价日，注册资本金已支出</w:t>
      </w:r>
      <w:r>
        <w:rPr>
          <w:rFonts w:hint="eastAsia" w:ascii="仿宋" w:hAnsi="仿宋" w:eastAsia="仿宋" w:cs="仿宋"/>
          <w:color w:val="auto"/>
          <w:kern w:val="0"/>
          <w:sz w:val="30"/>
          <w:szCs w:val="30"/>
          <w:highlight w:val="none"/>
          <w:lang w:val="en-US" w:eastAsia="zh-CN"/>
        </w:rPr>
        <w:t>43,263.67</w:t>
      </w:r>
      <w:r>
        <w:rPr>
          <w:rFonts w:hint="eastAsia" w:ascii="仿宋" w:hAnsi="仿宋" w:eastAsia="仿宋" w:cs="仿宋"/>
          <w:color w:val="auto"/>
          <w:kern w:val="0"/>
          <w:sz w:val="30"/>
          <w:szCs w:val="30"/>
          <w:highlight w:val="none"/>
        </w:rPr>
        <w:t>万元，预</w:t>
      </w:r>
      <w:r>
        <w:rPr>
          <w:rFonts w:hint="eastAsia" w:ascii="仿宋" w:hAnsi="仿宋" w:eastAsia="仿宋" w:cs="仿宋"/>
          <w:bCs/>
          <w:caps/>
          <w:color w:val="auto"/>
          <w:sz w:val="30"/>
          <w:szCs w:val="30"/>
          <w:highlight w:val="none"/>
        </w:rPr>
        <w:t>算执行率为</w:t>
      </w:r>
      <w:r>
        <w:rPr>
          <w:rFonts w:hint="eastAsia" w:ascii="仿宋" w:hAnsi="仿宋" w:eastAsia="仿宋" w:cs="仿宋"/>
          <w:bCs/>
          <w:caps/>
          <w:color w:val="auto"/>
          <w:sz w:val="30"/>
          <w:szCs w:val="30"/>
          <w:highlight w:val="none"/>
          <w:lang w:val="en-US" w:eastAsia="zh-CN"/>
        </w:rPr>
        <w:t>62</w:t>
      </w:r>
      <w:r>
        <w:rPr>
          <w:rFonts w:hint="eastAsia" w:ascii="仿宋" w:hAnsi="仿宋" w:eastAsia="仿宋" w:cs="仿宋"/>
          <w:bCs/>
          <w:caps/>
          <w:color w:val="auto"/>
          <w:sz w:val="30"/>
          <w:szCs w:val="30"/>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s="仿宋"/>
          <w:color w:val="auto"/>
          <w:kern w:val="0"/>
          <w:sz w:val="30"/>
          <w:szCs w:val="30"/>
          <w:highlight w:val="none"/>
        </w:rPr>
      </w:pPr>
      <w:r>
        <w:rPr>
          <w:rFonts w:hint="eastAsia" w:ascii="仿宋" w:hAnsi="仿宋" w:eastAsia="仿宋" w:cs="仿宋"/>
          <w:b/>
          <w:bCs/>
          <w:color w:val="auto"/>
          <w:sz w:val="30"/>
          <w:szCs w:val="30"/>
          <w:highlight w:val="none"/>
        </w:rPr>
        <w:t>三是华景项目。</w:t>
      </w:r>
      <w:r>
        <w:rPr>
          <w:rFonts w:hint="eastAsia" w:ascii="仿宋" w:hAnsi="仿宋" w:eastAsia="仿宋" w:cs="仿宋"/>
          <w:color w:val="auto"/>
          <w:kern w:val="0"/>
          <w:sz w:val="30"/>
          <w:szCs w:val="30"/>
          <w:highlight w:val="none"/>
        </w:rPr>
        <w:t>2022年伊旗发展改革委员会批复项目总投资160,000.00万元，资金来源为政府投资、银行贷款、企业自筹。招商投资集团于2022年申请注册资本金32,000.00万元用于本项目，现已全部到位。截至评价日，注册资本金已支出</w:t>
      </w:r>
      <w:r>
        <w:rPr>
          <w:rFonts w:hint="eastAsia" w:ascii="仿宋" w:hAnsi="仿宋" w:eastAsia="仿宋" w:cs="仿宋"/>
          <w:color w:val="auto"/>
          <w:kern w:val="0"/>
          <w:sz w:val="30"/>
          <w:szCs w:val="30"/>
          <w:highlight w:val="none"/>
          <w:lang w:val="en-US" w:eastAsia="zh-CN"/>
        </w:rPr>
        <w:t>11,917.28万元</w:t>
      </w:r>
      <w:r>
        <w:rPr>
          <w:rFonts w:hint="eastAsia" w:ascii="仿宋" w:hAnsi="仿宋" w:eastAsia="仿宋" w:cs="仿宋"/>
          <w:color w:val="auto"/>
          <w:kern w:val="0"/>
          <w:sz w:val="30"/>
          <w:szCs w:val="30"/>
          <w:highlight w:val="none"/>
        </w:rPr>
        <w:t>，预算</w:t>
      </w:r>
      <w:r>
        <w:rPr>
          <w:rFonts w:hint="eastAsia" w:ascii="仿宋" w:hAnsi="仿宋" w:eastAsia="仿宋" w:cs="仿宋"/>
          <w:bCs/>
          <w:caps/>
          <w:color w:val="auto"/>
          <w:sz w:val="30"/>
          <w:szCs w:val="30"/>
          <w:highlight w:val="none"/>
        </w:rPr>
        <w:t>执行率为</w:t>
      </w:r>
      <w:r>
        <w:rPr>
          <w:rFonts w:hint="eastAsia" w:ascii="仿宋" w:hAnsi="仿宋" w:eastAsia="仿宋" w:cs="仿宋"/>
          <w:bCs/>
          <w:caps/>
          <w:color w:val="auto"/>
          <w:sz w:val="30"/>
          <w:szCs w:val="30"/>
          <w:highlight w:val="none"/>
          <w:lang w:val="en-US" w:eastAsia="zh-CN"/>
        </w:rPr>
        <w:t>37</w:t>
      </w:r>
      <w:r>
        <w:rPr>
          <w:rFonts w:hint="eastAsia" w:ascii="仿宋" w:hAnsi="仿宋" w:eastAsia="仿宋" w:cs="仿宋"/>
          <w:bCs/>
          <w:caps/>
          <w:color w:val="auto"/>
          <w:sz w:val="30"/>
          <w:szCs w:val="30"/>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3"/>
        <w:rPr>
          <w:rFonts w:ascii="仿宋" w:hAnsi="仿宋" w:eastAsia="仿宋" w:cs="仿宋"/>
          <w:b/>
          <w:caps/>
          <w:color w:val="auto"/>
          <w:sz w:val="30"/>
          <w:szCs w:val="30"/>
          <w:highlight w:val="none"/>
        </w:rPr>
      </w:pPr>
      <w:r>
        <w:rPr>
          <w:rFonts w:hint="eastAsia" w:ascii="仿宋" w:hAnsi="仿宋" w:eastAsia="仿宋" w:cs="仿宋"/>
          <w:b/>
          <w:caps/>
          <w:color w:val="auto"/>
          <w:sz w:val="30"/>
          <w:szCs w:val="30"/>
          <w:highlight w:val="none"/>
        </w:rPr>
        <w:t>（2）天骄创投申请注册资本金</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“双创”和孵化基地项目。2020年</w:t>
      </w:r>
      <w:r>
        <w:rPr>
          <w:rFonts w:hint="eastAsia" w:ascii="仿宋" w:hAnsi="仿宋" w:eastAsia="仿宋" w:cs="仿宋"/>
          <w:bCs/>
          <w:caps/>
          <w:color w:val="auto"/>
          <w:sz w:val="30"/>
          <w:szCs w:val="30"/>
          <w:highlight w:val="none"/>
        </w:rPr>
        <w:t>伊旗旗委十五届142次常委会</w:t>
      </w:r>
      <w:r>
        <w:rPr>
          <w:rFonts w:hint="eastAsia" w:ascii="仿宋" w:hAnsi="仿宋" w:eastAsia="仿宋" w:cs="仿宋"/>
          <w:color w:val="auto"/>
          <w:kern w:val="0"/>
          <w:sz w:val="30"/>
          <w:szCs w:val="30"/>
          <w:highlight w:val="none"/>
        </w:rPr>
        <w:t>会议精神，伊旗发展改革委员会批复项目总投资41</w:t>
      </w:r>
      <w:r>
        <w:rPr>
          <w:rFonts w:hint="eastAsia" w:ascii="仿宋" w:hAnsi="仿宋" w:eastAsia="仿宋" w:cs="仿宋"/>
          <w:color w:val="auto"/>
          <w:kern w:val="0"/>
          <w:sz w:val="30"/>
          <w:szCs w:val="30"/>
          <w:highlight w:val="none"/>
          <w:lang w:val="en-US" w:eastAsia="zh-CN"/>
        </w:rPr>
        <w:t>,</w:t>
      </w:r>
      <w:r>
        <w:rPr>
          <w:rFonts w:hint="eastAsia" w:ascii="仿宋" w:hAnsi="仿宋" w:eastAsia="仿宋" w:cs="仿宋"/>
          <w:color w:val="auto"/>
          <w:kern w:val="0"/>
          <w:sz w:val="30"/>
          <w:szCs w:val="30"/>
          <w:highlight w:val="none"/>
        </w:rPr>
        <w:t>915.24万元，资金来源为政府投资、银行贷款、企业自筹。天骄创投向招商投资集团于2022年申请注册资本金12,000.00万元用于本项目，现已全部到位。截至评价日，注册资本金已支出12,000.00</w:t>
      </w:r>
      <w:r>
        <w:rPr>
          <w:rFonts w:hint="eastAsia" w:ascii="仿宋" w:hAnsi="仿宋" w:eastAsia="仿宋" w:cs="仿宋"/>
          <w:color w:val="auto"/>
          <w:kern w:val="0"/>
          <w:sz w:val="30"/>
          <w:szCs w:val="30"/>
          <w:highlight w:val="none"/>
          <w:lang w:val="en-US" w:eastAsia="zh-CN"/>
        </w:rPr>
        <w:t>万元</w:t>
      </w:r>
      <w:r>
        <w:rPr>
          <w:rFonts w:hint="eastAsia" w:ascii="仿宋" w:hAnsi="仿宋" w:eastAsia="仿宋" w:cs="仿宋"/>
          <w:color w:val="auto"/>
          <w:kern w:val="0"/>
          <w:sz w:val="30"/>
          <w:szCs w:val="30"/>
          <w:highlight w:val="none"/>
        </w:rPr>
        <w:t>，预</w:t>
      </w:r>
      <w:r>
        <w:rPr>
          <w:rFonts w:hint="eastAsia" w:ascii="仿宋" w:hAnsi="仿宋" w:eastAsia="仿宋" w:cs="仿宋"/>
          <w:bCs/>
          <w:caps/>
          <w:color w:val="auto"/>
          <w:sz w:val="30"/>
          <w:szCs w:val="30"/>
          <w:highlight w:val="none"/>
        </w:rPr>
        <w:t>算执行率为</w:t>
      </w:r>
      <w:r>
        <w:rPr>
          <w:rFonts w:hint="eastAsia" w:ascii="仿宋" w:hAnsi="仿宋" w:eastAsia="仿宋" w:cs="仿宋"/>
          <w:bCs/>
          <w:caps/>
          <w:color w:val="auto"/>
          <w:sz w:val="30"/>
          <w:szCs w:val="30"/>
          <w:highlight w:val="none"/>
          <w:lang w:val="en-US" w:eastAsia="zh-CN"/>
        </w:rPr>
        <w:t>100</w:t>
      </w:r>
      <w:r>
        <w:rPr>
          <w:rFonts w:hint="eastAsia" w:ascii="仿宋" w:hAnsi="仿宋" w:eastAsia="仿宋" w:cs="仿宋"/>
          <w:bCs/>
          <w:caps/>
          <w:color w:val="auto"/>
          <w:sz w:val="30"/>
          <w:szCs w:val="30"/>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黑体" w:hAnsi="黑体" w:eastAsia="黑体" w:cs="黑体"/>
          <w:color w:val="auto"/>
          <w:kern w:val="0"/>
          <w:sz w:val="24"/>
          <w:highlight w:val="none"/>
        </w:rPr>
      </w:pPr>
      <w:r>
        <w:rPr>
          <w:rFonts w:hint="eastAsia" w:ascii="仿宋" w:hAnsi="仿宋" w:eastAsia="仿宋" w:cs="仿宋"/>
          <w:color w:val="auto"/>
          <w:kern w:val="0"/>
          <w:sz w:val="30"/>
          <w:szCs w:val="30"/>
          <w:highlight w:val="none"/>
          <w:lang w:val="en-US" w:eastAsia="zh-CN"/>
        </w:rPr>
        <w:t>2022年旗财政局共下达注册资本金114,087.00万元，截至评价日支出67,267.95万</w:t>
      </w:r>
      <w:r>
        <w:rPr>
          <w:rFonts w:hint="eastAsia" w:ascii="仿宋" w:hAnsi="仿宋" w:eastAsia="仿宋" w:cs="仿宋"/>
          <w:color w:val="auto"/>
          <w:kern w:val="0"/>
          <w:sz w:val="30"/>
          <w:szCs w:val="30"/>
          <w:highlight w:val="none"/>
        </w:rPr>
        <w:t>元</w:t>
      </w:r>
      <w:r>
        <w:rPr>
          <w:rFonts w:hint="eastAsia" w:ascii="宋体" w:hAnsi="宋体" w:eastAsia="宋体" w:cs="宋体"/>
          <w:b/>
          <w:bCs/>
          <w:color w:val="auto"/>
          <w:kern w:val="0"/>
          <w:szCs w:val="21"/>
          <w:highlight w:val="none"/>
          <w:lang w:val="en-US" w:eastAsia="zh-CN" w:bidi="ar"/>
        </w:rPr>
        <w:t>，</w:t>
      </w:r>
      <w:r>
        <w:rPr>
          <w:rFonts w:hint="eastAsia" w:ascii="仿宋" w:hAnsi="仿宋" w:eastAsia="仿宋" w:cs="仿宋"/>
          <w:color w:val="auto"/>
          <w:kern w:val="0"/>
          <w:sz w:val="30"/>
          <w:szCs w:val="30"/>
          <w:highlight w:val="none"/>
        </w:rPr>
        <w:t>预</w:t>
      </w:r>
      <w:r>
        <w:rPr>
          <w:rFonts w:hint="eastAsia" w:ascii="仿宋" w:hAnsi="仿宋" w:eastAsia="仿宋" w:cs="仿宋"/>
          <w:bCs/>
          <w:caps/>
          <w:color w:val="auto"/>
          <w:sz w:val="30"/>
          <w:szCs w:val="30"/>
          <w:highlight w:val="none"/>
        </w:rPr>
        <w:t>算执行率为</w:t>
      </w:r>
      <w:r>
        <w:rPr>
          <w:rFonts w:hint="eastAsia" w:ascii="仿宋" w:hAnsi="仿宋" w:eastAsia="仿宋" w:cs="仿宋"/>
          <w:bCs/>
          <w:caps/>
          <w:color w:val="auto"/>
          <w:sz w:val="30"/>
          <w:szCs w:val="30"/>
          <w:highlight w:val="none"/>
          <w:lang w:val="en-US" w:eastAsia="zh-CN"/>
        </w:rPr>
        <w:t>58.96</w:t>
      </w:r>
      <w:r>
        <w:rPr>
          <w:rFonts w:hint="eastAsia" w:ascii="仿宋" w:hAnsi="仿宋" w:eastAsia="仿宋" w:cs="仿宋"/>
          <w:bCs/>
          <w:caps/>
          <w:color w:val="auto"/>
          <w:sz w:val="30"/>
          <w:szCs w:val="30"/>
          <w:highlight w:val="none"/>
        </w:rPr>
        <w:t>%</w:t>
      </w:r>
      <w:r>
        <w:rPr>
          <w:rFonts w:hint="eastAsia" w:ascii="仿宋" w:hAnsi="仿宋" w:eastAsia="仿宋" w:cs="仿宋"/>
          <w:color w:val="auto"/>
          <w:kern w:val="0"/>
          <w:sz w:val="30"/>
          <w:szCs w:val="30"/>
          <w:highlight w:val="none"/>
        </w:rPr>
        <w:t>。注册资本金投入及使用情况详见表2。</w:t>
      </w:r>
    </w:p>
    <w:p>
      <w:pPr>
        <w:pStyle w:val="15"/>
        <w:spacing w:line="360" w:lineRule="auto"/>
        <w:ind w:firstLine="480" w:firstLineChars="200"/>
        <w:jc w:val="center"/>
        <w:rPr>
          <w:rFonts w:ascii="黑体" w:hAnsi="黑体" w:eastAsia="黑体" w:cs="黑体"/>
          <w:color w:val="auto"/>
          <w:kern w:val="0"/>
          <w:sz w:val="24"/>
          <w:highlight w:val="none"/>
        </w:rPr>
      </w:pPr>
      <w:r>
        <w:rPr>
          <w:rFonts w:hint="eastAsia" w:ascii="黑体" w:hAnsi="黑体" w:eastAsia="黑体" w:cs="黑体"/>
          <w:color w:val="auto"/>
          <w:kern w:val="0"/>
          <w:sz w:val="24"/>
          <w:highlight w:val="none"/>
        </w:rPr>
        <w:t>表2 招商投资集团注册资本金分配一览表</w:t>
      </w:r>
    </w:p>
    <w:p>
      <w:pPr>
        <w:pStyle w:val="15"/>
        <w:spacing w:line="360" w:lineRule="auto"/>
        <w:ind w:firstLine="400" w:firstLineChars="200"/>
        <w:jc w:val="right"/>
        <w:rPr>
          <w:rFonts w:ascii="仿宋" w:hAnsi="仿宋" w:eastAsia="仿宋" w:cs="Arial"/>
          <w:color w:val="auto"/>
          <w:kern w:val="0"/>
          <w:sz w:val="32"/>
          <w:szCs w:val="32"/>
          <w:highlight w:val="none"/>
        </w:rPr>
      </w:pPr>
      <w:r>
        <w:rPr>
          <w:rFonts w:hint="eastAsia" w:ascii="宋体" w:hAnsi="宋体" w:eastAsia="宋体" w:cs="宋体"/>
          <w:color w:val="auto"/>
          <w:kern w:val="0"/>
          <w:sz w:val="20"/>
          <w:szCs w:val="20"/>
          <w:highlight w:val="none"/>
        </w:rPr>
        <w:t>单位：万元</w:t>
      </w:r>
    </w:p>
    <w:tbl>
      <w:tblPr>
        <w:tblStyle w:val="23"/>
        <w:tblW w:w="8329" w:type="dxa"/>
        <w:tblInd w:w="196" w:type="dxa"/>
        <w:tblLayout w:type="fixed"/>
        <w:tblCellMar>
          <w:top w:w="0" w:type="dxa"/>
          <w:left w:w="108" w:type="dxa"/>
          <w:bottom w:w="0" w:type="dxa"/>
          <w:right w:w="108" w:type="dxa"/>
        </w:tblCellMar>
      </w:tblPr>
      <w:tblGrid>
        <w:gridCol w:w="698"/>
        <w:gridCol w:w="1706"/>
        <w:gridCol w:w="1710"/>
        <w:gridCol w:w="1523"/>
        <w:gridCol w:w="1395"/>
        <w:gridCol w:w="1297"/>
      </w:tblGrid>
      <w:tr>
        <w:tblPrEx>
          <w:tblCellMar>
            <w:top w:w="0" w:type="dxa"/>
            <w:left w:w="108" w:type="dxa"/>
            <w:bottom w:w="0" w:type="dxa"/>
            <w:right w:w="108" w:type="dxa"/>
          </w:tblCellMar>
        </w:tblPrEx>
        <w:trPr>
          <w:trHeight w:val="397" w:hRule="atLeast"/>
          <w:tblHead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序号</w:t>
            </w:r>
          </w:p>
        </w:tc>
        <w:tc>
          <w:tcPr>
            <w:tcW w:w="170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项目名称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项目总投资</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预算下达</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bidi="ar"/>
              </w:rPr>
              <w:t>预算支出</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bidi="ar"/>
              </w:rPr>
              <w:t>预算执行率</w:t>
            </w:r>
          </w:p>
        </w:tc>
      </w:tr>
      <w:tr>
        <w:tblPrEx>
          <w:tblCellMar>
            <w:top w:w="0" w:type="dxa"/>
            <w:left w:w="108" w:type="dxa"/>
            <w:bottom w:w="0" w:type="dxa"/>
            <w:right w:w="108" w:type="dxa"/>
          </w:tblCellMar>
        </w:tblPrEx>
        <w:trPr>
          <w:trHeight w:val="397" w:hRule="atLeast"/>
        </w:trPr>
        <w:tc>
          <w:tcPr>
            <w:tcW w:w="69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东片区项目</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2,139.86</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87.00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val="en-US" w:eastAsia="zh-CN" w:bidi="ar"/>
              </w:rPr>
              <w:t>87.00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100.00%</w:t>
            </w:r>
          </w:p>
        </w:tc>
      </w:tr>
      <w:tr>
        <w:tblPrEx>
          <w:tblCellMar>
            <w:top w:w="0" w:type="dxa"/>
            <w:left w:w="108" w:type="dxa"/>
            <w:bottom w:w="0" w:type="dxa"/>
            <w:right w:w="108" w:type="dxa"/>
          </w:tblCellMar>
        </w:tblPrEx>
        <w:trPr>
          <w:trHeight w:val="397"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隆基项目</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val="en-US" w:eastAsia="zh-CN" w:bidi="ar"/>
              </w:rPr>
              <w:t>1,086,400</w:t>
            </w:r>
            <w:r>
              <w:rPr>
                <w:rFonts w:hint="eastAsia" w:ascii="宋体" w:hAnsi="宋体" w:eastAsia="宋体" w:cs="宋体"/>
                <w:color w:val="auto"/>
                <w:kern w:val="0"/>
                <w:szCs w:val="21"/>
                <w:highlight w:val="none"/>
                <w:lang w:bidi="ar"/>
              </w:rPr>
              <w:t>.00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70,000.00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val="en-US" w:eastAsia="zh-CN" w:bidi="ar"/>
              </w:rPr>
              <w:t>43,263.67</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62.00%</w:t>
            </w:r>
          </w:p>
        </w:tc>
      </w:tr>
      <w:tr>
        <w:tblPrEx>
          <w:tblCellMar>
            <w:top w:w="0" w:type="dxa"/>
            <w:left w:w="108" w:type="dxa"/>
            <w:bottom w:w="0" w:type="dxa"/>
            <w:right w:w="108" w:type="dxa"/>
          </w:tblCellMar>
        </w:tblPrEx>
        <w:trPr>
          <w:trHeight w:val="397" w:hRule="atLeast"/>
        </w:trPr>
        <w:tc>
          <w:tcPr>
            <w:tcW w:w="69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华景项目</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160,000.00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32,000.00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val="en-US" w:eastAsia="zh-CN" w:bidi="ar"/>
              </w:rPr>
              <w:t>11,917.28</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37.00%</w:t>
            </w:r>
          </w:p>
        </w:tc>
      </w:tr>
      <w:tr>
        <w:tblPrEx>
          <w:tblCellMar>
            <w:top w:w="0" w:type="dxa"/>
            <w:left w:w="108" w:type="dxa"/>
            <w:bottom w:w="0" w:type="dxa"/>
            <w:right w:w="108" w:type="dxa"/>
          </w:tblCellMar>
        </w:tblPrEx>
        <w:trPr>
          <w:trHeight w:val="397"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“双创”和孵化基地项目</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41</w:t>
            </w:r>
            <w:r>
              <w:rPr>
                <w:rFonts w:hint="eastAsia" w:ascii="宋体" w:hAnsi="宋体" w:eastAsia="宋体" w:cs="宋体"/>
                <w:color w:val="auto"/>
                <w:kern w:val="0"/>
                <w:szCs w:val="21"/>
                <w:highlight w:val="none"/>
                <w:lang w:val="en-US" w:eastAsia="zh-CN" w:bidi="ar"/>
              </w:rPr>
              <w:t>,</w:t>
            </w:r>
            <w:r>
              <w:rPr>
                <w:rFonts w:hint="eastAsia" w:ascii="宋体" w:hAnsi="宋体" w:eastAsia="宋体" w:cs="宋体"/>
                <w:color w:val="auto"/>
                <w:kern w:val="0"/>
                <w:szCs w:val="21"/>
                <w:highlight w:val="none"/>
                <w:lang w:bidi="ar"/>
              </w:rPr>
              <w:t>915.24</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12,000.00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val="en-US" w:eastAsia="zh-CN" w:bidi="ar"/>
              </w:rPr>
              <w:t>12,000.00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100.00%</w:t>
            </w:r>
          </w:p>
        </w:tc>
      </w:tr>
      <w:tr>
        <w:tblPrEx>
          <w:tblCellMar>
            <w:top w:w="0" w:type="dxa"/>
            <w:left w:w="108" w:type="dxa"/>
            <w:bottom w:w="0" w:type="dxa"/>
            <w:right w:w="108" w:type="dxa"/>
          </w:tblCellMar>
        </w:tblPrEx>
        <w:trPr>
          <w:trHeight w:val="397" w:hRule="atLeast"/>
        </w:trPr>
        <w:tc>
          <w:tcPr>
            <w:tcW w:w="24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总计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bCs/>
                <w:color w:val="auto"/>
                <w:kern w:val="0"/>
                <w:szCs w:val="21"/>
                <w:highlight w:val="none"/>
                <w:lang w:val="en-US" w:eastAsia="zh-CN" w:bidi="ar"/>
              </w:rPr>
            </w:pPr>
            <w:r>
              <w:rPr>
                <w:rFonts w:hint="eastAsia" w:ascii="宋体" w:hAnsi="宋体" w:eastAsia="宋体" w:cs="宋体"/>
                <w:b/>
                <w:bCs/>
                <w:color w:val="auto"/>
                <w:kern w:val="0"/>
                <w:szCs w:val="21"/>
                <w:highlight w:val="none"/>
                <w:lang w:val="en-US" w:eastAsia="zh-CN" w:bidi="ar"/>
              </w:rPr>
              <w:t>1,290,455.10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highlight w:val="none"/>
              </w:rPr>
            </w:pPr>
            <w:r>
              <w:rPr>
                <w:rFonts w:hint="eastAsia" w:ascii="宋体" w:hAnsi="宋体" w:eastAsia="宋体" w:cs="宋体"/>
                <w:b/>
                <w:bCs/>
                <w:color w:val="auto"/>
                <w:kern w:val="0"/>
                <w:szCs w:val="21"/>
                <w:highlight w:val="none"/>
                <w:lang w:bidi="ar"/>
              </w:rPr>
              <w:t>114,087.00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kern w:val="0"/>
                <w:szCs w:val="21"/>
                <w:highlight w:val="none"/>
                <w:lang w:val="en-US" w:eastAsia="zh-CN" w:bidi="ar"/>
              </w:rPr>
            </w:pPr>
            <w:r>
              <w:rPr>
                <w:rFonts w:hint="eastAsia" w:ascii="宋体" w:hAnsi="宋体" w:eastAsia="宋体" w:cs="宋体"/>
                <w:b/>
                <w:bCs/>
                <w:color w:val="auto"/>
                <w:kern w:val="0"/>
                <w:szCs w:val="21"/>
                <w:highlight w:val="none"/>
                <w:lang w:val="en-US" w:eastAsia="zh-CN" w:bidi="ar"/>
              </w:rPr>
              <w:t>67</w:t>
            </w:r>
            <w:r>
              <w:rPr>
                <w:rFonts w:hint="eastAsia" w:ascii="宋体" w:hAnsi="宋体" w:eastAsia="宋体" w:cs="宋体"/>
                <w:b/>
                <w:bCs/>
                <w:color w:val="auto"/>
                <w:kern w:val="0"/>
                <w:szCs w:val="21"/>
                <w:highlight w:val="none"/>
                <w:lang w:bidi="ar"/>
              </w:rPr>
              <w:t>,</w:t>
            </w:r>
            <w:r>
              <w:rPr>
                <w:rFonts w:hint="eastAsia" w:ascii="宋体" w:hAnsi="宋体" w:eastAsia="宋体" w:cs="宋体"/>
                <w:b/>
                <w:bCs/>
                <w:color w:val="auto"/>
                <w:kern w:val="0"/>
                <w:szCs w:val="21"/>
                <w:highlight w:val="none"/>
                <w:lang w:val="en-US" w:eastAsia="zh-CN" w:bidi="ar"/>
              </w:rPr>
              <w:t>267.95</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val="en-US" w:eastAsia="zh-CN" w:bidi="ar"/>
              </w:rPr>
              <w:t>58.96%</w:t>
            </w:r>
          </w:p>
        </w:tc>
      </w:tr>
    </w:tbl>
    <w:p>
      <w:pPr>
        <w:pStyle w:val="3"/>
        <w:pageBreakBefore w:val="0"/>
        <w:widowControl w:val="0"/>
        <w:kinsoku/>
        <w:wordWrap/>
        <w:overflowPunct/>
        <w:topLinePunct w:val="0"/>
        <w:autoSpaceDE/>
        <w:autoSpaceDN/>
        <w:bidi w:val="0"/>
        <w:adjustRightInd w:val="0"/>
        <w:snapToGrid w:val="0"/>
        <w:spacing w:before="0" w:after="0" w:line="560" w:lineRule="exact"/>
        <w:ind w:firstLine="643" w:firstLineChars="200"/>
        <w:textAlignment w:val="auto"/>
        <w:rPr>
          <w:rFonts w:eastAsia="黑体"/>
          <w:color w:val="auto"/>
          <w:sz w:val="32"/>
          <w:szCs w:val="32"/>
          <w:highlight w:val="none"/>
        </w:rPr>
      </w:pPr>
      <w:bookmarkStart w:id="15" w:name="_Toc10186"/>
      <w:r>
        <w:rPr>
          <w:rFonts w:ascii="Times New Roman" w:hAnsi="Times New Roman" w:eastAsia="黑体" w:cs="Times New Roman"/>
          <w:color w:val="auto"/>
          <w:sz w:val="32"/>
          <w:szCs w:val="32"/>
          <w:highlight w:val="none"/>
        </w:rPr>
        <w:t>二、</w:t>
      </w:r>
      <w:bookmarkEnd w:id="5"/>
      <w:bookmarkEnd w:id="6"/>
      <w:bookmarkEnd w:id="15"/>
      <w:bookmarkStart w:id="16" w:name="_Toc43914270"/>
      <w:bookmarkStart w:id="17" w:name="_Toc11415"/>
      <w:r>
        <w:rPr>
          <w:rFonts w:hint="eastAsia" w:eastAsia="黑体"/>
          <w:color w:val="auto"/>
          <w:sz w:val="32"/>
          <w:szCs w:val="32"/>
          <w:highlight w:val="none"/>
        </w:rPr>
        <w:t>综合</w:t>
      </w:r>
      <w:r>
        <w:rPr>
          <w:rFonts w:eastAsia="黑体"/>
          <w:color w:val="auto"/>
          <w:sz w:val="32"/>
          <w:szCs w:val="32"/>
          <w:highlight w:val="none"/>
        </w:rPr>
        <w:t>评价结论</w:t>
      </w:r>
      <w:bookmarkEnd w:id="16"/>
      <w:bookmarkEnd w:id="17"/>
    </w:p>
    <w:p>
      <w:pPr>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ascii="仿宋" w:hAnsi="仿宋" w:eastAsia="仿宋" w:cs="仿宋"/>
          <w:b/>
          <w:caps/>
          <w:color w:val="auto"/>
          <w:sz w:val="30"/>
          <w:szCs w:val="30"/>
          <w:highlight w:val="none"/>
        </w:rPr>
      </w:pPr>
      <w:r>
        <w:rPr>
          <w:rFonts w:hint="eastAsia" w:ascii="仿宋" w:hAnsi="仿宋" w:eastAsia="仿宋" w:cs="仿宋"/>
          <w:b/>
          <w:caps/>
          <w:color w:val="auto"/>
          <w:sz w:val="30"/>
          <w:szCs w:val="30"/>
          <w:highlight w:val="none"/>
        </w:rPr>
        <w:t>该项目绩效评价得分为</w:t>
      </w:r>
      <w:r>
        <w:rPr>
          <w:rFonts w:hint="eastAsia" w:ascii="仿宋" w:hAnsi="仿宋" w:eastAsia="仿宋" w:cs="仿宋"/>
          <w:b/>
          <w:caps/>
          <w:color w:val="auto"/>
          <w:sz w:val="30"/>
          <w:szCs w:val="30"/>
          <w:highlight w:val="none"/>
          <w:lang w:val="en-US" w:eastAsia="zh-CN"/>
        </w:rPr>
        <w:t>88.03</w:t>
      </w:r>
      <w:r>
        <w:rPr>
          <w:rFonts w:hint="eastAsia" w:ascii="仿宋" w:hAnsi="仿宋" w:eastAsia="仿宋" w:cs="仿宋"/>
          <w:b/>
          <w:caps/>
          <w:color w:val="auto"/>
          <w:sz w:val="30"/>
          <w:szCs w:val="30"/>
          <w:highlight w:val="none"/>
        </w:rPr>
        <w:t>分，综合评价等级为“</w:t>
      </w:r>
      <w:r>
        <w:rPr>
          <w:rFonts w:hint="eastAsia" w:ascii="仿宋" w:hAnsi="仿宋" w:eastAsia="仿宋" w:cs="仿宋"/>
          <w:b/>
          <w:caps/>
          <w:color w:val="auto"/>
          <w:sz w:val="30"/>
          <w:szCs w:val="30"/>
          <w:highlight w:val="none"/>
          <w:lang w:val="en-US" w:eastAsia="zh-CN"/>
        </w:rPr>
        <w:t>良</w:t>
      </w:r>
      <w:r>
        <w:rPr>
          <w:rFonts w:hint="eastAsia" w:ascii="仿宋" w:hAnsi="仿宋" w:eastAsia="仿宋" w:cs="仿宋"/>
          <w:b/>
          <w:caps/>
          <w:color w:val="auto"/>
          <w:sz w:val="30"/>
          <w:szCs w:val="30"/>
          <w:highlight w:val="none"/>
        </w:rPr>
        <w:t>”。</w:t>
      </w:r>
    </w:p>
    <w:p>
      <w:pPr>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仿宋" w:hAnsi="仿宋" w:eastAsia="仿宋" w:cs="仿宋"/>
          <w:bCs/>
          <w:caps/>
          <w:color w:val="auto"/>
          <w:sz w:val="30"/>
          <w:szCs w:val="30"/>
          <w:highlight w:val="none"/>
        </w:rPr>
      </w:pPr>
      <w:r>
        <w:rPr>
          <w:rFonts w:hint="eastAsia" w:ascii="仿宋" w:hAnsi="仿宋" w:eastAsia="仿宋" w:cs="仿宋"/>
          <w:bCs/>
          <w:caps/>
          <w:color w:val="auto"/>
          <w:sz w:val="30"/>
          <w:szCs w:val="30"/>
          <w:highlight w:val="none"/>
        </w:rPr>
        <w:t>评价认为，</w:t>
      </w:r>
      <w:r>
        <w:rPr>
          <w:rFonts w:hint="eastAsia" w:ascii="仿宋" w:hAnsi="仿宋" w:eastAsia="仿宋" w:cs="仿宋"/>
          <w:bCs/>
          <w:caps/>
          <w:color w:val="auto"/>
          <w:sz w:val="30"/>
          <w:szCs w:val="30"/>
          <w:highlight w:val="none"/>
          <w:lang w:val="en-US" w:eastAsia="zh-CN"/>
        </w:rPr>
        <w:t>四个项目预算整体执行率58.96%，招商</w:t>
      </w:r>
      <w:r>
        <w:rPr>
          <w:rFonts w:hint="eastAsia" w:ascii="仿宋" w:hAnsi="仿宋" w:eastAsia="仿宋" w:cs="仿宋"/>
          <w:bCs/>
          <w:caps/>
          <w:color w:val="auto"/>
          <w:sz w:val="30"/>
          <w:szCs w:val="30"/>
          <w:highlight w:val="none"/>
        </w:rPr>
        <w:t>投资集团已完成东片区</w:t>
      </w:r>
      <w:r>
        <w:rPr>
          <w:rFonts w:hint="eastAsia" w:ascii="仿宋" w:hAnsi="仿宋" w:eastAsia="仿宋"/>
          <w:color w:val="auto"/>
          <w:sz w:val="30"/>
          <w:szCs w:val="30"/>
          <w:highlight w:val="none"/>
        </w:rPr>
        <w:t>项目预验收</w:t>
      </w:r>
      <w:r>
        <w:rPr>
          <w:rFonts w:hint="eastAsia" w:ascii="仿宋" w:hAnsi="仿宋" w:eastAsia="仿宋"/>
          <w:color w:val="auto"/>
          <w:sz w:val="30"/>
          <w:szCs w:val="30"/>
          <w:highlight w:val="none"/>
          <w:lang w:val="en-US" w:eastAsia="zh-CN"/>
        </w:rPr>
        <w:t>工作，</w:t>
      </w:r>
      <w:r>
        <w:rPr>
          <w:rFonts w:hint="eastAsia" w:ascii="仿宋" w:hAnsi="仿宋" w:eastAsia="仿宋"/>
          <w:color w:val="auto"/>
          <w:sz w:val="30"/>
          <w:szCs w:val="30"/>
          <w:highlight w:val="none"/>
        </w:rPr>
        <w:t>隆基项目已完成72%整体</w:t>
      </w:r>
      <w:r>
        <w:rPr>
          <w:rFonts w:hint="eastAsia" w:ascii="仿宋" w:hAnsi="仿宋" w:eastAsia="仿宋"/>
          <w:color w:val="auto"/>
          <w:sz w:val="30"/>
          <w:szCs w:val="30"/>
          <w:highlight w:val="none"/>
          <w:lang w:val="en-US" w:eastAsia="zh-CN"/>
        </w:rPr>
        <w:t>建设任务</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rPr>
        <w:t>华景项目已完成85%整体</w:t>
      </w:r>
      <w:r>
        <w:rPr>
          <w:rFonts w:hint="eastAsia" w:ascii="仿宋" w:hAnsi="仿宋" w:eastAsia="仿宋"/>
          <w:color w:val="auto"/>
          <w:sz w:val="30"/>
          <w:szCs w:val="30"/>
          <w:highlight w:val="none"/>
          <w:lang w:val="en-US" w:eastAsia="zh-CN"/>
        </w:rPr>
        <w:t>建设任务</w:t>
      </w:r>
      <w:r>
        <w:rPr>
          <w:rFonts w:hint="eastAsia" w:ascii="仿宋" w:hAnsi="仿宋" w:eastAsia="仿宋" w:cs="仿宋"/>
          <w:bCs/>
          <w:caps/>
          <w:color w:val="auto"/>
          <w:sz w:val="30"/>
          <w:szCs w:val="30"/>
          <w:highlight w:val="none"/>
        </w:rPr>
        <w:t>，</w:t>
      </w:r>
      <w:r>
        <w:rPr>
          <w:rFonts w:hint="eastAsia" w:ascii="仿宋" w:hAnsi="仿宋" w:eastAsia="仿宋" w:cs="仿宋"/>
          <w:color w:val="auto"/>
          <w:sz w:val="30"/>
          <w:szCs w:val="30"/>
          <w:highlight w:val="none"/>
        </w:rPr>
        <w:t>对伊旗招商引资项目落地具有推动作用。</w:t>
      </w:r>
      <w:r>
        <w:rPr>
          <w:rFonts w:hint="eastAsia" w:ascii="仿宋" w:hAnsi="仿宋" w:eastAsia="仿宋" w:cs="仿宋"/>
          <w:bCs/>
          <w:caps/>
          <w:color w:val="auto"/>
          <w:sz w:val="30"/>
          <w:szCs w:val="30"/>
          <w:highlight w:val="none"/>
        </w:rPr>
        <w:t>“双创”和孵化基地项目已完成选购合同</w:t>
      </w:r>
      <w:r>
        <w:rPr>
          <w:rFonts w:hint="eastAsia" w:ascii="仿宋" w:hAnsi="仿宋" w:eastAsia="仿宋"/>
          <w:color w:val="auto"/>
          <w:sz w:val="30"/>
          <w:szCs w:val="30"/>
          <w:highlight w:val="none"/>
        </w:rPr>
        <w:t>签订、房票借付等工作</w:t>
      </w:r>
      <w:r>
        <w:rPr>
          <w:rFonts w:hint="eastAsia" w:ascii="仿宋" w:hAnsi="仿宋" w:eastAsia="仿宋" w:cs="仿宋"/>
          <w:bCs/>
          <w:caps/>
          <w:color w:val="auto"/>
          <w:sz w:val="30"/>
          <w:szCs w:val="30"/>
          <w:highlight w:val="none"/>
        </w:rPr>
        <w:t>，为推动创新创业发展空间提供有力支撑。</w:t>
      </w:r>
    </w:p>
    <w:p>
      <w:pPr>
        <w:pageBreakBefore w:val="0"/>
        <w:widowControl w:val="0"/>
        <w:kinsoku/>
        <w:wordWrap/>
        <w:overflowPunct/>
        <w:topLinePunct w:val="0"/>
        <w:autoSpaceDE/>
        <w:autoSpaceDN/>
        <w:bidi w:val="0"/>
        <w:adjustRightInd w:val="0"/>
        <w:snapToGrid w:val="0"/>
        <w:spacing w:line="560" w:lineRule="exact"/>
        <w:ind w:firstLine="600" w:firstLineChars="200"/>
        <w:textAlignment w:val="auto"/>
      </w:pPr>
      <w:r>
        <w:rPr>
          <w:rFonts w:hint="eastAsia" w:ascii="仿宋" w:hAnsi="仿宋" w:eastAsia="仿宋" w:cs="仿宋"/>
          <w:bCs/>
          <w:caps/>
          <w:color w:val="auto"/>
          <w:sz w:val="30"/>
          <w:szCs w:val="30"/>
          <w:highlight w:val="none"/>
        </w:rPr>
        <w:t>但由于东片区项目未终验，隆基、华景、“双创”和孵化基地项目尚未竣工，未入驻企业，故项目效益与推广示范作用也未完全显现。</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ascii="Times New Roman" w:hAnsi="Times New Roman" w:eastAsia="黑体" w:cs="Times New Roman"/>
          <w:color w:val="auto"/>
          <w:sz w:val="32"/>
          <w:szCs w:val="32"/>
          <w:highlight w:val="none"/>
        </w:rPr>
      </w:pPr>
      <w:bookmarkStart w:id="18" w:name="_Toc43914273"/>
      <w:bookmarkStart w:id="19" w:name="_Toc6075"/>
      <w:r>
        <w:rPr>
          <w:rFonts w:hint="eastAsia" w:ascii="Times New Roman" w:hAnsi="Times New Roman" w:eastAsia="黑体" w:cs="Times New Roman"/>
          <w:color w:val="auto"/>
          <w:sz w:val="32"/>
          <w:szCs w:val="32"/>
          <w:highlight w:val="none"/>
          <w:lang w:eastAsia="zh-CN"/>
        </w:rPr>
        <w:t>三</w:t>
      </w:r>
      <w:r>
        <w:rPr>
          <w:rFonts w:ascii="Times New Roman" w:hAnsi="Times New Roman" w:eastAsia="黑体" w:cs="Times New Roman"/>
          <w:color w:val="auto"/>
          <w:sz w:val="32"/>
          <w:szCs w:val="32"/>
          <w:highlight w:val="none"/>
        </w:rPr>
        <w:t>、</w:t>
      </w:r>
      <w:bookmarkEnd w:id="18"/>
      <w:r>
        <w:rPr>
          <w:rFonts w:hint="eastAsia" w:ascii="Times New Roman" w:hAnsi="Times New Roman" w:eastAsia="黑体" w:cs="Times New Roman"/>
          <w:color w:val="auto"/>
          <w:sz w:val="32"/>
          <w:szCs w:val="32"/>
          <w:highlight w:val="none"/>
        </w:rPr>
        <w:t>发现的主要</w:t>
      </w:r>
      <w:r>
        <w:rPr>
          <w:rFonts w:ascii="Times New Roman" w:hAnsi="Times New Roman" w:eastAsia="黑体" w:cs="Times New Roman"/>
          <w:color w:val="auto"/>
          <w:sz w:val="32"/>
          <w:szCs w:val="32"/>
          <w:highlight w:val="none"/>
        </w:rPr>
        <w:t>问题</w:t>
      </w:r>
      <w:bookmarkEnd w:id="19"/>
    </w:p>
    <w:p>
      <w:pPr>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1"/>
        <w:rPr>
          <w:rFonts w:ascii="楷体" w:hAnsi="楷体" w:eastAsia="楷体" w:cs="Arial"/>
          <w:b/>
          <w:color w:val="auto"/>
          <w:kern w:val="0"/>
          <w:sz w:val="30"/>
          <w:szCs w:val="30"/>
          <w:highlight w:val="none"/>
        </w:rPr>
      </w:pPr>
      <w:bookmarkStart w:id="20" w:name="_Toc42596188"/>
      <w:bookmarkStart w:id="21" w:name="_Toc23408"/>
      <w:bookmarkStart w:id="22" w:name="_Toc8144"/>
      <w:bookmarkStart w:id="23" w:name="_Toc6723"/>
      <w:bookmarkStart w:id="24" w:name="_Toc53695399"/>
      <w:bookmarkStart w:id="25" w:name="_Toc65673928"/>
      <w:bookmarkStart w:id="26" w:name="_Toc68009161"/>
      <w:r>
        <w:rPr>
          <w:rFonts w:hint="eastAsia" w:ascii="楷体" w:hAnsi="楷体" w:eastAsia="楷体" w:cs="Arial"/>
          <w:b/>
          <w:color w:val="auto"/>
          <w:kern w:val="0"/>
          <w:sz w:val="30"/>
          <w:szCs w:val="30"/>
          <w:highlight w:val="none"/>
          <w:lang w:eastAsia="zh-Hans"/>
        </w:rPr>
        <w:t>（一）</w:t>
      </w:r>
      <w:bookmarkEnd w:id="20"/>
      <w:r>
        <w:rPr>
          <w:rFonts w:hint="eastAsia" w:ascii="楷体" w:hAnsi="楷体" w:eastAsia="楷体" w:cs="Arial"/>
          <w:b/>
          <w:color w:val="auto"/>
          <w:kern w:val="0"/>
          <w:sz w:val="30"/>
          <w:szCs w:val="30"/>
          <w:highlight w:val="none"/>
        </w:rPr>
        <w:t>经营目标覆盖不</w:t>
      </w:r>
      <w:r>
        <w:rPr>
          <w:rFonts w:hint="eastAsia" w:ascii="楷体" w:hAnsi="楷体" w:eastAsia="楷体" w:cs="Arial"/>
          <w:b/>
          <w:color w:val="auto"/>
          <w:kern w:val="0"/>
          <w:sz w:val="30"/>
          <w:szCs w:val="30"/>
          <w:highlight w:val="none"/>
          <w:lang w:val="en-US" w:eastAsia="zh-CN"/>
        </w:rPr>
        <w:t>够</w:t>
      </w:r>
      <w:r>
        <w:rPr>
          <w:rFonts w:hint="eastAsia" w:ascii="楷体" w:hAnsi="楷体" w:eastAsia="楷体" w:cs="Arial"/>
          <w:b/>
          <w:color w:val="auto"/>
          <w:kern w:val="0"/>
          <w:sz w:val="30"/>
          <w:szCs w:val="30"/>
          <w:highlight w:val="none"/>
        </w:rPr>
        <w:t>全面</w:t>
      </w:r>
      <w:bookmarkEnd w:id="21"/>
      <w:bookmarkEnd w:id="22"/>
      <w:bookmarkEnd w:id="23"/>
    </w:p>
    <w:p>
      <w:pPr>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ascii="楷体" w:hAnsi="楷体" w:eastAsia="楷体" w:cs="Arial"/>
          <w:b/>
          <w:color w:val="auto"/>
          <w:kern w:val="0"/>
          <w:sz w:val="30"/>
          <w:szCs w:val="30"/>
          <w:highlight w:val="none"/>
          <w:lang w:eastAsia="zh-Hans"/>
        </w:rPr>
      </w:pPr>
      <w:bookmarkStart w:id="27" w:name="_Toc42596189"/>
      <w:r>
        <w:rPr>
          <w:rFonts w:hint="eastAsia" w:ascii="仿宋" w:hAnsi="仿宋" w:eastAsia="仿宋" w:cs="仿宋"/>
          <w:bCs/>
          <w:caps/>
          <w:color w:val="auto"/>
          <w:sz w:val="30"/>
          <w:szCs w:val="30"/>
          <w:highlight w:val="none"/>
        </w:rPr>
        <w:t>招商投资集团设置了2022年度经营业绩考核目标，其中功能性指标“1#、2#厂房主体完工”“华景项目1号车间土建封闭”与国资预算注资定位东片区、华景项目相符。但2022年招商投资集团除申请注册资本金用于东片区、华景项目外，还申请了8.2亿注册资本金用于隆基、“双创”和孵化基地项目，而经营目标未包含国资预算注资定位中“隆基项目、‘双创’和孵化基地项目”的相关内容，经营目标覆盖不</w:t>
      </w:r>
      <w:r>
        <w:rPr>
          <w:rFonts w:hint="eastAsia" w:ascii="仿宋" w:hAnsi="仿宋" w:eastAsia="仿宋" w:cs="仿宋"/>
          <w:bCs/>
          <w:caps/>
          <w:color w:val="auto"/>
          <w:sz w:val="30"/>
          <w:szCs w:val="30"/>
          <w:highlight w:val="none"/>
          <w:lang w:val="en-US" w:eastAsia="zh-CN"/>
        </w:rPr>
        <w:t>够</w:t>
      </w:r>
      <w:r>
        <w:rPr>
          <w:rFonts w:hint="eastAsia" w:ascii="仿宋" w:hAnsi="仿宋" w:eastAsia="仿宋" w:cs="仿宋"/>
          <w:bCs/>
          <w:caps/>
          <w:color w:val="auto"/>
          <w:sz w:val="30"/>
          <w:szCs w:val="30"/>
          <w:highlight w:val="none"/>
        </w:rPr>
        <w:t>全面。</w:t>
      </w:r>
      <w:bookmarkEnd w:id="27"/>
    </w:p>
    <w:bookmarkEnd w:id="24"/>
    <w:bookmarkEnd w:id="25"/>
    <w:bookmarkEnd w:id="26"/>
    <w:p>
      <w:pPr>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1"/>
        <w:rPr>
          <w:rFonts w:ascii="楷体" w:hAnsi="楷体" w:eastAsia="楷体" w:cs="Arial"/>
          <w:b/>
          <w:color w:val="auto"/>
          <w:kern w:val="0"/>
          <w:sz w:val="30"/>
          <w:szCs w:val="30"/>
          <w:highlight w:val="none"/>
        </w:rPr>
      </w:pPr>
      <w:bookmarkStart w:id="28" w:name="_Toc3765"/>
      <w:bookmarkStart w:id="29" w:name="_Toc26064"/>
      <w:bookmarkStart w:id="30" w:name="_Toc18704"/>
      <w:r>
        <w:rPr>
          <w:rFonts w:hint="eastAsia" w:ascii="楷体" w:hAnsi="楷体" w:eastAsia="楷体" w:cs="Arial"/>
          <w:b/>
          <w:color w:val="auto"/>
          <w:kern w:val="0"/>
          <w:sz w:val="30"/>
          <w:szCs w:val="30"/>
          <w:highlight w:val="none"/>
          <w:lang w:eastAsia="zh-Hans"/>
        </w:rPr>
        <w:t>（</w:t>
      </w:r>
      <w:r>
        <w:rPr>
          <w:rFonts w:hint="eastAsia" w:ascii="楷体" w:hAnsi="楷体" w:eastAsia="楷体" w:cs="Arial"/>
          <w:b/>
          <w:color w:val="auto"/>
          <w:kern w:val="0"/>
          <w:sz w:val="30"/>
          <w:szCs w:val="30"/>
          <w:highlight w:val="none"/>
          <w:lang w:val="en-US" w:eastAsia="zh-CN"/>
        </w:rPr>
        <w:t>二</w:t>
      </w:r>
      <w:r>
        <w:rPr>
          <w:rFonts w:hint="eastAsia" w:ascii="楷体" w:hAnsi="楷体" w:eastAsia="楷体" w:cs="Arial"/>
          <w:b/>
          <w:color w:val="auto"/>
          <w:kern w:val="0"/>
          <w:sz w:val="30"/>
          <w:szCs w:val="30"/>
          <w:highlight w:val="none"/>
          <w:lang w:eastAsia="zh-Hans"/>
        </w:rPr>
        <w:t>）</w:t>
      </w:r>
      <w:r>
        <w:rPr>
          <w:rFonts w:hint="eastAsia" w:ascii="楷体" w:hAnsi="楷体" w:eastAsia="楷体" w:cs="Arial"/>
          <w:b/>
          <w:color w:val="auto"/>
          <w:kern w:val="0"/>
          <w:sz w:val="30"/>
          <w:szCs w:val="30"/>
          <w:highlight w:val="none"/>
        </w:rPr>
        <w:t>部分工程未竣工验收，效益未完全显现</w:t>
      </w:r>
      <w:bookmarkEnd w:id="28"/>
      <w:bookmarkEnd w:id="29"/>
      <w:bookmarkEnd w:id="30"/>
    </w:p>
    <w:p>
      <w:pPr>
        <w:pageBreakBefore w:val="0"/>
        <w:widowControl w:val="0"/>
        <w:kinsoku/>
        <w:wordWrap/>
        <w:overflowPunct/>
        <w:topLinePunct w:val="0"/>
        <w:autoSpaceDE/>
        <w:autoSpaceDN/>
        <w:bidi w:val="0"/>
        <w:adjustRightInd w:val="0"/>
        <w:snapToGrid w:val="0"/>
        <w:spacing w:line="560" w:lineRule="exact"/>
        <w:ind w:firstLine="600" w:firstLineChars="200"/>
        <w:textAlignment w:val="auto"/>
      </w:pPr>
      <w:r>
        <w:rPr>
          <w:rFonts w:hint="eastAsia" w:ascii="仿宋" w:hAnsi="仿宋" w:eastAsia="仿宋" w:cs="仿宋"/>
          <w:bCs/>
          <w:caps/>
          <w:color w:val="auto"/>
          <w:sz w:val="30"/>
          <w:szCs w:val="30"/>
          <w:highlight w:val="none"/>
        </w:rPr>
        <w:t>经查看东片区、隆基、华景、“双创”和孵化基地项目相关资料，东片区项目</w:t>
      </w:r>
      <w:r>
        <w:rPr>
          <w:rFonts w:hint="eastAsia" w:ascii="仿宋" w:hAnsi="仿宋" w:eastAsia="仿宋" w:cs="仿宋"/>
          <w:bCs/>
          <w:caps/>
          <w:color w:val="auto"/>
          <w:sz w:val="30"/>
          <w:szCs w:val="30"/>
          <w:highlight w:val="none"/>
          <w:lang w:val="en-US" w:eastAsia="zh-CN"/>
        </w:rPr>
        <w:t>未最终验收，</w:t>
      </w:r>
      <w:r>
        <w:rPr>
          <w:rFonts w:hint="eastAsia" w:ascii="仿宋" w:hAnsi="仿宋" w:eastAsia="仿宋" w:cs="仿宋"/>
          <w:bCs/>
          <w:caps/>
          <w:color w:val="auto"/>
          <w:sz w:val="30"/>
          <w:szCs w:val="30"/>
          <w:highlight w:val="none"/>
        </w:rPr>
        <w:t>隆基、华景项目处于建设阶段，企业均未入驻标准化厂房，“双创”和孵化基地项目处于装修阶段未投入使用，故四个项目对应的“完善蒙苏经济开发区厂房配套”“促进煤机制造及维修产业发展”“促进新能源行业发展”“促进正极新材料行业快速发展”和“提供创新创业发展空间”的实施效益与推广示范作用尚未完全显现。</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ascii="Times New Roman" w:hAnsi="Times New Roman" w:eastAsia="黑体" w:cs="Times New Roman"/>
          <w:color w:val="auto"/>
          <w:sz w:val="32"/>
          <w:szCs w:val="32"/>
          <w:highlight w:val="none"/>
        </w:rPr>
      </w:pPr>
      <w:bookmarkStart w:id="31" w:name="_Toc30279"/>
      <w:r>
        <w:rPr>
          <w:rFonts w:hint="eastAsia" w:ascii="Times New Roman" w:hAnsi="Times New Roman" w:eastAsia="黑体" w:cs="Times New Roman"/>
          <w:color w:val="auto"/>
          <w:sz w:val="32"/>
          <w:szCs w:val="32"/>
          <w:highlight w:val="none"/>
          <w:lang w:eastAsia="zh-CN"/>
        </w:rPr>
        <w:t>四</w:t>
      </w:r>
      <w:r>
        <w:rPr>
          <w:rFonts w:ascii="Times New Roman" w:hAnsi="Times New Roman" w:eastAsia="黑体" w:cs="Times New Roman"/>
          <w:color w:val="auto"/>
          <w:sz w:val="32"/>
          <w:szCs w:val="32"/>
          <w:highlight w:val="none"/>
        </w:rPr>
        <w:t>、有关建议</w:t>
      </w:r>
      <w:bookmarkEnd w:id="31"/>
    </w:p>
    <w:p>
      <w:pPr>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1"/>
        <w:rPr>
          <w:rFonts w:ascii="楷体" w:hAnsi="楷体" w:eastAsia="楷体" w:cs="Arial"/>
          <w:b/>
          <w:color w:val="auto"/>
          <w:kern w:val="0"/>
          <w:sz w:val="30"/>
          <w:szCs w:val="30"/>
          <w:highlight w:val="none"/>
          <w:lang w:eastAsia="zh-Hans"/>
        </w:rPr>
      </w:pPr>
      <w:bookmarkStart w:id="32" w:name="_Toc25185"/>
      <w:bookmarkStart w:id="33" w:name="_Toc2477"/>
      <w:bookmarkStart w:id="34" w:name="_Toc26092"/>
      <w:bookmarkStart w:id="35" w:name="_Toc53695402"/>
      <w:bookmarkStart w:id="36" w:name="_Toc65673932"/>
      <w:bookmarkStart w:id="37" w:name="_Toc68009165"/>
      <w:r>
        <w:rPr>
          <w:rFonts w:hint="eastAsia" w:ascii="楷体" w:hAnsi="楷体" w:eastAsia="楷体" w:cs="Arial"/>
          <w:b/>
          <w:color w:val="auto"/>
          <w:kern w:val="0"/>
          <w:sz w:val="30"/>
          <w:szCs w:val="30"/>
          <w:highlight w:val="none"/>
          <w:lang w:eastAsia="zh-Hans"/>
        </w:rPr>
        <w:t>（</w:t>
      </w:r>
      <w:r>
        <w:rPr>
          <w:rFonts w:hint="eastAsia" w:ascii="楷体" w:hAnsi="楷体" w:eastAsia="楷体" w:cs="Arial"/>
          <w:b/>
          <w:color w:val="auto"/>
          <w:kern w:val="0"/>
          <w:sz w:val="30"/>
          <w:szCs w:val="30"/>
          <w:highlight w:val="none"/>
        </w:rPr>
        <w:t>一</w:t>
      </w:r>
      <w:r>
        <w:rPr>
          <w:rFonts w:hint="eastAsia" w:ascii="楷体" w:hAnsi="楷体" w:eastAsia="楷体" w:cs="Arial"/>
          <w:b/>
          <w:color w:val="auto"/>
          <w:kern w:val="0"/>
          <w:sz w:val="30"/>
          <w:szCs w:val="30"/>
          <w:highlight w:val="none"/>
          <w:lang w:eastAsia="zh-Hans"/>
        </w:rPr>
        <w:t>）</w:t>
      </w:r>
      <w:r>
        <w:rPr>
          <w:rFonts w:hint="eastAsia" w:ascii="楷体" w:hAnsi="楷体" w:eastAsia="楷体" w:cs="Arial"/>
          <w:b/>
          <w:color w:val="auto"/>
          <w:kern w:val="0"/>
          <w:sz w:val="30"/>
          <w:szCs w:val="30"/>
          <w:highlight w:val="none"/>
        </w:rPr>
        <w:t>提高经营目标全面性，</w:t>
      </w:r>
      <w:bookmarkEnd w:id="32"/>
      <w:bookmarkEnd w:id="33"/>
      <w:r>
        <w:rPr>
          <w:rFonts w:hint="eastAsia" w:ascii="楷体" w:hAnsi="楷体" w:eastAsia="楷体" w:cs="Arial"/>
          <w:b/>
          <w:color w:val="auto"/>
          <w:kern w:val="0"/>
          <w:sz w:val="30"/>
          <w:szCs w:val="30"/>
          <w:highlight w:val="none"/>
          <w:lang w:val="en-US" w:eastAsia="zh-CN"/>
        </w:rPr>
        <w:t>完善项目绩效体系</w:t>
      </w:r>
      <w:bookmarkEnd w:id="34"/>
    </w:p>
    <w:p>
      <w:pPr>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eastAsia="仿宋"/>
          <w:color w:val="auto"/>
          <w:highlight w:val="none"/>
          <w:lang w:val="en-US" w:eastAsia="zh-CN"/>
        </w:rPr>
      </w:pPr>
      <w:r>
        <w:rPr>
          <w:rFonts w:hint="eastAsia" w:ascii="仿宋" w:hAnsi="仿宋" w:eastAsia="仿宋" w:cs="仿宋"/>
          <w:b/>
          <w:caps/>
          <w:color w:val="auto"/>
          <w:sz w:val="30"/>
          <w:szCs w:val="30"/>
          <w:highlight w:val="none"/>
        </w:rPr>
        <w:t>一是</w:t>
      </w:r>
      <w:r>
        <w:rPr>
          <w:rFonts w:hint="eastAsia" w:ascii="仿宋" w:hAnsi="仿宋" w:eastAsia="仿宋" w:cs="仿宋"/>
          <w:bCs/>
          <w:caps/>
          <w:color w:val="auto"/>
          <w:sz w:val="30"/>
          <w:szCs w:val="30"/>
          <w:highlight w:val="none"/>
          <w:lang w:val="en-US" w:eastAsia="zh-CN"/>
        </w:rPr>
        <w:t>建议招商投资集团</w:t>
      </w:r>
      <w:r>
        <w:rPr>
          <w:rFonts w:hint="eastAsia" w:ascii="仿宋" w:hAnsi="仿宋" w:eastAsia="仿宋" w:cs="仿宋"/>
          <w:bCs/>
          <w:caps/>
          <w:color w:val="auto"/>
          <w:sz w:val="30"/>
          <w:szCs w:val="30"/>
          <w:highlight w:val="none"/>
        </w:rPr>
        <w:t>编制经营目标时，将资金投入高、规模大的项目</w:t>
      </w:r>
      <w:r>
        <w:rPr>
          <w:rFonts w:hint="eastAsia" w:ascii="仿宋" w:hAnsi="仿宋" w:eastAsia="仿宋" w:cs="仿宋"/>
          <w:bCs/>
          <w:caps/>
          <w:color w:val="auto"/>
          <w:sz w:val="30"/>
          <w:szCs w:val="30"/>
          <w:highlight w:val="none"/>
          <w:lang w:eastAsia="zh-CN"/>
        </w:rPr>
        <w:t>纳入</w:t>
      </w:r>
      <w:r>
        <w:rPr>
          <w:rFonts w:hint="eastAsia" w:ascii="仿宋" w:hAnsi="仿宋" w:eastAsia="仿宋" w:cs="仿宋"/>
          <w:bCs/>
          <w:caps/>
          <w:color w:val="auto"/>
          <w:sz w:val="30"/>
          <w:szCs w:val="30"/>
          <w:highlight w:val="none"/>
        </w:rPr>
        <w:t>指标里，确保经营目标全面性，充分反映项目绩效。</w:t>
      </w:r>
      <w:r>
        <w:rPr>
          <w:rFonts w:hint="eastAsia" w:ascii="仿宋" w:hAnsi="仿宋" w:eastAsia="仿宋" w:cs="仿宋"/>
          <w:b/>
          <w:caps/>
          <w:color w:val="auto"/>
          <w:sz w:val="30"/>
          <w:szCs w:val="30"/>
          <w:highlight w:val="none"/>
        </w:rPr>
        <w:t>二是</w:t>
      </w:r>
      <w:r>
        <w:rPr>
          <w:rFonts w:hint="eastAsia" w:ascii="仿宋" w:hAnsi="仿宋" w:eastAsia="仿宋" w:cs="仿宋"/>
          <w:bCs/>
          <w:caps/>
          <w:color w:val="auto"/>
          <w:sz w:val="30"/>
          <w:szCs w:val="30"/>
          <w:highlight w:val="none"/>
          <w:lang w:val="en-US" w:eastAsia="zh-CN"/>
        </w:rPr>
        <w:t>建议招商投资集团开展预算绩效管理相关培训工作，科学设定项目管理绩效目标和指标，明确绩效指标的应用标准，完善项目绩效体系，强化绩效和预算约束，提高项目管理水平，节约财政资金，增强财政资金的使用效益。</w:t>
      </w:r>
    </w:p>
    <w:bookmarkEnd w:id="35"/>
    <w:bookmarkEnd w:id="36"/>
    <w:bookmarkEnd w:id="37"/>
    <w:p>
      <w:pPr>
        <w:pageBreakBefore w:val="0"/>
        <w:widowControl w:val="0"/>
        <w:kinsoku/>
        <w:wordWrap/>
        <w:overflowPunct/>
        <w:topLinePunct w:val="0"/>
        <w:autoSpaceDE/>
        <w:autoSpaceDN/>
        <w:bidi w:val="0"/>
        <w:adjustRightInd w:val="0"/>
        <w:snapToGrid w:val="0"/>
        <w:spacing w:line="560" w:lineRule="exact"/>
        <w:ind w:firstLine="602" w:firstLineChars="200"/>
        <w:textAlignment w:val="auto"/>
        <w:outlineLvl w:val="1"/>
        <w:rPr>
          <w:rFonts w:ascii="仿宋" w:hAnsi="仿宋" w:eastAsia="仿宋" w:cs="仿宋"/>
          <w:bCs/>
          <w:caps/>
          <w:color w:val="auto"/>
          <w:szCs w:val="30"/>
          <w:highlight w:val="none"/>
          <w:lang w:eastAsia="zh-Hans"/>
        </w:rPr>
      </w:pPr>
      <w:bookmarkStart w:id="38" w:name="_Toc6800"/>
      <w:bookmarkStart w:id="39" w:name="_Toc7100"/>
      <w:bookmarkStart w:id="40" w:name="_Toc68009167"/>
      <w:bookmarkStart w:id="41" w:name="_Toc65673934"/>
      <w:r>
        <w:rPr>
          <w:rFonts w:hint="eastAsia" w:ascii="楷体" w:hAnsi="楷体" w:eastAsia="楷体" w:cs="楷体"/>
          <w:b/>
          <w:caps/>
          <w:color w:val="auto"/>
          <w:sz w:val="30"/>
          <w:szCs w:val="30"/>
          <w:highlight w:val="none"/>
          <w:lang w:eastAsia="zh-Hans"/>
        </w:rPr>
        <w:t>（</w:t>
      </w:r>
      <w:r>
        <w:rPr>
          <w:rFonts w:hint="eastAsia" w:ascii="楷体" w:hAnsi="楷体" w:eastAsia="楷体" w:cs="楷体"/>
          <w:b/>
          <w:caps/>
          <w:color w:val="auto"/>
          <w:sz w:val="30"/>
          <w:szCs w:val="30"/>
          <w:highlight w:val="none"/>
          <w:lang w:val="en-US" w:eastAsia="zh-CN"/>
        </w:rPr>
        <w:t>二</w:t>
      </w:r>
      <w:r>
        <w:rPr>
          <w:rFonts w:hint="eastAsia" w:ascii="楷体" w:hAnsi="楷体" w:eastAsia="楷体" w:cs="楷体"/>
          <w:b/>
          <w:caps/>
          <w:color w:val="auto"/>
          <w:sz w:val="30"/>
          <w:szCs w:val="30"/>
          <w:highlight w:val="none"/>
          <w:lang w:eastAsia="zh-Hans"/>
        </w:rPr>
        <w:t>）</w:t>
      </w:r>
      <w:r>
        <w:rPr>
          <w:rFonts w:hint="eastAsia" w:ascii="楷体" w:hAnsi="楷体" w:eastAsia="楷体" w:cs="Arial"/>
          <w:b/>
          <w:color w:val="auto"/>
          <w:kern w:val="0"/>
          <w:sz w:val="30"/>
          <w:szCs w:val="30"/>
          <w:highlight w:val="none"/>
          <w:lang w:eastAsia="zh-Hans"/>
        </w:rPr>
        <w:t>加快</w:t>
      </w:r>
      <w:r>
        <w:rPr>
          <w:rFonts w:hint="eastAsia" w:ascii="楷体" w:hAnsi="楷体" w:eastAsia="楷体" w:cs="Arial"/>
          <w:b/>
          <w:color w:val="auto"/>
          <w:kern w:val="0"/>
          <w:sz w:val="30"/>
          <w:szCs w:val="30"/>
          <w:highlight w:val="none"/>
          <w:lang w:val="en-US" w:eastAsia="zh-CN"/>
        </w:rPr>
        <w:t>项目建设</w:t>
      </w:r>
      <w:r>
        <w:rPr>
          <w:rFonts w:hint="eastAsia" w:ascii="楷体" w:hAnsi="楷体" w:eastAsia="楷体" w:cs="Arial"/>
          <w:b/>
          <w:color w:val="auto"/>
          <w:kern w:val="0"/>
          <w:sz w:val="30"/>
          <w:szCs w:val="30"/>
          <w:highlight w:val="none"/>
          <w:lang w:eastAsia="zh-Hans"/>
        </w:rPr>
        <w:t>进度，</w:t>
      </w:r>
      <w:r>
        <w:rPr>
          <w:rFonts w:hint="eastAsia" w:ascii="楷体" w:hAnsi="楷体" w:eastAsia="楷体" w:cs="Arial"/>
          <w:b/>
          <w:color w:val="auto"/>
          <w:kern w:val="0"/>
          <w:sz w:val="30"/>
          <w:szCs w:val="30"/>
          <w:highlight w:val="none"/>
        </w:rPr>
        <w:t>规范项目管理</w:t>
      </w:r>
      <w:bookmarkEnd w:id="38"/>
      <w:bookmarkEnd w:id="39"/>
    </w:p>
    <w:p>
      <w:pPr>
        <w:pStyle w:val="2"/>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 w:hAnsi="仿宋" w:eastAsia="仿宋" w:cs="仿宋"/>
          <w:bCs/>
          <w:caps/>
          <w:color w:val="auto"/>
          <w:sz w:val="30"/>
          <w:szCs w:val="30"/>
          <w:highlight w:val="none"/>
          <w:lang w:val="en-US" w:eastAsia="zh-CN"/>
        </w:rPr>
      </w:pPr>
      <w:r>
        <w:rPr>
          <w:rFonts w:hint="eastAsia" w:ascii="仿宋" w:hAnsi="仿宋" w:eastAsia="仿宋" w:cs="仿宋"/>
          <w:bCs/>
          <w:caps/>
          <w:color w:val="auto"/>
          <w:sz w:val="30"/>
          <w:szCs w:val="30"/>
          <w:highlight w:val="none"/>
          <w:lang w:eastAsia="zh-Hans"/>
        </w:rPr>
        <w:t>建议</w:t>
      </w:r>
      <w:r>
        <w:rPr>
          <w:rFonts w:hint="eastAsia" w:ascii="仿宋" w:hAnsi="仿宋" w:eastAsia="仿宋" w:cs="仿宋"/>
          <w:bCs/>
          <w:caps/>
          <w:color w:val="auto"/>
          <w:sz w:val="30"/>
          <w:szCs w:val="30"/>
          <w:highlight w:val="none"/>
        </w:rPr>
        <w:t>招商投资集团</w:t>
      </w:r>
      <w:r>
        <w:rPr>
          <w:rFonts w:hint="eastAsia" w:ascii="仿宋" w:hAnsi="仿宋" w:eastAsia="仿宋" w:cs="仿宋"/>
          <w:bCs/>
          <w:caps/>
          <w:color w:val="auto"/>
          <w:sz w:val="30"/>
          <w:szCs w:val="30"/>
          <w:highlight w:val="none"/>
          <w:lang w:val="en-US" w:eastAsia="zh-CN"/>
        </w:rPr>
        <w:t>根据东片区、隆基、华景项目实际进度制定</w:t>
      </w:r>
      <w:r>
        <w:rPr>
          <w:rFonts w:hint="eastAsia" w:ascii="仿宋" w:hAnsi="仿宋" w:eastAsia="仿宋" w:cs="仿宋"/>
          <w:bCs/>
          <w:caps/>
          <w:color w:val="auto"/>
          <w:sz w:val="30"/>
          <w:szCs w:val="30"/>
          <w:highlight w:val="none"/>
        </w:rPr>
        <w:t>项目</w:t>
      </w:r>
      <w:r>
        <w:rPr>
          <w:rFonts w:hint="eastAsia" w:ascii="仿宋" w:hAnsi="仿宋" w:eastAsia="仿宋" w:cs="仿宋"/>
          <w:bCs/>
          <w:caps/>
          <w:color w:val="auto"/>
          <w:sz w:val="30"/>
          <w:szCs w:val="30"/>
          <w:highlight w:val="none"/>
          <w:lang w:val="en-US" w:eastAsia="zh-CN"/>
        </w:rPr>
        <w:t>后期建设进度计划，加快蒙苏园区</w:t>
      </w:r>
      <w:r>
        <w:rPr>
          <w:rFonts w:hint="eastAsia" w:ascii="仿宋" w:hAnsi="仿宋" w:eastAsia="仿宋" w:cs="仿宋"/>
          <w:bCs/>
          <w:caps/>
          <w:color w:val="auto"/>
          <w:sz w:val="30"/>
          <w:szCs w:val="30"/>
          <w:highlight w:val="none"/>
        </w:rPr>
        <w:t>东片区</w:t>
      </w:r>
      <w:r>
        <w:rPr>
          <w:rFonts w:hint="eastAsia" w:ascii="仿宋" w:hAnsi="仿宋" w:eastAsia="仿宋" w:cs="仿宋"/>
          <w:bCs/>
          <w:caps/>
          <w:color w:val="auto"/>
          <w:sz w:val="30"/>
          <w:szCs w:val="30"/>
          <w:highlight w:val="none"/>
          <w:lang w:eastAsia="zh-CN"/>
        </w:rPr>
        <w:t>、</w:t>
      </w:r>
      <w:r>
        <w:rPr>
          <w:rFonts w:hint="eastAsia" w:ascii="仿宋" w:hAnsi="仿宋" w:eastAsia="仿宋" w:cs="仿宋"/>
          <w:bCs/>
          <w:caps/>
          <w:color w:val="auto"/>
          <w:sz w:val="30"/>
          <w:szCs w:val="30"/>
          <w:highlight w:val="none"/>
        </w:rPr>
        <w:t>新能源科技产业园</w:t>
      </w:r>
      <w:r>
        <w:rPr>
          <w:rFonts w:hint="eastAsia" w:ascii="仿宋" w:hAnsi="仿宋" w:eastAsia="仿宋" w:cs="仿宋"/>
          <w:bCs/>
          <w:caps/>
          <w:color w:val="auto"/>
          <w:sz w:val="30"/>
          <w:szCs w:val="30"/>
          <w:highlight w:val="none"/>
          <w:lang w:eastAsia="zh-CN"/>
        </w:rPr>
        <w:t>、</w:t>
      </w:r>
      <w:r>
        <w:rPr>
          <w:rFonts w:hint="eastAsia" w:ascii="仿宋" w:hAnsi="仿宋" w:eastAsia="仿宋" w:cs="仿宋"/>
          <w:bCs/>
          <w:caps/>
          <w:color w:val="auto"/>
          <w:sz w:val="30"/>
          <w:szCs w:val="30"/>
          <w:highlight w:val="none"/>
        </w:rPr>
        <w:t>新材料零碳产业园</w:t>
      </w:r>
      <w:r>
        <w:rPr>
          <w:rFonts w:hint="eastAsia" w:ascii="仿宋" w:hAnsi="仿宋" w:eastAsia="仿宋" w:cs="仿宋"/>
          <w:bCs/>
          <w:caps/>
          <w:color w:val="auto"/>
          <w:sz w:val="30"/>
          <w:szCs w:val="30"/>
          <w:highlight w:val="none"/>
          <w:lang w:val="en-US" w:eastAsia="zh-CN"/>
        </w:rPr>
        <w:t>中小企业入驻进度。</w:t>
      </w:r>
    </w:p>
    <w:p>
      <w:pPr>
        <w:pStyle w:val="2"/>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color w:val="auto"/>
          <w:highlight w:val="none"/>
          <w:lang w:val="en-US" w:eastAsia="zh-CN"/>
        </w:rPr>
      </w:pPr>
      <w:r>
        <w:rPr>
          <w:rFonts w:hint="eastAsia" w:ascii="仿宋" w:hAnsi="仿宋" w:eastAsia="仿宋" w:cs="仿宋"/>
          <w:bCs/>
          <w:caps/>
          <w:color w:val="auto"/>
          <w:sz w:val="30"/>
          <w:szCs w:val="30"/>
          <w:highlight w:val="none"/>
          <w:lang w:val="en-US" w:eastAsia="zh-CN"/>
        </w:rPr>
        <w:t>建议</w:t>
      </w:r>
      <w:r>
        <w:rPr>
          <w:rFonts w:hint="eastAsia" w:ascii="仿宋" w:hAnsi="仿宋" w:eastAsia="仿宋" w:cs="仿宋"/>
          <w:bCs/>
          <w:caps/>
          <w:color w:val="auto"/>
          <w:sz w:val="30"/>
          <w:szCs w:val="30"/>
          <w:highlight w:val="none"/>
        </w:rPr>
        <w:t>天骄创投</w:t>
      </w:r>
      <w:r>
        <w:rPr>
          <w:rFonts w:hint="eastAsia" w:ascii="仿宋" w:hAnsi="仿宋" w:eastAsia="仿宋" w:cs="仿宋"/>
          <w:bCs/>
          <w:caps/>
          <w:color w:val="auto"/>
          <w:sz w:val="30"/>
          <w:szCs w:val="30"/>
          <w:highlight w:val="none"/>
          <w:lang w:val="en-US" w:eastAsia="zh-CN"/>
        </w:rPr>
        <w:t>根据</w:t>
      </w:r>
      <w:r>
        <w:rPr>
          <w:rFonts w:hint="eastAsia" w:ascii="仿宋" w:hAnsi="仿宋" w:eastAsia="仿宋" w:cs="仿宋"/>
          <w:bCs/>
          <w:caps/>
          <w:color w:val="auto"/>
          <w:sz w:val="30"/>
          <w:szCs w:val="30"/>
          <w:highlight w:val="none"/>
          <w:lang w:eastAsia="zh-CN"/>
        </w:rPr>
        <w:t>“</w:t>
      </w:r>
      <w:r>
        <w:rPr>
          <w:rFonts w:hint="eastAsia" w:ascii="仿宋" w:hAnsi="仿宋" w:eastAsia="仿宋" w:cs="仿宋"/>
          <w:bCs/>
          <w:caps/>
          <w:color w:val="auto"/>
          <w:sz w:val="30"/>
          <w:szCs w:val="30"/>
          <w:highlight w:val="none"/>
        </w:rPr>
        <w:t>双创”和孵化基地项目</w:t>
      </w:r>
      <w:r>
        <w:rPr>
          <w:rFonts w:hint="eastAsia" w:ascii="仿宋" w:hAnsi="仿宋" w:eastAsia="仿宋" w:cs="仿宋"/>
          <w:bCs/>
          <w:caps/>
          <w:color w:val="auto"/>
          <w:sz w:val="30"/>
          <w:szCs w:val="30"/>
          <w:highlight w:val="none"/>
          <w:lang w:val="en-US" w:eastAsia="zh-CN"/>
        </w:rPr>
        <w:t>实际情况，制定合理装修方案</w:t>
      </w:r>
      <w:r>
        <w:rPr>
          <w:rFonts w:hint="eastAsia" w:ascii="仿宋" w:hAnsi="仿宋" w:eastAsia="仿宋" w:cs="仿宋"/>
          <w:bCs/>
          <w:caps/>
          <w:color w:val="auto"/>
          <w:sz w:val="30"/>
          <w:szCs w:val="30"/>
          <w:highlight w:val="none"/>
        </w:rPr>
        <w:t>，</w:t>
      </w:r>
      <w:r>
        <w:rPr>
          <w:rFonts w:hint="eastAsia" w:ascii="仿宋" w:hAnsi="仿宋" w:eastAsia="仿宋" w:cs="仿宋"/>
          <w:bCs/>
          <w:caps/>
          <w:color w:val="auto"/>
          <w:sz w:val="30"/>
          <w:szCs w:val="30"/>
          <w:highlight w:val="none"/>
          <w:lang w:eastAsia="zh-Hans"/>
        </w:rPr>
        <w:t>推进</w:t>
      </w:r>
      <w:r>
        <w:rPr>
          <w:rFonts w:hint="eastAsia" w:ascii="仿宋" w:hAnsi="仿宋" w:eastAsia="仿宋" w:cs="仿宋"/>
          <w:bCs/>
          <w:caps/>
          <w:color w:val="auto"/>
          <w:sz w:val="30"/>
          <w:szCs w:val="30"/>
          <w:highlight w:val="none"/>
        </w:rPr>
        <w:t>装修</w:t>
      </w:r>
      <w:r>
        <w:rPr>
          <w:rFonts w:hint="eastAsia" w:ascii="仿宋" w:hAnsi="仿宋" w:eastAsia="仿宋" w:cs="仿宋"/>
          <w:bCs/>
          <w:caps/>
          <w:color w:val="auto"/>
          <w:sz w:val="30"/>
          <w:szCs w:val="30"/>
          <w:highlight w:val="none"/>
          <w:lang w:eastAsia="zh-Hans"/>
        </w:rPr>
        <w:t>进度</w:t>
      </w:r>
      <w:r>
        <w:rPr>
          <w:rFonts w:hint="eastAsia" w:ascii="仿宋" w:hAnsi="仿宋" w:eastAsia="仿宋" w:cs="仿宋"/>
          <w:bCs/>
          <w:caps/>
          <w:color w:val="auto"/>
          <w:sz w:val="30"/>
          <w:szCs w:val="30"/>
          <w:highlight w:val="none"/>
          <w:lang w:eastAsia="zh-CN"/>
        </w:rPr>
        <w:t>，</w:t>
      </w:r>
      <w:r>
        <w:rPr>
          <w:rFonts w:hint="eastAsia" w:ascii="仿宋" w:hAnsi="仿宋" w:eastAsia="仿宋" w:cs="仿宋"/>
          <w:bCs/>
          <w:caps/>
          <w:color w:val="auto"/>
          <w:sz w:val="30"/>
          <w:szCs w:val="30"/>
          <w:highlight w:val="none"/>
          <w:lang w:val="en-US" w:eastAsia="zh-CN"/>
        </w:rPr>
        <w:t>为引</w:t>
      </w:r>
      <w:r>
        <w:rPr>
          <w:rFonts w:hint="eastAsia" w:ascii="仿宋" w:hAnsi="仿宋" w:eastAsia="仿宋" w:cs="仿宋"/>
          <w:bCs/>
          <w:caps/>
          <w:color w:val="auto"/>
          <w:sz w:val="30"/>
          <w:szCs w:val="30"/>
          <w:highlight w:val="none"/>
        </w:rPr>
        <w:t>进优质企业、高端人才提供创新创业发展空间</w:t>
      </w:r>
      <w:r>
        <w:rPr>
          <w:rFonts w:hint="eastAsia" w:ascii="仿宋" w:hAnsi="仿宋" w:eastAsia="仿宋" w:cs="仿宋"/>
          <w:bCs/>
          <w:caps/>
          <w:color w:val="auto"/>
          <w:sz w:val="30"/>
          <w:szCs w:val="30"/>
          <w:highlight w:val="none"/>
          <w:lang w:eastAsia="zh-CN"/>
        </w:rPr>
        <w:t>。</w:t>
      </w:r>
      <w:bookmarkEnd w:id="40"/>
      <w:bookmarkEnd w:id="41"/>
    </w:p>
    <w:sectPr>
      <w:headerReference r:id="rId5" w:type="default"/>
      <w:footerReference r:id="rId6" w:type="default"/>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2340" w:firstLineChars="13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TdjZDgyMWJmMjRlNTU5OGMxYjdmNjdmZmRlMWMifQ=="/>
  </w:docVars>
  <w:rsids>
    <w:rsidRoot w:val="000E467D"/>
    <w:rsid w:val="0000288E"/>
    <w:rsid w:val="00003C2A"/>
    <w:rsid w:val="00003EBE"/>
    <w:rsid w:val="000048A7"/>
    <w:rsid w:val="00005CBD"/>
    <w:rsid w:val="000102EC"/>
    <w:rsid w:val="0001177C"/>
    <w:rsid w:val="00011AAF"/>
    <w:rsid w:val="00012B8E"/>
    <w:rsid w:val="00013278"/>
    <w:rsid w:val="000132DB"/>
    <w:rsid w:val="00014641"/>
    <w:rsid w:val="00014FD6"/>
    <w:rsid w:val="000155B7"/>
    <w:rsid w:val="000157FF"/>
    <w:rsid w:val="00016BA3"/>
    <w:rsid w:val="00017FEE"/>
    <w:rsid w:val="0002025F"/>
    <w:rsid w:val="00020D5D"/>
    <w:rsid w:val="00022782"/>
    <w:rsid w:val="00022A77"/>
    <w:rsid w:val="00023872"/>
    <w:rsid w:val="00023C01"/>
    <w:rsid w:val="00024674"/>
    <w:rsid w:val="000248D1"/>
    <w:rsid w:val="00025E7F"/>
    <w:rsid w:val="00026BE1"/>
    <w:rsid w:val="0003052E"/>
    <w:rsid w:val="00030CF7"/>
    <w:rsid w:val="000333C2"/>
    <w:rsid w:val="00033D22"/>
    <w:rsid w:val="00034294"/>
    <w:rsid w:val="0003587B"/>
    <w:rsid w:val="00036347"/>
    <w:rsid w:val="0003668A"/>
    <w:rsid w:val="00036DD4"/>
    <w:rsid w:val="000373F5"/>
    <w:rsid w:val="00042E7F"/>
    <w:rsid w:val="00043EF3"/>
    <w:rsid w:val="000446F0"/>
    <w:rsid w:val="000469C3"/>
    <w:rsid w:val="00050174"/>
    <w:rsid w:val="0005055A"/>
    <w:rsid w:val="0005055F"/>
    <w:rsid w:val="00052403"/>
    <w:rsid w:val="000534D1"/>
    <w:rsid w:val="00053D90"/>
    <w:rsid w:val="000563C3"/>
    <w:rsid w:val="000572E0"/>
    <w:rsid w:val="00062267"/>
    <w:rsid w:val="00063055"/>
    <w:rsid w:val="00065AA4"/>
    <w:rsid w:val="000669D3"/>
    <w:rsid w:val="00067381"/>
    <w:rsid w:val="0006758A"/>
    <w:rsid w:val="0007004F"/>
    <w:rsid w:val="0007244C"/>
    <w:rsid w:val="0007361C"/>
    <w:rsid w:val="00073A23"/>
    <w:rsid w:val="00074733"/>
    <w:rsid w:val="00074E1E"/>
    <w:rsid w:val="000755F5"/>
    <w:rsid w:val="00075DD3"/>
    <w:rsid w:val="00076023"/>
    <w:rsid w:val="000772C4"/>
    <w:rsid w:val="000803AC"/>
    <w:rsid w:val="00081626"/>
    <w:rsid w:val="00081B42"/>
    <w:rsid w:val="00082800"/>
    <w:rsid w:val="000834FC"/>
    <w:rsid w:val="000836B7"/>
    <w:rsid w:val="00083DDF"/>
    <w:rsid w:val="00085479"/>
    <w:rsid w:val="00085961"/>
    <w:rsid w:val="0009095C"/>
    <w:rsid w:val="00090D24"/>
    <w:rsid w:val="00090FA0"/>
    <w:rsid w:val="00092F9B"/>
    <w:rsid w:val="00093FAF"/>
    <w:rsid w:val="000942B2"/>
    <w:rsid w:val="00094407"/>
    <w:rsid w:val="000A045A"/>
    <w:rsid w:val="000A4A27"/>
    <w:rsid w:val="000A66D5"/>
    <w:rsid w:val="000A7C86"/>
    <w:rsid w:val="000A7F53"/>
    <w:rsid w:val="000B0A7B"/>
    <w:rsid w:val="000B0D9D"/>
    <w:rsid w:val="000B244C"/>
    <w:rsid w:val="000B3A93"/>
    <w:rsid w:val="000B3C71"/>
    <w:rsid w:val="000B4A7E"/>
    <w:rsid w:val="000B5A8F"/>
    <w:rsid w:val="000B5C80"/>
    <w:rsid w:val="000B74DA"/>
    <w:rsid w:val="000C599E"/>
    <w:rsid w:val="000C5B48"/>
    <w:rsid w:val="000C7D80"/>
    <w:rsid w:val="000D098C"/>
    <w:rsid w:val="000D1553"/>
    <w:rsid w:val="000D1B23"/>
    <w:rsid w:val="000D2496"/>
    <w:rsid w:val="000D4C75"/>
    <w:rsid w:val="000D7EF4"/>
    <w:rsid w:val="000E232C"/>
    <w:rsid w:val="000E334B"/>
    <w:rsid w:val="000E3516"/>
    <w:rsid w:val="000E467D"/>
    <w:rsid w:val="000E46C2"/>
    <w:rsid w:val="000E5C11"/>
    <w:rsid w:val="000E71BB"/>
    <w:rsid w:val="000F123C"/>
    <w:rsid w:val="000F20DF"/>
    <w:rsid w:val="000F241D"/>
    <w:rsid w:val="000F324B"/>
    <w:rsid w:val="000F3D25"/>
    <w:rsid w:val="000F3E03"/>
    <w:rsid w:val="000F4C41"/>
    <w:rsid w:val="000F691A"/>
    <w:rsid w:val="000F78C7"/>
    <w:rsid w:val="000F7F67"/>
    <w:rsid w:val="00100311"/>
    <w:rsid w:val="001041C0"/>
    <w:rsid w:val="00104328"/>
    <w:rsid w:val="00104C8A"/>
    <w:rsid w:val="001055DF"/>
    <w:rsid w:val="00106112"/>
    <w:rsid w:val="00110E09"/>
    <w:rsid w:val="00111B5A"/>
    <w:rsid w:val="001121B2"/>
    <w:rsid w:val="00113386"/>
    <w:rsid w:val="001202F6"/>
    <w:rsid w:val="0012088F"/>
    <w:rsid w:val="00122502"/>
    <w:rsid w:val="00122A0D"/>
    <w:rsid w:val="00124069"/>
    <w:rsid w:val="00126A45"/>
    <w:rsid w:val="00127116"/>
    <w:rsid w:val="00131F46"/>
    <w:rsid w:val="00132BE3"/>
    <w:rsid w:val="0013395B"/>
    <w:rsid w:val="0013436F"/>
    <w:rsid w:val="001366A8"/>
    <w:rsid w:val="00136D9C"/>
    <w:rsid w:val="00141DD7"/>
    <w:rsid w:val="0014316A"/>
    <w:rsid w:val="001432AC"/>
    <w:rsid w:val="001434D2"/>
    <w:rsid w:val="00143ABF"/>
    <w:rsid w:val="00143DF2"/>
    <w:rsid w:val="00145ED4"/>
    <w:rsid w:val="00147E5B"/>
    <w:rsid w:val="001501B4"/>
    <w:rsid w:val="001512DD"/>
    <w:rsid w:val="0015232E"/>
    <w:rsid w:val="001529F4"/>
    <w:rsid w:val="0015360E"/>
    <w:rsid w:val="00153C79"/>
    <w:rsid w:val="001554A8"/>
    <w:rsid w:val="001568AB"/>
    <w:rsid w:val="0015787A"/>
    <w:rsid w:val="001604ED"/>
    <w:rsid w:val="00160E56"/>
    <w:rsid w:val="00165104"/>
    <w:rsid w:val="00165FBC"/>
    <w:rsid w:val="00166803"/>
    <w:rsid w:val="00167E09"/>
    <w:rsid w:val="001714BF"/>
    <w:rsid w:val="00172C83"/>
    <w:rsid w:val="00176133"/>
    <w:rsid w:val="00176C1B"/>
    <w:rsid w:val="00177949"/>
    <w:rsid w:val="00180123"/>
    <w:rsid w:val="00180B21"/>
    <w:rsid w:val="00181619"/>
    <w:rsid w:val="0018354F"/>
    <w:rsid w:val="00183637"/>
    <w:rsid w:val="0018379B"/>
    <w:rsid w:val="001839AD"/>
    <w:rsid w:val="00185768"/>
    <w:rsid w:val="00185E07"/>
    <w:rsid w:val="00185E6C"/>
    <w:rsid w:val="00185EF6"/>
    <w:rsid w:val="00187856"/>
    <w:rsid w:val="0019081C"/>
    <w:rsid w:val="001933BB"/>
    <w:rsid w:val="0019446E"/>
    <w:rsid w:val="0019527B"/>
    <w:rsid w:val="001954A6"/>
    <w:rsid w:val="0019568F"/>
    <w:rsid w:val="00196559"/>
    <w:rsid w:val="00196EEC"/>
    <w:rsid w:val="00197E12"/>
    <w:rsid w:val="001A142B"/>
    <w:rsid w:val="001A1C82"/>
    <w:rsid w:val="001A248B"/>
    <w:rsid w:val="001A2E14"/>
    <w:rsid w:val="001A3A13"/>
    <w:rsid w:val="001A609A"/>
    <w:rsid w:val="001A67C7"/>
    <w:rsid w:val="001B195E"/>
    <w:rsid w:val="001B3253"/>
    <w:rsid w:val="001B362D"/>
    <w:rsid w:val="001B4A2A"/>
    <w:rsid w:val="001B56A9"/>
    <w:rsid w:val="001B6BCA"/>
    <w:rsid w:val="001B706D"/>
    <w:rsid w:val="001C299A"/>
    <w:rsid w:val="001C2EF1"/>
    <w:rsid w:val="001C2FDF"/>
    <w:rsid w:val="001C4733"/>
    <w:rsid w:val="001C64F3"/>
    <w:rsid w:val="001C71A7"/>
    <w:rsid w:val="001C79D9"/>
    <w:rsid w:val="001D02DE"/>
    <w:rsid w:val="001D108A"/>
    <w:rsid w:val="001D2EB4"/>
    <w:rsid w:val="001D410B"/>
    <w:rsid w:val="001D4DC6"/>
    <w:rsid w:val="001D683C"/>
    <w:rsid w:val="001D7E8B"/>
    <w:rsid w:val="001E0FC8"/>
    <w:rsid w:val="001E20E7"/>
    <w:rsid w:val="001E35FC"/>
    <w:rsid w:val="001E5352"/>
    <w:rsid w:val="001E5D0A"/>
    <w:rsid w:val="001F2E31"/>
    <w:rsid w:val="001F38DD"/>
    <w:rsid w:val="001F7745"/>
    <w:rsid w:val="001F7E80"/>
    <w:rsid w:val="0020149C"/>
    <w:rsid w:val="0020222E"/>
    <w:rsid w:val="002036A8"/>
    <w:rsid w:val="00203F13"/>
    <w:rsid w:val="00204C01"/>
    <w:rsid w:val="00205F25"/>
    <w:rsid w:val="00206EC3"/>
    <w:rsid w:val="00211A5A"/>
    <w:rsid w:val="0021409F"/>
    <w:rsid w:val="00215CF6"/>
    <w:rsid w:val="0021604D"/>
    <w:rsid w:val="002166E6"/>
    <w:rsid w:val="002200F3"/>
    <w:rsid w:val="00220A2E"/>
    <w:rsid w:val="00221512"/>
    <w:rsid w:val="00221774"/>
    <w:rsid w:val="002217A7"/>
    <w:rsid w:val="0022191A"/>
    <w:rsid w:val="0022355D"/>
    <w:rsid w:val="00224219"/>
    <w:rsid w:val="00224ABE"/>
    <w:rsid w:val="002339B5"/>
    <w:rsid w:val="00236D28"/>
    <w:rsid w:val="00237AF0"/>
    <w:rsid w:val="002407DB"/>
    <w:rsid w:val="00240AB0"/>
    <w:rsid w:val="00242384"/>
    <w:rsid w:val="00244136"/>
    <w:rsid w:val="00244B57"/>
    <w:rsid w:val="00246459"/>
    <w:rsid w:val="002468E5"/>
    <w:rsid w:val="0024787C"/>
    <w:rsid w:val="00250782"/>
    <w:rsid w:val="00252BAA"/>
    <w:rsid w:val="00252D72"/>
    <w:rsid w:val="00252D9D"/>
    <w:rsid w:val="00254445"/>
    <w:rsid w:val="0025462C"/>
    <w:rsid w:val="00256CE2"/>
    <w:rsid w:val="00262103"/>
    <w:rsid w:val="00262E61"/>
    <w:rsid w:val="0026377B"/>
    <w:rsid w:val="002670B6"/>
    <w:rsid w:val="00267B71"/>
    <w:rsid w:val="002712C3"/>
    <w:rsid w:val="002716C8"/>
    <w:rsid w:val="0027182F"/>
    <w:rsid w:val="0027260F"/>
    <w:rsid w:val="00272C6C"/>
    <w:rsid w:val="00272FF4"/>
    <w:rsid w:val="00273911"/>
    <w:rsid w:val="00273BB8"/>
    <w:rsid w:val="002754D9"/>
    <w:rsid w:val="002755EC"/>
    <w:rsid w:val="00275A10"/>
    <w:rsid w:val="00277F02"/>
    <w:rsid w:val="00281808"/>
    <w:rsid w:val="00281DCC"/>
    <w:rsid w:val="0028395D"/>
    <w:rsid w:val="002844AD"/>
    <w:rsid w:val="00285587"/>
    <w:rsid w:val="0028637A"/>
    <w:rsid w:val="00287C10"/>
    <w:rsid w:val="00290F0C"/>
    <w:rsid w:val="00291A95"/>
    <w:rsid w:val="00294F49"/>
    <w:rsid w:val="00295CA2"/>
    <w:rsid w:val="00295D13"/>
    <w:rsid w:val="00296AD3"/>
    <w:rsid w:val="00296FEE"/>
    <w:rsid w:val="00297E36"/>
    <w:rsid w:val="002A6BCA"/>
    <w:rsid w:val="002A755B"/>
    <w:rsid w:val="002A780A"/>
    <w:rsid w:val="002B0D3E"/>
    <w:rsid w:val="002B0E8D"/>
    <w:rsid w:val="002B14FE"/>
    <w:rsid w:val="002B15F7"/>
    <w:rsid w:val="002B25B5"/>
    <w:rsid w:val="002B2A2D"/>
    <w:rsid w:val="002B2FEE"/>
    <w:rsid w:val="002B3C8D"/>
    <w:rsid w:val="002B3ECB"/>
    <w:rsid w:val="002B5EE8"/>
    <w:rsid w:val="002B645D"/>
    <w:rsid w:val="002B70E5"/>
    <w:rsid w:val="002B72F2"/>
    <w:rsid w:val="002B7F7F"/>
    <w:rsid w:val="002C036D"/>
    <w:rsid w:val="002C3071"/>
    <w:rsid w:val="002C3390"/>
    <w:rsid w:val="002C3C64"/>
    <w:rsid w:val="002C4515"/>
    <w:rsid w:val="002C4DFE"/>
    <w:rsid w:val="002C6646"/>
    <w:rsid w:val="002C7956"/>
    <w:rsid w:val="002D381B"/>
    <w:rsid w:val="002D59F7"/>
    <w:rsid w:val="002D7E49"/>
    <w:rsid w:val="002E0AC5"/>
    <w:rsid w:val="002E140E"/>
    <w:rsid w:val="002E1A08"/>
    <w:rsid w:val="002E2B2D"/>
    <w:rsid w:val="002E40DF"/>
    <w:rsid w:val="002E5757"/>
    <w:rsid w:val="002E61BB"/>
    <w:rsid w:val="002E638F"/>
    <w:rsid w:val="002E7DB6"/>
    <w:rsid w:val="002F036D"/>
    <w:rsid w:val="002F03F5"/>
    <w:rsid w:val="002F2C9E"/>
    <w:rsid w:val="00300459"/>
    <w:rsid w:val="003009B3"/>
    <w:rsid w:val="003017C0"/>
    <w:rsid w:val="0030202D"/>
    <w:rsid w:val="003031B0"/>
    <w:rsid w:val="00303EFC"/>
    <w:rsid w:val="00307751"/>
    <w:rsid w:val="00307FB1"/>
    <w:rsid w:val="00313E9B"/>
    <w:rsid w:val="00315D7B"/>
    <w:rsid w:val="0031760F"/>
    <w:rsid w:val="00320936"/>
    <w:rsid w:val="00320AA7"/>
    <w:rsid w:val="003223B7"/>
    <w:rsid w:val="00323F18"/>
    <w:rsid w:val="00324048"/>
    <w:rsid w:val="00325D59"/>
    <w:rsid w:val="00330491"/>
    <w:rsid w:val="0033099E"/>
    <w:rsid w:val="00331D8A"/>
    <w:rsid w:val="003338B0"/>
    <w:rsid w:val="00334F73"/>
    <w:rsid w:val="0033640D"/>
    <w:rsid w:val="0034293B"/>
    <w:rsid w:val="00343BAD"/>
    <w:rsid w:val="0034488E"/>
    <w:rsid w:val="003451CA"/>
    <w:rsid w:val="003457DA"/>
    <w:rsid w:val="00346F88"/>
    <w:rsid w:val="00347D64"/>
    <w:rsid w:val="003518DF"/>
    <w:rsid w:val="003537E3"/>
    <w:rsid w:val="00357660"/>
    <w:rsid w:val="00364C43"/>
    <w:rsid w:val="003651D7"/>
    <w:rsid w:val="00365C95"/>
    <w:rsid w:val="00367348"/>
    <w:rsid w:val="00367881"/>
    <w:rsid w:val="003678D3"/>
    <w:rsid w:val="00367ABC"/>
    <w:rsid w:val="003751B0"/>
    <w:rsid w:val="00375737"/>
    <w:rsid w:val="00376270"/>
    <w:rsid w:val="00376344"/>
    <w:rsid w:val="003767D4"/>
    <w:rsid w:val="00376940"/>
    <w:rsid w:val="0037743E"/>
    <w:rsid w:val="0038415E"/>
    <w:rsid w:val="00385148"/>
    <w:rsid w:val="003858FA"/>
    <w:rsid w:val="00386184"/>
    <w:rsid w:val="00387056"/>
    <w:rsid w:val="00390668"/>
    <w:rsid w:val="0039189C"/>
    <w:rsid w:val="00392A66"/>
    <w:rsid w:val="00393089"/>
    <w:rsid w:val="0039319E"/>
    <w:rsid w:val="00393662"/>
    <w:rsid w:val="00393A2F"/>
    <w:rsid w:val="00393BDF"/>
    <w:rsid w:val="00397A6F"/>
    <w:rsid w:val="003A02BB"/>
    <w:rsid w:val="003A03B9"/>
    <w:rsid w:val="003A2448"/>
    <w:rsid w:val="003A29F0"/>
    <w:rsid w:val="003A4367"/>
    <w:rsid w:val="003A4A79"/>
    <w:rsid w:val="003A586C"/>
    <w:rsid w:val="003A6CE0"/>
    <w:rsid w:val="003A78F3"/>
    <w:rsid w:val="003A7B86"/>
    <w:rsid w:val="003B0370"/>
    <w:rsid w:val="003B037C"/>
    <w:rsid w:val="003B3965"/>
    <w:rsid w:val="003B3BCD"/>
    <w:rsid w:val="003B5013"/>
    <w:rsid w:val="003B5B5F"/>
    <w:rsid w:val="003B6903"/>
    <w:rsid w:val="003C0ACE"/>
    <w:rsid w:val="003C240B"/>
    <w:rsid w:val="003C38E8"/>
    <w:rsid w:val="003C545F"/>
    <w:rsid w:val="003C5B6F"/>
    <w:rsid w:val="003C67F2"/>
    <w:rsid w:val="003D1E3B"/>
    <w:rsid w:val="003D56C8"/>
    <w:rsid w:val="003D58C0"/>
    <w:rsid w:val="003E5AE7"/>
    <w:rsid w:val="003F293A"/>
    <w:rsid w:val="003F2FAD"/>
    <w:rsid w:val="003F55B8"/>
    <w:rsid w:val="003F7410"/>
    <w:rsid w:val="003F748A"/>
    <w:rsid w:val="003F74FA"/>
    <w:rsid w:val="00400707"/>
    <w:rsid w:val="00400C04"/>
    <w:rsid w:val="00401076"/>
    <w:rsid w:val="004010D2"/>
    <w:rsid w:val="004019C5"/>
    <w:rsid w:val="00404863"/>
    <w:rsid w:val="0040617B"/>
    <w:rsid w:val="004071DE"/>
    <w:rsid w:val="00411CCC"/>
    <w:rsid w:val="00412CC6"/>
    <w:rsid w:val="00417C72"/>
    <w:rsid w:val="00421F9E"/>
    <w:rsid w:val="00422441"/>
    <w:rsid w:val="00423F7A"/>
    <w:rsid w:val="00424B01"/>
    <w:rsid w:val="00430258"/>
    <w:rsid w:val="004312E2"/>
    <w:rsid w:val="00432629"/>
    <w:rsid w:val="0043317B"/>
    <w:rsid w:val="00433A80"/>
    <w:rsid w:val="00433D80"/>
    <w:rsid w:val="00435032"/>
    <w:rsid w:val="00437832"/>
    <w:rsid w:val="00442237"/>
    <w:rsid w:val="00442A05"/>
    <w:rsid w:val="004459A8"/>
    <w:rsid w:val="00446CCF"/>
    <w:rsid w:val="00451316"/>
    <w:rsid w:val="004518EA"/>
    <w:rsid w:val="00451C62"/>
    <w:rsid w:val="004608D0"/>
    <w:rsid w:val="00461230"/>
    <w:rsid w:val="0046137E"/>
    <w:rsid w:val="00461FEB"/>
    <w:rsid w:val="00462064"/>
    <w:rsid w:val="00463338"/>
    <w:rsid w:val="0046421B"/>
    <w:rsid w:val="00464C47"/>
    <w:rsid w:val="004663DD"/>
    <w:rsid w:val="00466A26"/>
    <w:rsid w:val="00467D6A"/>
    <w:rsid w:val="00470481"/>
    <w:rsid w:val="00470635"/>
    <w:rsid w:val="00472F92"/>
    <w:rsid w:val="004732FF"/>
    <w:rsid w:val="00473AC1"/>
    <w:rsid w:val="0047474F"/>
    <w:rsid w:val="004755FD"/>
    <w:rsid w:val="00475F79"/>
    <w:rsid w:val="00477C89"/>
    <w:rsid w:val="004809D5"/>
    <w:rsid w:val="00481971"/>
    <w:rsid w:val="00484AD1"/>
    <w:rsid w:val="00486FDB"/>
    <w:rsid w:val="00487787"/>
    <w:rsid w:val="00487D77"/>
    <w:rsid w:val="00491BBE"/>
    <w:rsid w:val="00493771"/>
    <w:rsid w:val="00494227"/>
    <w:rsid w:val="004944ED"/>
    <w:rsid w:val="004972C4"/>
    <w:rsid w:val="00497E81"/>
    <w:rsid w:val="004A00A9"/>
    <w:rsid w:val="004A0A45"/>
    <w:rsid w:val="004A120C"/>
    <w:rsid w:val="004A1989"/>
    <w:rsid w:val="004A3430"/>
    <w:rsid w:val="004A47AF"/>
    <w:rsid w:val="004A685C"/>
    <w:rsid w:val="004B2456"/>
    <w:rsid w:val="004B349B"/>
    <w:rsid w:val="004B7192"/>
    <w:rsid w:val="004C19E3"/>
    <w:rsid w:val="004C3ECA"/>
    <w:rsid w:val="004D2142"/>
    <w:rsid w:val="004D33A5"/>
    <w:rsid w:val="004D6DA7"/>
    <w:rsid w:val="004E2F5B"/>
    <w:rsid w:val="004E57BC"/>
    <w:rsid w:val="004E5E39"/>
    <w:rsid w:val="004F0508"/>
    <w:rsid w:val="004F39C9"/>
    <w:rsid w:val="004F41BF"/>
    <w:rsid w:val="004F449F"/>
    <w:rsid w:val="004F7885"/>
    <w:rsid w:val="004F7F1D"/>
    <w:rsid w:val="004F7F73"/>
    <w:rsid w:val="00500EBB"/>
    <w:rsid w:val="005026F8"/>
    <w:rsid w:val="00502716"/>
    <w:rsid w:val="005041DE"/>
    <w:rsid w:val="00506A16"/>
    <w:rsid w:val="00507A29"/>
    <w:rsid w:val="00510752"/>
    <w:rsid w:val="00510EFC"/>
    <w:rsid w:val="00510FE3"/>
    <w:rsid w:val="00512228"/>
    <w:rsid w:val="00512EEE"/>
    <w:rsid w:val="0051446E"/>
    <w:rsid w:val="005164B7"/>
    <w:rsid w:val="005170B7"/>
    <w:rsid w:val="00517CDB"/>
    <w:rsid w:val="00517F41"/>
    <w:rsid w:val="00525902"/>
    <w:rsid w:val="00531195"/>
    <w:rsid w:val="005340EA"/>
    <w:rsid w:val="005350E2"/>
    <w:rsid w:val="0053714C"/>
    <w:rsid w:val="00537FD1"/>
    <w:rsid w:val="00540735"/>
    <w:rsid w:val="00540C19"/>
    <w:rsid w:val="00541D4C"/>
    <w:rsid w:val="005430B4"/>
    <w:rsid w:val="0054327C"/>
    <w:rsid w:val="005453DA"/>
    <w:rsid w:val="00545B50"/>
    <w:rsid w:val="00545B54"/>
    <w:rsid w:val="005465EB"/>
    <w:rsid w:val="00547354"/>
    <w:rsid w:val="00547C6D"/>
    <w:rsid w:val="00551364"/>
    <w:rsid w:val="00552CC9"/>
    <w:rsid w:val="00553807"/>
    <w:rsid w:val="00560FCA"/>
    <w:rsid w:val="00561441"/>
    <w:rsid w:val="00561F78"/>
    <w:rsid w:val="00563911"/>
    <w:rsid w:val="00563CD3"/>
    <w:rsid w:val="005642FB"/>
    <w:rsid w:val="00565F4C"/>
    <w:rsid w:val="00566457"/>
    <w:rsid w:val="00567DCE"/>
    <w:rsid w:val="00573937"/>
    <w:rsid w:val="00575E1C"/>
    <w:rsid w:val="0058417D"/>
    <w:rsid w:val="00584E64"/>
    <w:rsid w:val="00587450"/>
    <w:rsid w:val="00587DFF"/>
    <w:rsid w:val="005907A2"/>
    <w:rsid w:val="005943A8"/>
    <w:rsid w:val="00594ED2"/>
    <w:rsid w:val="005A035A"/>
    <w:rsid w:val="005A07C2"/>
    <w:rsid w:val="005A09A1"/>
    <w:rsid w:val="005A0CBF"/>
    <w:rsid w:val="005A1010"/>
    <w:rsid w:val="005A17DF"/>
    <w:rsid w:val="005A4BA3"/>
    <w:rsid w:val="005A5887"/>
    <w:rsid w:val="005A64D6"/>
    <w:rsid w:val="005A6855"/>
    <w:rsid w:val="005A74BF"/>
    <w:rsid w:val="005A76D4"/>
    <w:rsid w:val="005B021D"/>
    <w:rsid w:val="005B13B4"/>
    <w:rsid w:val="005B1D3B"/>
    <w:rsid w:val="005B503D"/>
    <w:rsid w:val="005B546F"/>
    <w:rsid w:val="005B5D4A"/>
    <w:rsid w:val="005B63B5"/>
    <w:rsid w:val="005B7320"/>
    <w:rsid w:val="005B788A"/>
    <w:rsid w:val="005C0283"/>
    <w:rsid w:val="005C071A"/>
    <w:rsid w:val="005C0F37"/>
    <w:rsid w:val="005C0FB3"/>
    <w:rsid w:val="005C30C4"/>
    <w:rsid w:val="005C4793"/>
    <w:rsid w:val="005C4D73"/>
    <w:rsid w:val="005C56B9"/>
    <w:rsid w:val="005C69F6"/>
    <w:rsid w:val="005C7642"/>
    <w:rsid w:val="005D02E4"/>
    <w:rsid w:val="005D3BBD"/>
    <w:rsid w:val="005D442E"/>
    <w:rsid w:val="005D6C07"/>
    <w:rsid w:val="005E1BEF"/>
    <w:rsid w:val="005E2C4E"/>
    <w:rsid w:val="005E391A"/>
    <w:rsid w:val="005E5491"/>
    <w:rsid w:val="005E5C0D"/>
    <w:rsid w:val="005E5CE5"/>
    <w:rsid w:val="005E619A"/>
    <w:rsid w:val="005F19E4"/>
    <w:rsid w:val="005F296A"/>
    <w:rsid w:val="005F350E"/>
    <w:rsid w:val="005F47BA"/>
    <w:rsid w:val="005F4B6F"/>
    <w:rsid w:val="005F4D5F"/>
    <w:rsid w:val="005F5E2C"/>
    <w:rsid w:val="005F677B"/>
    <w:rsid w:val="00601143"/>
    <w:rsid w:val="0060168F"/>
    <w:rsid w:val="00601AF3"/>
    <w:rsid w:val="00601FD2"/>
    <w:rsid w:val="00603767"/>
    <w:rsid w:val="00604463"/>
    <w:rsid w:val="0060589F"/>
    <w:rsid w:val="00605A02"/>
    <w:rsid w:val="00605F09"/>
    <w:rsid w:val="006061B1"/>
    <w:rsid w:val="0060621B"/>
    <w:rsid w:val="0060631C"/>
    <w:rsid w:val="00606E51"/>
    <w:rsid w:val="006076F0"/>
    <w:rsid w:val="006079C7"/>
    <w:rsid w:val="0061019F"/>
    <w:rsid w:val="00611EE4"/>
    <w:rsid w:val="00612068"/>
    <w:rsid w:val="0061337B"/>
    <w:rsid w:val="0061363F"/>
    <w:rsid w:val="00614891"/>
    <w:rsid w:val="00616A9E"/>
    <w:rsid w:val="00616ADF"/>
    <w:rsid w:val="00616B7F"/>
    <w:rsid w:val="006172DC"/>
    <w:rsid w:val="006178DF"/>
    <w:rsid w:val="00620FB3"/>
    <w:rsid w:val="006228A0"/>
    <w:rsid w:val="00623A41"/>
    <w:rsid w:val="00624C76"/>
    <w:rsid w:val="00625E92"/>
    <w:rsid w:val="006270B8"/>
    <w:rsid w:val="00627395"/>
    <w:rsid w:val="006279F5"/>
    <w:rsid w:val="00630E19"/>
    <w:rsid w:val="00631892"/>
    <w:rsid w:val="00631DF3"/>
    <w:rsid w:val="00631E35"/>
    <w:rsid w:val="0063584B"/>
    <w:rsid w:val="00635C35"/>
    <w:rsid w:val="006375A7"/>
    <w:rsid w:val="00641870"/>
    <w:rsid w:val="00642EFA"/>
    <w:rsid w:val="006453B2"/>
    <w:rsid w:val="00646077"/>
    <w:rsid w:val="006468FB"/>
    <w:rsid w:val="006476C4"/>
    <w:rsid w:val="006479AF"/>
    <w:rsid w:val="006507D9"/>
    <w:rsid w:val="00651FAE"/>
    <w:rsid w:val="006522B1"/>
    <w:rsid w:val="0065272E"/>
    <w:rsid w:val="0065319A"/>
    <w:rsid w:val="00654F82"/>
    <w:rsid w:val="006558BD"/>
    <w:rsid w:val="00657074"/>
    <w:rsid w:val="006576BF"/>
    <w:rsid w:val="00657FF6"/>
    <w:rsid w:val="00660FB5"/>
    <w:rsid w:val="00665FA3"/>
    <w:rsid w:val="00667668"/>
    <w:rsid w:val="00667F35"/>
    <w:rsid w:val="006701A4"/>
    <w:rsid w:val="00672646"/>
    <w:rsid w:val="00672AED"/>
    <w:rsid w:val="00672DBA"/>
    <w:rsid w:val="006737FB"/>
    <w:rsid w:val="00674D5D"/>
    <w:rsid w:val="006750DE"/>
    <w:rsid w:val="006816AE"/>
    <w:rsid w:val="006878F5"/>
    <w:rsid w:val="006920F5"/>
    <w:rsid w:val="00692DDE"/>
    <w:rsid w:val="0069308D"/>
    <w:rsid w:val="00693624"/>
    <w:rsid w:val="00694261"/>
    <w:rsid w:val="006965E6"/>
    <w:rsid w:val="006A0EEA"/>
    <w:rsid w:val="006A1CAB"/>
    <w:rsid w:val="006A4A34"/>
    <w:rsid w:val="006A50C6"/>
    <w:rsid w:val="006A589E"/>
    <w:rsid w:val="006A64F3"/>
    <w:rsid w:val="006A6562"/>
    <w:rsid w:val="006A71E3"/>
    <w:rsid w:val="006B0751"/>
    <w:rsid w:val="006B08D8"/>
    <w:rsid w:val="006B0ED1"/>
    <w:rsid w:val="006B150C"/>
    <w:rsid w:val="006B1AEA"/>
    <w:rsid w:val="006B23ED"/>
    <w:rsid w:val="006B3A1B"/>
    <w:rsid w:val="006B610C"/>
    <w:rsid w:val="006B6E08"/>
    <w:rsid w:val="006B7CD8"/>
    <w:rsid w:val="006B7CE0"/>
    <w:rsid w:val="006C21BD"/>
    <w:rsid w:val="006C2465"/>
    <w:rsid w:val="006C2D74"/>
    <w:rsid w:val="006C30DB"/>
    <w:rsid w:val="006C54F0"/>
    <w:rsid w:val="006C580B"/>
    <w:rsid w:val="006C696E"/>
    <w:rsid w:val="006C7F65"/>
    <w:rsid w:val="006D0E37"/>
    <w:rsid w:val="006D18F0"/>
    <w:rsid w:val="006D1C3B"/>
    <w:rsid w:val="006D2DA9"/>
    <w:rsid w:val="006D3F01"/>
    <w:rsid w:val="006D59A3"/>
    <w:rsid w:val="006D62A7"/>
    <w:rsid w:val="006E06E5"/>
    <w:rsid w:val="006E0969"/>
    <w:rsid w:val="006E096F"/>
    <w:rsid w:val="006E0C3C"/>
    <w:rsid w:val="006E1119"/>
    <w:rsid w:val="006E1291"/>
    <w:rsid w:val="006E25C7"/>
    <w:rsid w:val="006E50BE"/>
    <w:rsid w:val="006F0840"/>
    <w:rsid w:val="006F17EC"/>
    <w:rsid w:val="006F3B1E"/>
    <w:rsid w:val="006F53E0"/>
    <w:rsid w:val="006F565E"/>
    <w:rsid w:val="006F5660"/>
    <w:rsid w:val="006F5E88"/>
    <w:rsid w:val="006F5F2B"/>
    <w:rsid w:val="006F7EA6"/>
    <w:rsid w:val="00700567"/>
    <w:rsid w:val="007017E0"/>
    <w:rsid w:val="007025DC"/>
    <w:rsid w:val="00703DBF"/>
    <w:rsid w:val="00704612"/>
    <w:rsid w:val="00705353"/>
    <w:rsid w:val="00705DF8"/>
    <w:rsid w:val="007068EB"/>
    <w:rsid w:val="00706C1D"/>
    <w:rsid w:val="00710536"/>
    <w:rsid w:val="00710FFB"/>
    <w:rsid w:val="007113C2"/>
    <w:rsid w:val="00711929"/>
    <w:rsid w:val="00711B3E"/>
    <w:rsid w:val="00712FDB"/>
    <w:rsid w:val="00713384"/>
    <w:rsid w:val="00713832"/>
    <w:rsid w:val="00714860"/>
    <w:rsid w:val="00714C53"/>
    <w:rsid w:val="00715250"/>
    <w:rsid w:val="00715AA9"/>
    <w:rsid w:val="00716767"/>
    <w:rsid w:val="00716AF2"/>
    <w:rsid w:val="00717E34"/>
    <w:rsid w:val="00721EB9"/>
    <w:rsid w:val="00723F21"/>
    <w:rsid w:val="00725157"/>
    <w:rsid w:val="0072717F"/>
    <w:rsid w:val="00727314"/>
    <w:rsid w:val="00727D42"/>
    <w:rsid w:val="00730D38"/>
    <w:rsid w:val="00730D5C"/>
    <w:rsid w:val="00734F59"/>
    <w:rsid w:val="00740CDB"/>
    <w:rsid w:val="0074128B"/>
    <w:rsid w:val="00743D3A"/>
    <w:rsid w:val="0075240D"/>
    <w:rsid w:val="00754D92"/>
    <w:rsid w:val="00757ADF"/>
    <w:rsid w:val="007626AB"/>
    <w:rsid w:val="00762902"/>
    <w:rsid w:val="00762D2D"/>
    <w:rsid w:val="00763185"/>
    <w:rsid w:val="0076354B"/>
    <w:rsid w:val="00764BDE"/>
    <w:rsid w:val="007657F4"/>
    <w:rsid w:val="00765884"/>
    <w:rsid w:val="00765DDD"/>
    <w:rsid w:val="00771D7A"/>
    <w:rsid w:val="00772594"/>
    <w:rsid w:val="00772633"/>
    <w:rsid w:val="007738B1"/>
    <w:rsid w:val="0077490F"/>
    <w:rsid w:val="007838FB"/>
    <w:rsid w:val="00783E95"/>
    <w:rsid w:val="00784612"/>
    <w:rsid w:val="00784776"/>
    <w:rsid w:val="007847A0"/>
    <w:rsid w:val="00787A65"/>
    <w:rsid w:val="00790CCB"/>
    <w:rsid w:val="0079212D"/>
    <w:rsid w:val="00793A74"/>
    <w:rsid w:val="007952E0"/>
    <w:rsid w:val="00795421"/>
    <w:rsid w:val="00795ACD"/>
    <w:rsid w:val="0079623F"/>
    <w:rsid w:val="007965CE"/>
    <w:rsid w:val="007979FB"/>
    <w:rsid w:val="00797C7E"/>
    <w:rsid w:val="007A0776"/>
    <w:rsid w:val="007A090A"/>
    <w:rsid w:val="007A1529"/>
    <w:rsid w:val="007A2841"/>
    <w:rsid w:val="007A7346"/>
    <w:rsid w:val="007A7620"/>
    <w:rsid w:val="007B0091"/>
    <w:rsid w:val="007B03B3"/>
    <w:rsid w:val="007B1A51"/>
    <w:rsid w:val="007B25DB"/>
    <w:rsid w:val="007B33E3"/>
    <w:rsid w:val="007B3CD0"/>
    <w:rsid w:val="007B4BBD"/>
    <w:rsid w:val="007B58F0"/>
    <w:rsid w:val="007B60E5"/>
    <w:rsid w:val="007B6EFE"/>
    <w:rsid w:val="007B76D5"/>
    <w:rsid w:val="007C3A15"/>
    <w:rsid w:val="007C3CA5"/>
    <w:rsid w:val="007C45A9"/>
    <w:rsid w:val="007C5D8C"/>
    <w:rsid w:val="007D168D"/>
    <w:rsid w:val="007D175E"/>
    <w:rsid w:val="007D3775"/>
    <w:rsid w:val="007D3BF5"/>
    <w:rsid w:val="007D566A"/>
    <w:rsid w:val="007D5FAC"/>
    <w:rsid w:val="007D63D9"/>
    <w:rsid w:val="007D6A06"/>
    <w:rsid w:val="007D76A0"/>
    <w:rsid w:val="007E170F"/>
    <w:rsid w:val="007E1C38"/>
    <w:rsid w:val="007E47F3"/>
    <w:rsid w:val="007E48E8"/>
    <w:rsid w:val="007E53B8"/>
    <w:rsid w:val="007E757A"/>
    <w:rsid w:val="007E78A5"/>
    <w:rsid w:val="007F00F8"/>
    <w:rsid w:val="007F1D26"/>
    <w:rsid w:val="007F1E13"/>
    <w:rsid w:val="007F3323"/>
    <w:rsid w:val="007F35D0"/>
    <w:rsid w:val="007F4B1D"/>
    <w:rsid w:val="007F7982"/>
    <w:rsid w:val="007F7B3F"/>
    <w:rsid w:val="007F7EB9"/>
    <w:rsid w:val="00800640"/>
    <w:rsid w:val="00800DAF"/>
    <w:rsid w:val="00800E9F"/>
    <w:rsid w:val="0080200E"/>
    <w:rsid w:val="00802DF4"/>
    <w:rsid w:val="008035F2"/>
    <w:rsid w:val="008036BF"/>
    <w:rsid w:val="00804160"/>
    <w:rsid w:val="00805B03"/>
    <w:rsid w:val="00806284"/>
    <w:rsid w:val="0080636E"/>
    <w:rsid w:val="008065F0"/>
    <w:rsid w:val="00810E1B"/>
    <w:rsid w:val="00821C93"/>
    <w:rsid w:val="0082604B"/>
    <w:rsid w:val="008263D0"/>
    <w:rsid w:val="00826B92"/>
    <w:rsid w:val="00827164"/>
    <w:rsid w:val="00827CEE"/>
    <w:rsid w:val="008313BA"/>
    <w:rsid w:val="00833F1D"/>
    <w:rsid w:val="0083614D"/>
    <w:rsid w:val="008377CE"/>
    <w:rsid w:val="00837F8B"/>
    <w:rsid w:val="00843C39"/>
    <w:rsid w:val="00844A3A"/>
    <w:rsid w:val="00847FAC"/>
    <w:rsid w:val="008513B5"/>
    <w:rsid w:val="0085686F"/>
    <w:rsid w:val="00856F55"/>
    <w:rsid w:val="008573DC"/>
    <w:rsid w:val="00860989"/>
    <w:rsid w:val="00860EC8"/>
    <w:rsid w:val="008622A5"/>
    <w:rsid w:val="00862DA8"/>
    <w:rsid w:val="00863C51"/>
    <w:rsid w:val="00865DB1"/>
    <w:rsid w:val="0086673A"/>
    <w:rsid w:val="0086690A"/>
    <w:rsid w:val="008670FE"/>
    <w:rsid w:val="00867C74"/>
    <w:rsid w:val="00867EF3"/>
    <w:rsid w:val="00870152"/>
    <w:rsid w:val="0087087F"/>
    <w:rsid w:val="00871212"/>
    <w:rsid w:val="00871974"/>
    <w:rsid w:val="00872A96"/>
    <w:rsid w:val="0087336F"/>
    <w:rsid w:val="00873B92"/>
    <w:rsid w:val="00874EB1"/>
    <w:rsid w:val="0087591C"/>
    <w:rsid w:val="008813D4"/>
    <w:rsid w:val="008825E9"/>
    <w:rsid w:val="0088370A"/>
    <w:rsid w:val="00883E96"/>
    <w:rsid w:val="00883EBA"/>
    <w:rsid w:val="00884E87"/>
    <w:rsid w:val="0088588B"/>
    <w:rsid w:val="00885A48"/>
    <w:rsid w:val="00885D87"/>
    <w:rsid w:val="0088648F"/>
    <w:rsid w:val="00886684"/>
    <w:rsid w:val="008870BA"/>
    <w:rsid w:val="00887825"/>
    <w:rsid w:val="00887B61"/>
    <w:rsid w:val="00887DBE"/>
    <w:rsid w:val="00890BB8"/>
    <w:rsid w:val="00891268"/>
    <w:rsid w:val="0089238B"/>
    <w:rsid w:val="008923EC"/>
    <w:rsid w:val="00892D07"/>
    <w:rsid w:val="00894900"/>
    <w:rsid w:val="00894EB7"/>
    <w:rsid w:val="00895C17"/>
    <w:rsid w:val="00895D1F"/>
    <w:rsid w:val="008974CA"/>
    <w:rsid w:val="008978DD"/>
    <w:rsid w:val="008A02B2"/>
    <w:rsid w:val="008A0449"/>
    <w:rsid w:val="008A15B6"/>
    <w:rsid w:val="008A17F5"/>
    <w:rsid w:val="008A6836"/>
    <w:rsid w:val="008A7CA1"/>
    <w:rsid w:val="008A7E23"/>
    <w:rsid w:val="008B0E31"/>
    <w:rsid w:val="008B1490"/>
    <w:rsid w:val="008B3019"/>
    <w:rsid w:val="008B3CF2"/>
    <w:rsid w:val="008B5042"/>
    <w:rsid w:val="008B592E"/>
    <w:rsid w:val="008B79A8"/>
    <w:rsid w:val="008C1BF8"/>
    <w:rsid w:val="008C2A78"/>
    <w:rsid w:val="008C359F"/>
    <w:rsid w:val="008C62DD"/>
    <w:rsid w:val="008C6770"/>
    <w:rsid w:val="008D2488"/>
    <w:rsid w:val="008D44DE"/>
    <w:rsid w:val="008D6543"/>
    <w:rsid w:val="008D735D"/>
    <w:rsid w:val="008D7B3E"/>
    <w:rsid w:val="008E050C"/>
    <w:rsid w:val="008E2ED6"/>
    <w:rsid w:val="008E3787"/>
    <w:rsid w:val="008E5052"/>
    <w:rsid w:val="008E7B7C"/>
    <w:rsid w:val="008F08C9"/>
    <w:rsid w:val="008F2ED4"/>
    <w:rsid w:val="008F4C4C"/>
    <w:rsid w:val="00900170"/>
    <w:rsid w:val="009009DB"/>
    <w:rsid w:val="00900B3C"/>
    <w:rsid w:val="009024EF"/>
    <w:rsid w:val="00902E59"/>
    <w:rsid w:val="00903A63"/>
    <w:rsid w:val="009046F0"/>
    <w:rsid w:val="00905273"/>
    <w:rsid w:val="00905A7E"/>
    <w:rsid w:val="00906644"/>
    <w:rsid w:val="00907232"/>
    <w:rsid w:val="009110F2"/>
    <w:rsid w:val="009148B5"/>
    <w:rsid w:val="009155D5"/>
    <w:rsid w:val="00917047"/>
    <w:rsid w:val="00917C48"/>
    <w:rsid w:val="00920A01"/>
    <w:rsid w:val="00921AA6"/>
    <w:rsid w:val="00922348"/>
    <w:rsid w:val="009274D8"/>
    <w:rsid w:val="00931D37"/>
    <w:rsid w:val="00932458"/>
    <w:rsid w:val="009324F6"/>
    <w:rsid w:val="009332DC"/>
    <w:rsid w:val="00933625"/>
    <w:rsid w:val="00933F68"/>
    <w:rsid w:val="009360AC"/>
    <w:rsid w:val="00937210"/>
    <w:rsid w:val="00937BE1"/>
    <w:rsid w:val="00946B95"/>
    <w:rsid w:val="00946C49"/>
    <w:rsid w:val="00947334"/>
    <w:rsid w:val="00947D9D"/>
    <w:rsid w:val="00951D3C"/>
    <w:rsid w:val="00953093"/>
    <w:rsid w:val="0095442E"/>
    <w:rsid w:val="0095479E"/>
    <w:rsid w:val="00954FDB"/>
    <w:rsid w:val="00955C6B"/>
    <w:rsid w:val="00957EEC"/>
    <w:rsid w:val="00960012"/>
    <w:rsid w:val="009606E8"/>
    <w:rsid w:val="00961FCE"/>
    <w:rsid w:val="00962342"/>
    <w:rsid w:val="00963DD8"/>
    <w:rsid w:val="00964F2B"/>
    <w:rsid w:val="009678A0"/>
    <w:rsid w:val="00967F79"/>
    <w:rsid w:val="009708D4"/>
    <w:rsid w:val="00971CFC"/>
    <w:rsid w:val="00972337"/>
    <w:rsid w:val="0097368E"/>
    <w:rsid w:val="00974C24"/>
    <w:rsid w:val="00974DFE"/>
    <w:rsid w:val="00980216"/>
    <w:rsid w:val="00981FAD"/>
    <w:rsid w:val="00982A8B"/>
    <w:rsid w:val="00985802"/>
    <w:rsid w:val="00985873"/>
    <w:rsid w:val="00992330"/>
    <w:rsid w:val="00992A0A"/>
    <w:rsid w:val="00992B1B"/>
    <w:rsid w:val="009931EC"/>
    <w:rsid w:val="00993777"/>
    <w:rsid w:val="0099565B"/>
    <w:rsid w:val="00995A29"/>
    <w:rsid w:val="0099667D"/>
    <w:rsid w:val="00997EEA"/>
    <w:rsid w:val="009A09BD"/>
    <w:rsid w:val="009A23C4"/>
    <w:rsid w:val="009A4E35"/>
    <w:rsid w:val="009A6B73"/>
    <w:rsid w:val="009A74F7"/>
    <w:rsid w:val="009A78CF"/>
    <w:rsid w:val="009B0AE5"/>
    <w:rsid w:val="009B0CE7"/>
    <w:rsid w:val="009B2BB6"/>
    <w:rsid w:val="009B664F"/>
    <w:rsid w:val="009C015D"/>
    <w:rsid w:val="009C0E1B"/>
    <w:rsid w:val="009C7DE7"/>
    <w:rsid w:val="009D03D8"/>
    <w:rsid w:val="009D22DF"/>
    <w:rsid w:val="009D235A"/>
    <w:rsid w:val="009D5222"/>
    <w:rsid w:val="009D5738"/>
    <w:rsid w:val="009D5A1B"/>
    <w:rsid w:val="009D5A28"/>
    <w:rsid w:val="009D5B3E"/>
    <w:rsid w:val="009D5B75"/>
    <w:rsid w:val="009D6582"/>
    <w:rsid w:val="009D7B21"/>
    <w:rsid w:val="009E16DE"/>
    <w:rsid w:val="009E3426"/>
    <w:rsid w:val="009E4D20"/>
    <w:rsid w:val="009E5921"/>
    <w:rsid w:val="009E6162"/>
    <w:rsid w:val="009F0AF6"/>
    <w:rsid w:val="009F36A7"/>
    <w:rsid w:val="009F37FA"/>
    <w:rsid w:val="009F3FEB"/>
    <w:rsid w:val="009F495C"/>
    <w:rsid w:val="009F4DF9"/>
    <w:rsid w:val="009F5024"/>
    <w:rsid w:val="009F621C"/>
    <w:rsid w:val="009F6DDA"/>
    <w:rsid w:val="00A00E04"/>
    <w:rsid w:val="00A00ECC"/>
    <w:rsid w:val="00A015AF"/>
    <w:rsid w:val="00A0192E"/>
    <w:rsid w:val="00A0203F"/>
    <w:rsid w:val="00A02299"/>
    <w:rsid w:val="00A02F51"/>
    <w:rsid w:val="00A058CE"/>
    <w:rsid w:val="00A06ADE"/>
    <w:rsid w:val="00A13506"/>
    <w:rsid w:val="00A155FC"/>
    <w:rsid w:val="00A15660"/>
    <w:rsid w:val="00A15FF9"/>
    <w:rsid w:val="00A166AC"/>
    <w:rsid w:val="00A1686A"/>
    <w:rsid w:val="00A20483"/>
    <w:rsid w:val="00A204D5"/>
    <w:rsid w:val="00A21A65"/>
    <w:rsid w:val="00A233F3"/>
    <w:rsid w:val="00A237E0"/>
    <w:rsid w:val="00A23C0B"/>
    <w:rsid w:val="00A256A5"/>
    <w:rsid w:val="00A25921"/>
    <w:rsid w:val="00A25E0F"/>
    <w:rsid w:val="00A2772D"/>
    <w:rsid w:val="00A31239"/>
    <w:rsid w:val="00A324A0"/>
    <w:rsid w:val="00A33820"/>
    <w:rsid w:val="00A355E0"/>
    <w:rsid w:val="00A363E3"/>
    <w:rsid w:val="00A364C9"/>
    <w:rsid w:val="00A36935"/>
    <w:rsid w:val="00A36B23"/>
    <w:rsid w:val="00A3753E"/>
    <w:rsid w:val="00A4048C"/>
    <w:rsid w:val="00A40F3F"/>
    <w:rsid w:val="00A421A5"/>
    <w:rsid w:val="00A42530"/>
    <w:rsid w:val="00A42A18"/>
    <w:rsid w:val="00A434E0"/>
    <w:rsid w:val="00A43741"/>
    <w:rsid w:val="00A444A0"/>
    <w:rsid w:val="00A446BF"/>
    <w:rsid w:val="00A45894"/>
    <w:rsid w:val="00A47975"/>
    <w:rsid w:val="00A47DDE"/>
    <w:rsid w:val="00A52236"/>
    <w:rsid w:val="00A538BC"/>
    <w:rsid w:val="00A5486C"/>
    <w:rsid w:val="00A55F5E"/>
    <w:rsid w:val="00A56CC7"/>
    <w:rsid w:val="00A61394"/>
    <w:rsid w:val="00A61449"/>
    <w:rsid w:val="00A6238B"/>
    <w:rsid w:val="00A630A7"/>
    <w:rsid w:val="00A63469"/>
    <w:rsid w:val="00A64067"/>
    <w:rsid w:val="00A6445E"/>
    <w:rsid w:val="00A662C2"/>
    <w:rsid w:val="00A668CA"/>
    <w:rsid w:val="00A66B8E"/>
    <w:rsid w:val="00A66BA1"/>
    <w:rsid w:val="00A713C9"/>
    <w:rsid w:val="00A73EBF"/>
    <w:rsid w:val="00A7404B"/>
    <w:rsid w:val="00A757ED"/>
    <w:rsid w:val="00A76521"/>
    <w:rsid w:val="00A76795"/>
    <w:rsid w:val="00A77F00"/>
    <w:rsid w:val="00A833C0"/>
    <w:rsid w:val="00A838DE"/>
    <w:rsid w:val="00A84D48"/>
    <w:rsid w:val="00A8559D"/>
    <w:rsid w:val="00A85729"/>
    <w:rsid w:val="00A86A79"/>
    <w:rsid w:val="00A921D4"/>
    <w:rsid w:val="00A92F5C"/>
    <w:rsid w:val="00A941BE"/>
    <w:rsid w:val="00A94E43"/>
    <w:rsid w:val="00A97BB4"/>
    <w:rsid w:val="00AA248A"/>
    <w:rsid w:val="00AA35D3"/>
    <w:rsid w:val="00AA3981"/>
    <w:rsid w:val="00AB172C"/>
    <w:rsid w:val="00AB4511"/>
    <w:rsid w:val="00AB4790"/>
    <w:rsid w:val="00AB4F6D"/>
    <w:rsid w:val="00AB5AA4"/>
    <w:rsid w:val="00AB67EE"/>
    <w:rsid w:val="00AB68ED"/>
    <w:rsid w:val="00AB6E58"/>
    <w:rsid w:val="00AB7813"/>
    <w:rsid w:val="00AC094E"/>
    <w:rsid w:val="00AC22F1"/>
    <w:rsid w:val="00AC31D4"/>
    <w:rsid w:val="00AC4136"/>
    <w:rsid w:val="00AC48C9"/>
    <w:rsid w:val="00AC4D34"/>
    <w:rsid w:val="00AC5415"/>
    <w:rsid w:val="00AC55F1"/>
    <w:rsid w:val="00AC5FAE"/>
    <w:rsid w:val="00AD0731"/>
    <w:rsid w:val="00AD0826"/>
    <w:rsid w:val="00AD177C"/>
    <w:rsid w:val="00AD2A7C"/>
    <w:rsid w:val="00AD3727"/>
    <w:rsid w:val="00AD5CD2"/>
    <w:rsid w:val="00AD70D7"/>
    <w:rsid w:val="00AD7502"/>
    <w:rsid w:val="00AE2104"/>
    <w:rsid w:val="00AE3998"/>
    <w:rsid w:val="00AE474D"/>
    <w:rsid w:val="00AE4791"/>
    <w:rsid w:val="00AE47A3"/>
    <w:rsid w:val="00AE4D0C"/>
    <w:rsid w:val="00AF0F70"/>
    <w:rsid w:val="00AF2763"/>
    <w:rsid w:val="00AF4D76"/>
    <w:rsid w:val="00AF583D"/>
    <w:rsid w:val="00AF6CF7"/>
    <w:rsid w:val="00AF789F"/>
    <w:rsid w:val="00B0364A"/>
    <w:rsid w:val="00B03ACF"/>
    <w:rsid w:val="00B07B80"/>
    <w:rsid w:val="00B10083"/>
    <w:rsid w:val="00B103D5"/>
    <w:rsid w:val="00B10B26"/>
    <w:rsid w:val="00B12C11"/>
    <w:rsid w:val="00B15318"/>
    <w:rsid w:val="00B15A0A"/>
    <w:rsid w:val="00B15E36"/>
    <w:rsid w:val="00B1696A"/>
    <w:rsid w:val="00B17059"/>
    <w:rsid w:val="00B17C2A"/>
    <w:rsid w:val="00B21858"/>
    <w:rsid w:val="00B25403"/>
    <w:rsid w:val="00B32BA7"/>
    <w:rsid w:val="00B33652"/>
    <w:rsid w:val="00B34ABD"/>
    <w:rsid w:val="00B35CDF"/>
    <w:rsid w:val="00B35DD4"/>
    <w:rsid w:val="00B367AE"/>
    <w:rsid w:val="00B36B6C"/>
    <w:rsid w:val="00B36C08"/>
    <w:rsid w:val="00B3744B"/>
    <w:rsid w:val="00B4209F"/>
    <w:rsid w:val="00B432A2"/>
    <w:rsid w:val="00B47283"/>
    <w:rsid w:val="00B5061B"/>
    <w:rsid w:val="00B51139"/>
    <w:rsid w:val="00B5130E"/>
    <w:rsid w:val="00B51395"/>
    <w:rsid w:val="00B54A81"/>
    <w:rsid w:val="00B54EE7"/>
    <w:rsid w:val="00B556E9"/>
    <w:rsid w:val="00B55DD0"/>
    <w:rsid w:val="00B56F3D"/>
    <w:rsid w:val="00B57389"/>
    <w:rsid w:val="00B604EA"/>
    <w:rsid w:val="00B606B6"/>
    <w:rsid w:val="00B60ADD"/>
    <w:rsid w:val="00B62550"/>
    <w:rsid w:val="00B62C3C"/>
    <w:rsid w:val="00B62FFA"/>
    <w:rsid w:val="00B63801"/>
    <w:rsid w:val="00B64B1F"/>
    <w:rsid w:val="00B65C9B"/>
    <w:rsid w:val="00B67FC1"/>
    <w:rsid w:val="00B70613"/>
    <w:rsid w:val="00B7536E"/>
    <w:rsid w:val="00B813EA"/>
    <w:rsid w:val="00B84E1E"/>
    <w:rsid w:val="00B857C7"/>
    <w:rsid w:val="00B90732"/>
    <w:rsid w:val="00B91ED7"/>
    <w:rsid w:val="00B93E89"/>
    <w:rsid w:val="00B946C6"/>
    <w:rsid w:val="00B95789"/>
    <w:rsid w:val="00BA0DA4"/>
    <w:rsid w:val="00BA13AA"/>
    <w:rsid w:val="00BA6205"/>
    <w:rsid w:val="00BB0DD6"/>
    <w:rsid w:val="00BB15C0"/>
    <w:rsid w:val="00BB3DB7"/>
    <w:rsid w:val="00BB5200"/>
    <w:rsid w:val="00BB5387"/>
    <w:rsid w:val="00BB646D"/>
    <w:rsid w:val="00BB6BCD"/>
    <w:rsid w:val="00BC045B"/>
    <w:rsid w:val="00BC3951"/>
    <w:rsid w:val="00BC447D"/>
    <w:rsid w:val="00BC4A7F"/>
    <w:rsid w:val="00BC60B8"/>
    <w:rsid w:val="00BC6354"/>
    <w:rsid w:val="00BC74A3"/>
    <w:rsid w:val="00BC7E8E"/>
    <w:rsid w:val="00BD1598"/>
    <w:rsid w:val="00BD1BE4"/>
    <w:rsid w:val="00BD3C1B"/>
    <w:rsid w:val="00BD4454"/>
    <w:rsid w:val="00BD46BB"/>
    <w:rsid w:val="00BD518B"/>
    <w:rsid w:val="00BD57BF"/>
    <w:rsid w:val="00BD63F1"/>
    <w:rsid w:val="00BD6891"/>
    <w:rsid w:val="00BD790B"/>
    <w:rsid w:val="00BE12E3"/>
    <w:rsid w:val="00BE14C3"/>
    <w:rsid w:val="00BE392E"/>
    <w:rsid w:val="00BE47E5"/>
    <w:rsid w:val="00BE4F8C"/>
    <w:rsid w:val="00BE500D"/>
    <w:rsid w:val="00BE7429"/>
    <w:rsid w:val="00BF03A7"/>
    <w:rsid w:val="00BF1C26"/>
    <w:rsid w:val="00BF2331"/>
    <w:rsid w:val="00BF2EB2"/>
    <w:rsid w:val="00BF517B"/>
    <w:rsid w:val="00BF5CEA"/>
    <w:rsid w:val="00BF5E74"/>
    <w:rsid w:val="00BF642F"/>
    <w:rsid w:val="00BF6A75"/>
    <w:rsid w:val="00C00AA9"/>
    <w:rsid w:val="00C063A4"/>
    <w:rsid w:val="00C11327"/>
    <w:rsid w:val="00C13076"/>
    <w:rsid w:val="00C14F22"/>
    <w:rsid w:val="00C14F33"/>
    <w:rsid w:val="00C16092"/>
    <w:rsid w:val="00C164BF"/>
    <w:rsid w:val="00C166BF"/>
    <w:rsid w:val="00C16BE6"/>
    <w:rsid w:val="00C17312"/>
    <w:rsid w:val="00C1734E"/>
    <w:rsid w:val="00C17A00"/>
    <w:rsid w:val="00C207B3"/>
    <w:rsid w:val="00C2226D"/>
    <w:rsid w:val="00C23579"/>
    <w:rsid w:val="00C25A47"/>
    <w:rsid w:val="00C25DEC"/>
    <w:rsid w:val="00C309F2"/>
    <w:rsid w:val="00C326AA"/>
    <w:rsid w:val="00C32EEA"/>
    <w:rsid w:val="00C32F75"/>
    <w:rsid w:val="00C34D57"/>
    <w:rsid w:val="00C36BF0"/>
    <w:rsid w:val="00C415EB"/>
    <w:rsid w:val="00C4454A"/>
    <w:rsid w:val="00C45685"/>
    <w:rsid w:val="00C45B8A"/>
    <w:rsid w:val="00C47280"/>
    <w:rsid w:val="00C508EF"/>
    <w:rsid w:val="00C50BD2"/>
    <w:rsid w:val="00C5382C"/>
    <w:rsid w:val="00C54C1C"/>
    <w:rsid w:val="00C5636C"/>
    <w:rsid w:val="00C60059"/>
    <w:rsid w:val="00C601E6"/>
    <w:rsid w:val="00C61EA9"/>
    <w:rsid w:val="00C61ED1"/>
    <w:rsid w:val="00C64C19"/>
    <w:rsid w:val="00C64CD8"/>
    <w:rsid w:val="00C64F5C"/>
    <w:rsid w:val="00C65075"/>
    <w:rsid w:val="00C65506"/>
    <w:rsid w:val="00C70F2A"/>
    <w:rsid w:val="00C71C3F"/>
    <w:rsid w:val="00C75636"/>
    <w:rsid w:val="00C8192F"/>
    <w:rsid w:val="00C84299"/>
    <w:rsid w:val="00C84357"/>
    <w:rsid w:val="00C8454A"/>
    <w:rsid w:val="00C849B1"/>
    <w:rsid w:val="00C85A09"/>
    <w:rsid w:val="00C85D41"/>
    <w:rsid w:val="00C87C6B"/>
    <w:rsid w:val="00C87FD0"/>
    <w:rsid w:val="00C903E4"/>
    <w:rsid w:val="00C90858"/>
    <w:rsid w:val="00C934BF"/>
    <w:rsid w:val="00C94A73"/>
    <w:rsid w:val="00C96938"/>
    <w:rsid w:val="00C9742B"/>
    <w:rsid w:val="00CA2A34"/>
    <w:rsid w:val="00CA2B57"/>
    <w:rsid w:val="00CA3A65"/>
    <w:rsid w:val="00CA3E1D"/>
    <w:rsid w:val="00CA56FA"/>
    <w:rsid w:val="00CA6F8C"/>
    <w:rsid w:val="00CA72E4"/>
    <w:rsid w:val="00CB13AF"/>
    <w:rsid w:val="00CB1C0C"/>
    <w:rsid w:val="00CB3891"/>
    <w:rsid w:val="00CB526F"/>
    <w:rsid w:val="00CC08A9"/>
    <w:rsid w:val="00CC0EA3"/>
    <w:rsid w:val="00CC15B7"/>
    <w:rsid w:val="00CC2020"/>
    <w:rsid w:val="00CC207C"/>
    <w:rsid w:val="00CC24B7"/>
    <w:rsid w:val="00CC3964"/>
    <w:rsid w:val="00CC403F"/>
    <w:rsid w:val="00CC424F"/>
    <w:rsid w:val="00CC4C18"/>
    <w:rsid w:val="00CC5531"/>
    <w:rsid w:val="00CC7BA9"/>
    <w:rsid w:val="00CD24E3"/>
    <w:rsid w:val="00CD2570"/>
    <w:rsid w:val="00CD337B"/>
    <w:rsid w:val="00CD4462"/>
    <w:rsid w:val="00CD5EBB"/>
    <w:rsid w:val="00CD677F"/>
    <w:rsid w:val="00CD70A8"/>
    <w:rsid w:val="00CE239B"/>
    <w:rsid w:val="00CE5112"/>
    <w:rsid w:val="00CE6E5A"/>
    <w:rsid w:val="00CE7D19"/>
    <w:rsid w:val="00CF082E"/>
    <w:rsid w:val="00CF0C74"/>
    <w:rsid w:val="00CF1FDA"/>
    <w:rsid w:val="00CF5D6B"/>
    <w:rsid w:val="00CF7897"/>
    <w:rsid w:val="00CF7CC1"/>
    <w:rsid w:val="00D006D6"/>
    <w:rsid w:val="00D0097D"/>
    <w:rsid w:val="00D01DE3"/>
    <w:rsid w:val="00D04322"/>
    <w:rsid w:val="00D076AD"/>
    <w:rsid w:val="00D100C9"/>
    <w:rsid w:val="00D1110E"/>
    <w:rsid w:val="00D11F93"/>
    <w:rsid w:val="00D14CD1"/>
    <w:rsid w:val="00D15639"/>
    <w:rsid w:val="00D15DC4"/>
    <w:rsid w:val="00D17438"/>
    <w:rsid w:val="00D1769C"/>
    <w:rsid w:val="00D208AB"/>
    <w:rsid w:val="00D20A85"/>
    <w:rsid w:val="00D21600"/>
    <w:rsid w:val="00D22F83"/>
    <w:rsid w:val="00D246A8"/>
    <w:rsid w:val="00D24EF2"/>
    <w:rsid w:val="00D258E5"/>
    <w:rsid w:val="00D3033E"/>
    <w:rsid w:val="00D33790"/>
    <w:rsid w:val="00D347BE"/>
    <w:rsid w:val="00D354BF"/>
    <w:rsid w:val="00D35CC5"/>
    <w:rsid w:val="00D364E1"/>
    <w:rsid w:val="00D378A8"/>
    <w:rsid w:val="00D37F24"/>
    <w:rsid w:val="00D43838"/>
    <w:rsid w:val="00D4423C"/>
    <w:rsid w:val="00D44346"/>
    <w:rsid w:val="00D45EB1"/>
    <w:rsid w:val="00D466F6"/>
    <w:rsid w:val="00D46736"/>
    <w:rsid w:val="00D46A6F"/>
    <w:rsid w:val="00D47E1B"/>
    <w:rsid w:val="00D5083C"/>
    <w:rsid w:val="00D51CF2"/>
    <w:rsid w:val="00D51D62"/>
    <w:rsid w:val="00D52894"/>
    <w:rsid w:val="00D53031"/>
    <w:rsid w:val="00D53A93"/>
    <w:rsid w:val="00D53BA1"/>
    <w:rsid w:val="00D55BFD"/>
    <w:rsid w:val="00D5710C"/>
    <w:rsid w:val="00D57888"/>
    <w:rsid w:val="00D5791C"/>
    <w:rsid w:val="00D604A4"/>
    <w:rsid w:val="00D605B2"/>
    <w:rsid w:val="00D616E3"/>
    <w:rsid w:val="00D61ED0"/>
    <w:rsid w:val="00D6535E"/>
    <w:rsid w:val="00D67497"/>
    <w:rsid w:val="00D675E2"/>
    <w:rsid w:val="00D67F0A"/>
    <w:rsid w:val="00D701F1"/>
    <w:rsid w:val="00D7118F"/>
    <w:rsid w:val="00D72A14"/>
    <w:rsid w:val="00D74104"/>
    <w:rsid w:val="00D762A9"/>
    <w:rsid w:val="00D76CA4"/>
    <w:rsid w:val="00D800CA"/>
    <w:rsid w:val="00D8091A"/>
    <w:rsid w:val="00D8091F"/>
    <w:rsid w:val="00D83277"/>
    <w:rsid w:val="00D85661"/>
    <w:rsid w:val="00D862F5"/>
    <w:rsid w:val="00D86722"/>
    <w:rsid w:val="00D8709C"/>
    <w:rsid w:val="00D87E8C"/>
    <w:rsid w:val="00D90E97"/>
    <w:rsid w:val="00D90FAD"/>
    <w:rsid w:val="00D91733"/>
    <w:rsid w:val="00D9245C"/>
    <w:rsid w:val="00D96686"/>
    <w:rsid w:val="00D96CCA"/>
    <w:rsid w:val="00D97680"/>
    <w:rsid w:val="00D97817"/>
    <w:rsid w:val="00D97F12"/>
    <w:rsid w:val="00DA19AD"/>
    <w:rsid w:val="00DA1C63"/>
    <w:rsid w:val="00DA548B"/>
    <w:rsid w:val="00DA6447"/>
    <w:rsid w:val="00DB0713"/>
    <w:rsid w:val="00DB11EC"/>
    <w:rsid w:val="00DB142B"/>
    <w:rsid w:val="00DB1F4B"/>
    <w:rsid w:val="00DB291F"/>
    <w:rsid w:val="00DB2C71"/>
    <w:rsid w:val="00DB39E3"/>
    <w:rsid w:val="00DB4730"/>
    <w:rsid w:val="00DB4900"/>
    <w:rsid w:val="00DB4A4B"/>
    <w:rsid w:val="00DB7D02"/>
    <w:rsid w:val="00DC02FE"/>
    <w:rsid w:val="00DC2505"/>
    <w:rsid w:val="00DC4E54"/>
    <w:rsid w:val="00DC6545"/>
    <w:rsid w:val="00DD21A0"/>
    <w:rsid w:val="00DD313E"/>
    <w:rsid w:val="00DD34D1"/>
    <w:rsid w:val="00DD3F21"/>
    <w:rsid w:val="00DD46AF"/>
    <w:rsid w:val="00DE1139"/>
    <w:rsid w:val="00DE2051"/>
    <w:rsid w:val="00DE240B"/>
    <w:rsid w:val="00DE2C72"/>
    <w:rsid w:val="00DE4457"/>
    <w:rsid w:val="00DE6746"/>
    <w:rsid w:val="00DF18AC"/>
    <w:rsid w:val="00DF37D3"/>
    <w:rsid w:val="00DF46CC"/>
    <w:rsid w:val="00DF47FB"/>
    <w:rsid w:val="00DF4FCC"/>
    <w:rsid w:val="00DF528E"/>
    <w:rsid w:val="00DF5686"/>
    <w:rsid w:val="00DF6DCB"/>
    <w:rsid w:val="00E007BE"/>
    <w:rsid w:val="00E00818"/>
    <w:rsid w:val="00E00D8C"/>
    <w:rsid w:val="00E0171F"/>
    <w:rsid w:val="00E03A71"/>
    <w:rsid w:val="00E03B24"/>
    <w:rsid w:val="00E044C6"/>
    <w:rsid w:val="00E0470D"/>
    <w:rsid w:val="00E066BC"/>
    <w:rsid w:val="00E0793D"/>
    <w:rsid w:val="00E11483"/>
    <w:rsid w:val="00E17978"/>
    <w:rsid w:val="00E223D7"/>
    <w:rsid w:val="00E2384D"/>
    <w:rsid w:val="00E23AAF"/>
    <w:rsid w:val="00E24D55"/>
    <w:rsid w:val="00E25042"/>
    <w:rsid w:val="00E2617D"/>
    <w:rsid w:val="00E30771"/>
    <w:rsid w:val="00E31455"/>
    <w:rsid w:val="00E324FD"/>
    <w:rsid w:val="00E32C1E"/>
    <w:rsid w:val="00E3580E"/>
    <w:rsid w:val="00E35948"/>
    <w:rsid w:val="00E359D3"/>
    <w:rsid w:val="00E35FA4"/>
    <w:rsid w:val="00E37C13"/>
    <w:rsid w:val="00E37CB6"/>
    <w:rsid w:val="00E402CB"/>
    <w:rsid w:val="00E40911"/>
    <w:rsid w:val="00E4335A"/>
    <w:rsid w:val="00E447D4"/>
    <w:rsid w:val="00E450D0"/>
    <w:rsid w:val="00E450E3"/>
    <w:rsid w:val="00E47B4B"/>
    <w:rsid w:val="00E52088"/>
    <w:rsid w:val="00E52B6A"/>
    <w:rsid w:val="00E5495E"/>
    <w:rsid w:val="00E55491"/>
    <w:rsid w:val="00E56040"/>
    <w:rsid w:val="00E567ED"/>
    <w:rsid w:val="00E56891"/>
    <w:rsid w:val="00E609C6"/>
    <w:rsid w:val="00E63FDE"/>
    <w:rsid w:val="00E67370"/>
    <w:rsid w:val="00E74212"/>
    <w:rsid w:val="00E752B0"/>
    <w:rsid w:val="00E77E7C"/>
    <w:rsid w:val="00E8017E"/>
    <w:rsid w:val="00E819E1"/>
    <w:rsid w:val="00E82076"/>
    <w:rsid w:val="00E822B6"/>
    <w:rsid w:val="00E824BC"/>
    <w:rsid w:val="00E83018"/>
    <w:rsid w:val="00E83539"/>
    <w:rsid w:val="00E83B7A"/>
    <w:rsid w:val="00E84040"/>
    <w:rsid w:val="00E8545C"/>
    <w:rsid w:val="00E854CE"/>
    <w:rsid w:val="00E91070"/>
    <w:rsid w:val="00E910C1"/>
    <w:rsid w:val="00E91F91"/>
    <w:rsid w:val="00E930DF"/>
    <w:rsid w:val="00E95051"/>
    <w:rsid w:val="00E96087"/>
    <w:rsid w:val="00E971B0"/>
    <w:rsid w:val="00E976C5"/>
    <w:rsid w:val="00EA0342"/>
    <w:rsid w:val="00EA4B6F"/>
    <w:rsid w:val="00EA4F2A"/>
    <w:rsid w:val="00EA5D00"/>
    <w:rsid w:val="00EA6E8A"/>
    <w:rsid w:val="00EA7398"/>
    <w:rsid w:val="00EB0D23"/>
    <w:rsid w:val="00EB75A0"/>
    <w:rsid w:val="00EB7E6A"/>
    <w:rsid w:val="00EC0B23"/>
    <w:rsid w:val="00EC2331"/>
    <w:rsid w:val="00EC2670"/>
    <w:rsid w:val="00EC4289"/>
    <w:rsid w:val="00EC5842"/>
    <w:rsid w:val="00EC68E5"/>
    <w:rsid w:val="00EC777A"/>
    <w:rsid w:val="00EC7E37"/>
    <w:rsid w:val="00ED0170"/>
    <w:rsid w:val="00ED2806"/>
    <w:rsid w:val="00ED3FF3"/>
    <w:rsid w:val="00ED4635"/>
    <w:rsid w:val="00ED489C"/>
    <w:rsid w:val="00ED4DF5"/>
    <w:rsid w:val="00ED5F70"/>
    <w:rsid w:val="00ED7B10"/>
    <w:rsid w:val="00ED7DAD"/>
    <w:rsid w:val="00ED7FA6"/>
    <w:rsid w:val="00EE0E24"/>
    <w:rsid w:val="00EE141B"/>
    <w:rsid w:val="00EE1BA5"/>
    <w:rsid w:val="00EE1EA6"/>
    <w:rsid w:val="00EE2676"/>
    <w:rsid w:val="00EE7171"/>
    <w:rsid w:val="00EE7DE9"/>
    <w:rsid w:val="00EF02B0"/>
    <w:rsid w:val="00EF1327"/>
    <w:rsid w:val="00EF1C76"/>
    <w:rsid w:val="00EF274A"/>
    <w:rsid w:val="00EF2EEC"/>
    <w:rsid w:val="00EF3A44"/>
    <w:rsid w:val="00EF43A1"/>
    <w:rsid w:val="00EF47C7"/>
    <w:rsid w:val="00EF5C83"/>
    <w:rsid w:val="00EF5EA8"/>
    <w:rsid w:val="00EF6039"/>
    <w:rsid w:val="00F01EDF"/>
    <w:rsid w:val="00F040F9"/>
    <w:rsid w:val="00F05220"/>
    <w:rsid w:val="00F0526E"/>
    <w:rsid w:val="00F0674C"/>
    <w:rsid w:val="00F069BD"/>
    <w:rsid w:val="00F10513"/>
    <w:rsid w:val="00F106E5"/>
    <w:rsid w:val="00F1097E"/>
    <w:rsid w:val="00F15293"/>
    <w:rsid w:val="00F15E0A"/>
    <w:rsid w:val="00F167CD"/>
    <w:rsid w:val="00F16A7A"/>
    <w:rsid w:val="00F1779E"/>
    <w:rsid w:val="00F20510"/>
    <w:rsid w:val="00F21864"/>
    <w:rsid w:val="00F25851"/>
    <w:rsid w:val="00F26518"/>
    <w:rsid w:val="00F321F0"/>
    <w:rsid w:val="00F32968"/>
    <w:rsid w:val="00F344F7"/>
    <w:rsid w:val="00F362C1"/>
    <w:rsid w:val="00F36B16"/>
    <w:rsid w:val="00F36D67"/>
    <w:rsid w:val="00F378FE"/>
    <w:rsid w:val="00F402CA"/>
    <w:rsid w:val="00F40A44"/>
    <w:rsid w:val="00F415EB"/>
    <w:rsid w:val="00F41B45"/>
    <w:rsid w:val="00F42D2D"/>
    <w:rsid w:val="00F44541"/>
    <w:rsid w:val="00F44905"/>
    <w:rsid w:val="00F453FF"/>
    <w:rsid w:val="00F45704"/>
    <w:rsid w:val="00F458C3"/>
    <w:rsid w:val="00F50496"/>
    <w:rsid w:val="00F52073"/>
    <w:rsid w:val="00F5273A"/>
    <w:rsid w:val="00F53E4B"/>
    <w:rsid w:val="00F5475D"/>
    <w:rsid w:val="00F54BDC"/>
    <w:rsid w:val="00F562DB"/>
    <w:rsid w:val="00F56648"/>
    <w:rsid w:val="00F567E5"/>
    <w:rsid w:val="00F56890"/>
    <w:rsid w:val="00F5754F"/>
    <w:rsid w:val="00F615C1"/>
    <w:rsid w:val="00F63037"/>
    <w:rsid w:val="00F644D7"/>
    <w:rsid w:val="00F645C1"/>
    <w:rsid w:val="00F651D6"/>
    <w:rsid w:val="00F65DA3"/>
    <w:rsid w:val="00F67E91"/>
    <w:rsid w:val="00F67EDA"/>
    <w:rsid w:val="00F75D59"/>
    <w:rsid w:val="00F77A56"/>
    <w:rsid w:val="00F801D0"/>
    <w:rsid w:val="00F82CE1"/>
    <w:rsid w:val="00F8326B"/>
    <w:rsid w:val="00F83AF1"/>
    <w:rsid w:val="00F83D01"/>
    <w:rsid w:val="00F8775F"/>
    <w:rsid w:val="00F87B35"/>
    <w:rsid w:val="00F921FC"/>
    <w:rsid w:val="00F956FE"/>
    <w:rsid w:val="00F95AE6"/>
    <w:rsid w:val="00F96C57"/>
    <w:rsid w:val="00FA0B48"/>
    <w:rsid w:val="00FA24B8"/>
    <w:rsid w:val="00FA3495"/>
    <w:rsid w:val="00FB1C29"/>
    <w:rsid w:val="00FB5580"/>
    <w:rsid w:val="00FC0929"/>
    <w:rsid w:val="00FC2505"/>
    <w:rsid w:val="00FC4672"/>
    <w:rsid w:val="00FC4DFE"/>
    <w:rsid w:val="00FC5520"/>
    <w:rsid w:val="00FC6776"/>
    <w:rsid w:val="00FC71A0"/>
    <w:rsid w:val="00FD01EA"/>
    <w:rsid w:val="00FD15F4"/>
    <w:rsid w:val="00FD19F6"/>
    <w:rsid w:val="00FD1B99"/>
    <w:rsid w:val="00FE0049"/>
    <w:rsid w:val="00FE1EEA"/>
    <w:rsid w:val="00FE4EA0"/>
    <w:rsid w:val="00FF1A3B"/>
    <w:rsid w:val="00FF1C5A"/>
    <w:rsid w:val="00FF1ECD"/>
    <w:rsid w:val="00FF1F45"/>
    <w:rsid w:val="00FF26BC"/>
    <w:rsid w:val="00FF64DF"/>
    <w:rsid w:val="00FF7BC5"/>
    <w:rsid w:val="026A0300"/>
    <w:rsid w:val="0294731D"/>
    <w:rsid w:val="02E1486C"/>
    <w:rsid w:val="046C498B"/>
    <w:rsid w:val="04BF1BAF"/>
    <w:rsid w:val="05025778"/>
    <w:rsid w:val="050E236F"/>
    <w:rsid w:val="051004C2"/>
    <w:rsid w:val="066F2DA0"/>
    <w:rsid w:val="069C435D"/>
    <w:rsid w:val="06A411DD"/>
    <w:rsid w:val="06A94F3A"/>
    <w:rsid w:val="06FD47B3"/>
    <w:rsid w:val="07603356"/>
    <w:rsid w:val="07762B7A"/>
    <w:rsid w:val="07BC4304"/>
    <w:rsid w:val="082C5EA1"/>
    <w:rsid w:val="087A351C"/>
    <w:rsid w:val="093C7A84"/>
    <w:rsid w:val="09ED479D"/>
    <w:rsid w:val="09FA1069"/>
    <w:rsid w:val="0A4F6A87"/>
    <w:rsid w:val="0AA23C86"/>
    <w:rsid w:val="0AB614DF"/>
    <w:rsid w:val="0AD32091"/>
    <w:rsid w:val="0B1C6EA6"/>
    <w:rsid w:val="0B5233F9"/>
    <w:rsid w:val="0BCD4D32"/>
    <w:rsid w:val="0C8C24F7"/>
    <w:rsid w:val="0C954668"/>
    <w:rsid w:val="0CE87C54"/>
    <w:rsid w:val="0DDC1EC5"/>
    <w:rsid w:val="0DF36C6A"/>
    <w:rsid w:val="0F4B48EC"/>
    <w:rsid w:val="0F7640DF"/>
    <w:rsid w:val="107E2A9F"/>
    <w:rsid w:val="10A46712"/>
    <w:rsid w:val="10BC73B2"/>
    <w:rsid w:val="10BE10ED"/>
    <w:rsid w:val="11603F53"/>
    <w:rsid w:val="11A622AD"/>
    <w:rsid w:val="122C1FEE"/>
    <w:rsid w:val="127004E6"/>
    <w:rsid w:val="12751606"/>
    <w:rsid w:val="129A2960"/>
    <w:rsid w:val="12BA1AD4"/>
    <w:rsid w:val="13085DDC"/>
    <w:rsid w:val="138A099B"/>
    <w:rsid w:val="13FF2F0E"/>
    <w:rsid w:val="14153D4B"/>
    <w:rsid w:val="15057CCB"/>
    <w:rsid w:val="15483A0C"/>
    <w:rsid w:val="15B91474"/>
    <w:rsid w:val="16A77169"/>
    <w:rsid w:val="17EC7FD6"/>
    <w:rsid w:val="184517C5"/>
    <w:rsid w:val="184933C0"/>
    <w:rsid w:val="18540387"/>
    <w:rsid w:val="18CC6B95"/>
    <w:rsid w:val="19314B52"/>
    <w:rsid w:val="193C740C"/>
    <w:rsid w:val="19650358"/>
    <w:rsid w:val="19E93A52"/>
    <w:rsid w:val="1A0062D3"/>
    <w:rsid w:val="1B283D33"/>
    <w:rsid w:val="1BCF0653"/>
    <w:rsid w:val="1C715266"/>
    <w:rsid w:val="1D3F633B"/>
    <w:rsid w:val="1D676F7D"/>
    <w:rsid w:val="1DC064A5"/>
    <w:rsid w:val="1DC6271E"/>
    <w:rsid w:val="1E004AF3"/>
    <w:rsid w:val="1E117FB3"/>
    <w:rsid w:val="1E1274DC"/>
    <w:rsid w:val="1E594203"/>
    <w:rsid w:val="1E627A3E"/>
    <w:rsid w:val="1F064F40"/>
    <w:rsid w:val="1F694CDF"/>
    <w:rsid w:val="1F90122F"/>
    <w:rsid w:val="202654D2"/>
    <w:rsid w:val="202D5389"/>
    <w:rsid w:val="203155A4"/>
    <w:rsid w:val="20336A75"/>
    <w:rsid w:val="207E000C"/>
    <w:rsid w:val="208512E0"/>
    <w:rsid w:val="209501BB"/>
    <w:rsid w:val="20FC0848"/>
    <w:rsid w:val="214E5B76"/>
    <w:rsid w:val="21621621"/>
    <w:rsid w:val="217A2E0F"/>
    <w:rsid w:val="21F61C66"/>
    <w:rsid w:val="22226921"/>
    <w:rsid w:val="229D5F42"/>
    <w:rsid w:val="22A4467D"/>
    <w:rsid w:val="2318643B"/>
    <w:rsid w:val="233C6FAC"/>
    <w:rsid w:val="23524E97"/>
    <w:rsid w:val="239A32F4"/>
    <w:rsid w:val="239D7D9E"/>
    <w:rsid w:val="23B428FE"/>
    <w:rsid w:val="23F07F45"/>
    <w:rsid w:val="240719E3"/>
    <w:rsid w:val="24377ECA"/>
    <w:rsid w:val="249B7324"/>
    <w:rsid w:val="24EC5DD1"/>
    <w:rsid w:val="25284930"/>
    <w:rsid w:val="25A42208"/>
    <w:rsid w:val="25ED7517"/>
    <w:rsid w:val="26181466"/>
    <w:rsid w:val="26A47870"/>
    <w:rsid w:val="26D905D7"/>
    <w:rsid w:val="2705317A"/>
    <w:rsid w:val="271635D9"/>
    <w:rsid w:val="274D6470"/>
    <w:rsid w:val="28041663"/>
    <w:rsid w:val="28281DF2"/>
    <w:rsid w:val="28793E20"/>
    <w:rsid w:val="2898238E"/>
    <w:rsid w:val="28CF5A8C"/>
    <w:rsid w:val="29574D18"/>
    <w:rsid w:val="29A70519"/>
    <w:rsid w:val="29F230C6"/>
    <w:rsid w:val="2A131C71"/>
    <w:rsid w:val="2A331DAD"/>
    <w:rsid w:val="2AB729DE"/>
    <w:rsid w:val="2AFB4FC0"/>
    <w:rsid w:val="2BF328F8"/>
    <w:rsid w:val="2C02412C"/>
    <w:rsid w:val="2C4F332A"/>
    <w:rsid w:val="2C6A6CA5"/>
    <w:rsid w:val="2CF73565"/>
    <w:rsid w:val="2D032C37"/>
    <w:rsid w:val="2DB127D6"/>
    <w:rsid w:val="2DF9330D"/>
    <w:rsid w:val="2E04627C"/>
    <w:rsid w:val="2F8F5C54"/>
    <w:rsid w:val="2F9741D0"/>
    <w:rsid w:val="2F9B0078"/>
    <w:rsid w:val="30006601"/>
    <w:rsid w:val="3003048A"/>
    <w:rsid w:val="30782C0F"/>
    <w:rsid w:val="30AB370E"/>
    <w:rsid w:val="315424AC"/>
    <w:rsid w:val="317A6513"/>
    <w:rsid w:val="3186679F"/>
    <w:rsid w:val="31E26FED"/>
    <w:rsid w:val="324478C6"/>
    <w:rsid w:val="326A2A2B"/>
    <w:rsid w:val="337B5074"/>
    <w:rsid w:val="33D830D9"/>
    <w:rsid w:val="344F2E83"/>
    <w:rsid w:val="357B27B2"/>
    <w:rsid w:val="35A0072E"/>
    <w:rsid w:val="360016DD"/>
    <w:rsid w:val="36D4154E"/>
    <w:rsid w:val="36D641EB"/>
    <w:rsid w:val="36FB417A"/>
    <w:rsid w:val="384B0C09"/>
    <w:rsid w:val="384E6A07"/>
    <w:rsid w:val="388330EF"/>
    <w:rsid w:val="38883C0B"/>
    <w:rsid w:val="38DE0B5D"/>
    <w:rsid w:val="3A660C8F"/>
    <w:rsid w:val="3B8561E0"/>
    <w:rsid w:val="3C4D1C42"/>
    <w:rsid w:val="3C7B1BA2"/>
    <w:rsid w:val="3C9E39FD"/>
    <w:rsid w:val="3D79491C"/>
    <w:rsid w:val="3D845C1E"/>
    <w:rsid w:val="3DE128EC"/>
    <w:rsid w:val="3E476C10"/>
    <w:rsid w:val="3E4D1237"/>
    <w:rsid w:val="3F160A91"/>
    <w:rsid w:val="3FEA5B7B"/>
    <w:rsid w:val="402266C5"/>
    <w:rsid w:val="40481A31"/>
    <w:rsid w:val="408D6263"/>
    <w:rsid w:val="40C24C7B"/>
    <w:rsid w:val="41092D5E"/>
    <w:rsid w:val="41200E85"/>
    <w:rsid w:val="41205477"/>
    <w:rsid w:val="41465EAC"/>
    <w:rsid w:val="416E14FB"/>
    <w:rsid w:val="41B14392"/>
    <w:rsid w:val="41BC7D36"/>
    <w:rsid w:val="41D1222D"/>
    <w:rsid w:val="427053F0"/>
    <w:rsid w:val="42731488"/>
    <w:rsid w:val="43BD5BD7"/>
    <w:rsid w:val="43D95BB7"/>
    <w:rsid w:val="440F6F8F"/>
    <w:rsid w:val="442F4081"/>
    <w:rsid w:val="448C6831"/>
    <w:rsid w:val="449000D0"/>
    <w:rsid w:val="449917DD"/>
    <w:rsid w:val="44F76364"/>
    <w:rsid w:val="450626E5"/>
    <w:rsid w:val="453A5BCC"/>
    <w:rsid w:val="45806ABD"/>
    <w:rsid w:val="46B062A7"/>
    <w:rsid w:val="46B72512"/>
    <w:rsid w:val="472D69F0"/>
    <w:rsid w:val="47925890"/>
    <w:rsid w:val="47FB61A8"/>
    <w:rsid w:val="485F14F7"/>
    <w:rsid w:val="48D33F2A"/>
    <w:rsid w:val="49975A5C"/>
    <w:rsid w:val="49D547D7"/>
    <w:rsid w:val="4AA70671"/>
    <w:rsid w:val="4B3B60FB"/>
    <w:rsid w:val="4B5E5495"/>
    <w:rsid w:val="4B6776B0"/>
    <w:rsid w:val="4C0373D9"/>
    <w:rsid w:val="4C284E83"/>
    <w:rsid w:val="4CA87F80"/>
    <w:rsid w:val="4D363BC3"/>
    <w:rsid w:val="4D5B5FD5"/>
    <w:rsid w:val="4DDF6363"/>
    <w:rsid w:val="4E1F3F24"/>
    <w:rsid w:val="4E257ADB"/>
    <w:rsid w:val="4E2C5F86"/>
    <w:rsid w:val="4EC07246"/>
    <w:rsid w:val="4FAB0BD5"/>
    <w:rsid w:val="4FE319FB"/>
    <w:rsid w:val="503F39D8"/>
    <w:rsid w:val="516F79C8"/>
    <w:rsid w:val="52294A25"/>
    <w:rsid w:val="52A336C4"/>
    <w:rsid w:val="52E027D3"/>
    <w:rsid w:val="531B2413"/>
    <w:rsid w:val="53316CC3"/>
    <w:rsid w:val="557A4AD3"/>
    <w:rsid w:val="55AC6D33"/>
    <w:rsid w:val="562148DD"/>
    <w:rsid w:val="574F3E1A"/>
    <w:rsid w:val="57E65453"/>
    <w:rsid w:val="580221A8"/>
    <w:rsid w:val="588C69A8"/>
    <w:rsid w:val="58AE5A93"/>
    <w:rsid w:val="58D83B72"/>
    <w:rsid w:val="58F01761"/>
    <w:rsid w:val="590E5ACF"/>
    <w:rsid w:val="5973684F"/>
    <w:rsid w:val="59A2716D"/>
    <w:rsid w:val="59A33FA9"/>
    <w:rsid w:val="5A2E5F69"/>
    <w:rsid w:val="5A462ABB"/>
    <w:rsid w:val="5A7E4A04"/>
    <w:rsid w:val="5AD20EC5"/>
    <w:rsid w:val="5AE23224"/>
    <w:rsid w:val="5AED512F"/>
    <w:rsid w:val="5B0616D7"/>
    <w:rsid w:val="5B1B3C4D"/>
    <w:rsid w:val="5B871DD5"/>
    <w:rsid w:val="5C54337B"/>
    <w:rsid w:val="5C854822"/>
    <w:rsid w:val="5CAA7316"/>
    <w:rsid w:val="5CD1707F"/>
    <w:rsid w:val="5D3C6CB9"/>
    <w:rsid w:val="5DC10EA2"/>
    <w:rsid w:val="5DFC4D35"/>
    <w:rsid w:val="5E426F85"/>
    <w:rsid w:val="5FC82B38"/>
    <w:rsid w:val="5FCA21FD"/>
    <w:rsid w:val="60613EAA"/>
    <w:rsid w:val="608B1FF0"/>
    <w:rsid w:val="60B3541A"/>
    <w:rsid w:val="60ED1519"/>
    <w:rsid w:val="615E1795"/>
    <w:rsid w:val="61E92D63"/>
    <w:rsid w:val="621F30B0"/>
    <w:rsid w:val="63446629"/>
    <w:rsid w:val="63754C08"/>
    <w:rsid w:val="637C7D45"/>
    <w:rsid w:val="643C5726"/>
    <w:rsid w:val="64E42046"/>
    <w:rsid w:val="652C579B"/>
    <w:rsid w:val="65693C3E"/>
    <w:rsid w:val="65A02465"/>
    <w:rsid w:val="65D269C9"/>
    <w:rsid w:val="6632271C"/>
    <w:rsid w:val="66F75934"/>
    <w:rsid w:val="67461E45"/>
    <w:rsid w:val="677875EA"/>
    <w:rsid w:val="67AE080E"/>
    <w:rsid w:val="67BD6881"/>
    <w:rsid w:val="68431C39"/>
    <w:rsid w:val="697B47C4"/>
    <w:rsid w:val="6A5F0D90"/>
    <w:rsid w:val="6A6C02D9"/>
    <w:rsid w:val="6A7F6C49"/>
    <w:rsid w:val="6B7E04DA"/>
    <w:rsid w:val="6BB17CD3"/>
    <w:rsid w:val="6C6770B8"/>
    <w:rsid w:val="6D9B6170"/>
    <w:rsid w:val="6DC8022F"/>
    <w:rsid w:val="6E146309"/>
    <w:rsid w:val="6E4A3347"/>
    <w:rsid w:val="6F3B6A1D"/>
    <w:rsid w:val="6F6A1169"/>
    <w:rsid w:val="706D26D1"/>
    <w:rsid w:val="70904F00"/>
    <w:rsid w:val="70926096"/>
    <w:rsid w:val="70A67991"/>
    <w:rsid w:val="70FB7134"/>
    <w:rsid w:val="7137681F"/>
    <w:rsid w:val="7157755B"/>
    <w:rsid w:val="71C56D5B"/>
    <w:rsid w:val="723B0BBC"/>
    <w:rsid w:val="726B3F49"/>
    <w:rsid w:val="72916ECC"/>
    <w:rsid w:val="72D37F73"/>
    <w:rsid w:val="73660976"/>
    <w:rsid w:val="745B7503"/>
    <w:rsid w:val="747E491E"/>
    <w:rsid w:val="75025ACC"/>
    <w:rsid w:val="757A4DDF"/>
    <w:rsid w:val="759727BC"/>
    <w:rsid w:val="762027B2"/>
    <w:rsid w:val="763C5112"/>
    <w:rsid w:val="766912E7"/>
    <w:rsid w:val="76F33444"/>
    <w:rsid w:val="77470875"/>
    <w:rsid w:val="77891C20"/>
    <w:rsid w:val="779416A9"/>
    <w:rsid w:val="78383B98"/>
    <w:rsid w:val="783914B9"/>
    <w:rsid w:val="79044953"/>
    <w:rsid w:val="792E168A"/>
    <w:rsid w:val="79556C16"/>
    <w:rsid w:val="797C0647"/>
    <w:rsid w:val="79CD677C"/>
    <w:rsid w:val="7A0915E7"/>
    <w:rsid w:val="7A3251AA"/>
    <w:rsid w:val="7A460C55"/>
    <w:rsid w:val="7B272834"/>
    <w:rsid w:val="7B9A4DB4"/>
    <w:rsid w:val="7BCE2CB0"/>
    <w:rsid w:val="7C546593"/>
    <w:rsid w:val="7CA44FA0"/>
    <w:rsid w:val="7D2D0B98"/>
    <w:rsid w:val="7E286024"/>
    <w:rsid w:val="7E61605D"/>
    <w:rsid w:val="7E98561E"/>
    <w:rsid w:val="7E9F3E9B"/>
    <w:rsid w:val="7F453289"/>
    <w:rsid w:val="7F572FBC"/>
    <w:rsid w:val="7FDE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6"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4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4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9"/>
    <w:semiHidden/>
    <w:unhideWhenUsed/>
    <w:qFormat/>
    <w:uiPriority w:val="9"/>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line="560" w:lineRule="exact"/>
      <w:ind w:firstLine="960" w:firstLineChars="200"/>
    </w:pPr>
    <w:rPr>
      <w:rFonts w:ascii="仿宋_GB2312" w:hAnsi="仿宋_GB2312" w:eastAsia="仿宋_GB2312"/>
      <w:sz w:val="30"/>
    </w:rPr>
  </w:style>
  <w:style w:type="paragraph" w:styleId="6">
    <w:name w:val="caption"/>
    <w:basedOn w:val="1"/>
    <w:next w:val="1"/>
    <w:semiHidden/>
    <w:unhideWhenUsed/>
    <w:qFormat/>
    <w:uiPriority w:val="35"/>
    <w:rPr>
      <w:rFonts w:eastAsia="黑体" w:asciiTheme="majorHAnsi" w:hAnsiTheme="majorHAnsi" w:cstheme="majorBidi"/>
      <w:sz w:val="20"/>
      <w:szCs w:val="20"/>
    </w:rPr>
  </w:style>
  <w:style w:type="paragraph" w:styleId="7">
    <w:name w:val="annotation text"/>
    <w:basedOn w:val="1"/>
    <w:link w:val="35"/>
    <w:unhideWhenUsed/>
    <w:qFormat/>
    <w:uiPriority w:val="99"/>
    <w:pPr>
      <w:ind w:firstLine="200" w:firstLineChars="200"/>
      <w:jc w:val="left"/>
    </w:pPr>
    <w:rPr>
      <w:rFonts w:ascii="Calibri" w:hAnsi="Calibri" w:eastAsia="仿宋" w:cs="Times New Roman"/>
      <w:sz w:val="32"/>
      <w:szCs w:val="22"/>
    </w:rPr>
  </w:style>
  <w:style w:type="paragraph" w:styleId="8">
    <w:name w:val="Body Text Indent"/>
    <w:basedOn w:val="1"/>
    <w:unhideWhenUsed/>
    <w:qFormat/>
    <w:uiPriority w:val="99"/>
    <w:pPr>
      <w:spacing w:after="120"/>
      <w:ind w:left="420" w:leftChars="200"/>
    </w:pPr>
  </w:style>
  <w:style w:type="paragraph" w:styleId="9">
    <w:name w:val="toc 3"/>
    <w:basedOn w:val="1"/>
    <w:next w:val="1"/>
    <w:unhideWhenUsed/>
    <w:qFormat/>
    <w:uiPriority w:val="39"/>
    <w:pPr>
      <w:ind w:left="840" w:leftChars="400"/>
    </w:pPr>
  </w:style>
  <w:style w:type="paragraph" w:styleId="10">
    <w:name w:val="endnote text"/>
    <w:basedOn w:val="1"/>
    <w:link w:val="33"/>
    <w:semiHidden/>
    <w:unhideWhenUsed/>
    <w:qFormat/>
    <w:uiPriority w:val="99"/>
    <w:pPr>
      <w:snapToGrid w:val="0"/>
      <w:jc w:val="left"/>
    </w:pPr>
  </w:style>
  <w:style w:type="paragraph" w:styleId="11">
    <w:name w:val="Balloon Text"/>
    <w:basedOn w:val="1"/>
    <w:link w:val="38"/>
    <w:semiHidden/>
    <w:unhideWhenUsed/>
    <w:qFormat/>
    <w:uiPriority w:val="99"/>
    <w:rPr>
      <w:sz w:val="18"/>
      <w:szCs w:val="18"/>
    </w:rPr>
  </w:style>
  <w:style w:type="paragraph" w:styleId="12">
    <w:name w:val="footer"/>
    <w:basedOn w:val="1"/>
    <w:link w:val="36"/>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1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302"/>
      </w:tabs>
      <w:snapToGrid w:val="0"/>
    </w:pPr>
    <w:rPr>
      <w:rFonts w:ascii="仿宋" w:hAnsi="仿宋" w:eastAsia="仿宋" w:cs="Times New Roman"/>
      <w:b/>
      <w:sz w:val="28"/>
      <w:szCs w:val="28"/>
    </w:rPr>
  </w:style>
  <w:style w:type="paragraph" w:styleId="15">
    <w:name w:val="footnote text"/>
    <w:basedOn w:val="1"/>
    <w:link w:val="34"/>
    <w:semiHidden/>
    <w:unhideWhenUsed/>
    <w:qFormat/>
    <w:uiPriority w:val="99"/>
    <w:pPr>
      <w:snapToGrid w:val="0"/>
      <w:jc w:val="left"/>
    </w:pPr>
    <w:rPr>
      <w:sz w:val="18"/>
      <w:szCs w:val="18"/>
    </w:rPr>
  </w:style>
  <w:style w:type="paragraph" w:styleId="16">
    <w:name w:val="index 9"/>
    <w:basedOn w:val="1"/>
    <w:next w:val="1"/>
    <w:qFormat/>
    <w:uiPriority w:val="0"/>
    <w:pPr>
      <w:ind w:left="3360"/>
    </w:pPr>
    <w:rPr>
      <w:rFonts w:ascii="Calibri" w:hAnsi="Calibri" w:eastAsia="宋体" w:cs="Times New Roman"/>
    </w:rPr>
  </w:style>
  <w:style w:type="paragraph" w:styleId="17">
    <w:name w:val="toc 2"/>
    <w:basedOn w:val="1"/>
    <w:next w:val="1"/>
    <w:unhideWhenUsed/>
    <w:qFormat/>
    <w:uiPriority w:val="39"/>
    <w:pPr>
      <w:ind w:left="420" w:leftChars="200"/>
    </w:pPr>
  </w:style>
  <w:style w:type="paragraph" w:styleId="18">
    <w:name w:val="Body Text 2"/>
    <w:basedOn w:val="1"/>
    <w:qFormat/>
    <w:uiPriority w:val="0"/>
    <w:pPr>
      <w:spacing w:after="120" w:line="480" w:lineRule="auto"/>
    </w:p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20">
    <w:name w:val="Title"/>
    <w:basedOn w:val="1"/>
    <w:next w:val="1"/>
    <w:link w:val="32"/>
    <w:qFormat/>
    <w:uiPriority w:val="10"/>
    <w:pPr>
      <w:spacing w:before="240" w:after="60"/>
      <w:jc w:val="center"/>
      <w:outlineLvl w:val="0"/>
    </w:pPr>
    <w:rPr>
      <w:rFonts w:asciiTheme="majorHAnsi" w:hAnsiTheme="majorHAnsi" w:eastAsiaTheme="majorEastAsia" w:cstheme="majorBidi"/>
      <w:b/>
      <w:bCs/>
      <w:sz w:val="32"/>
      <w:szCs w:val="32"/>
    </w:rPr>
  </w:style>
  <w:style w:type="paragraph" w:styleId="21">
    <w:name w:val="annotation subject"/>
    <w:basedOn w:val="7"/>
    <w:next w:val="7"/>
    <w:link w:val="46"/>
    <w:semiHidden/>
    <w:unhideWhenUsed/>
    <w:qFormat/>
    <w:uiPriority w:val="99"/>
    <w:pPr>
      <w:ind w:firstLine="0" w:firstLineChars="0"/>
    </w:pPr>
    <w:rPr>
      <w:rFonts w:asciiTheme="minorHAnsi" w:hAnsiTheme="minorHAnsi" w:eastAsiaTheme="minorEastAsia" w:cstheme="minorBidi"/>
      <w:b/>
      <w:bCs/>
      <w:sz w:val="21"/>
      <w:szCs w:val="24"/>
    </w:rPr>
  </w:style>
  <w:style w:type="paragraph" w:styleId="22">
    <w:name w:val="Body Text First Indent 2"/>
    <w:basedOn w:val="8"/>
    <w:qFormat/>
    <w:uiPriority w:val="6"/>
    <w:pPr>
      <w:ind w:firstLine="420"/>
    </w:pPr>
    <w:rPr>
      <w:rFonts w:ascii="Times New Roman" w:hAnsi="Times New Roman" w:cs="Times New Roman"/>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rPr>
  </w:style>
  <w:style w:type="character" w:styleId="27">
    <w:name w:val="endnote reference"/>
    <w:basedOn w:val="25"/>
    <w:semiHidden/>
    <w:unhideWhenUsed/>
    <w:qFormat/>
    <w:uiPriority w:val="99"/>
    <w:rPr>
      <w:vertAlign w:val="superscript"/>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unhideWhenUsed/>
    <w:qFormat/>
    <w:uiPriority w:val="99"/>
    <w:rPr>
      <w:sz w:val="21"/>
      <w:szCs w:val="21"/>
    </w:rPr>
  </w:style>
  <w:style w:type="character" w:styleId="30">
    <w:name w:val="footnote reference"/>
    <w:basedOn w:val="25"/>
    <w:semiHidden/>
    <w:unhideWhenUsed/>
    <w:qFormat/>
    <w:uiPriority w:val="99"/>
    <w:rPr>
      <w:vertAlign w:val="superscript"/>
    </w:rPr>
  </w:style>
  <w:style w:type="paragraph" w:customStyle="1" w:styleId="31">
    <w:name w:val="index 91"/>
    <w:basedOn w:val="1"/>
    <w:next w:val="1"/>
    <w:qFormat/>
    <w:uiPriority w:val="0"/>
    <w:pPr>
      <w:ind w:left="3360"/>
    </w:pPr>
  </w:style>
  <w:style w:type="character" w:customStyle="1" w:styleId="32">
    <w:name w:val="标题 字符"/>
    <w:basedOn w:val="25"/>
    <w:link w:val="20"/>
    <w:qFormat/>
    <w:uiPriority w:val="10"/>
    <w:rPr>
      <w:rFonts w:asciiTheme="majorHAnsi" w:hAnsiTheme="majorHAnsi" w:eastAsiaTheme="majorEastAsia" w:cstheme="majorBidi"/>
      <w:b/>
      <w:bCs/>
      <w:sz w:val="32"/>
      <w:szCs w:val="32"/>
    </w:rPr>
  </w:style>
  <w:style w:type="character" w:customStyle="1" w:styleId="33">
    <w:name w:val="尾注文本 字符"/>
    <w:basedOn w:val="25"/>
    <w:link w:val="10"/>
    <w:semiHidden/>
    <w:qFormat/>
    <w:uiPriority w:val="99"/>
    <w:rPr>
      <w:szCs w:val="24"/>
    </w:rPr>
  </w:style>
  <w:style w:type="character" w:customStyle="1" w:styleId="34">
    <w:name w:val="脚注文本 字符"/>
    <w:basedOn w:val="25"/>
    <w:link w:val="15"/>
    <w:semiHidden/>
    <w:qFormat/>
    <w:uiPriority w:val="99"/>
    <w:rPr>
      <w:sz w:val="18"/>
      <w:szCs w:val="18"/>
    </w:rPr>
  </w:style>
  <w:style w:type="character" w:customStyle="1" w:styleId="35">
    <w:name w:val="批注文字 字符"/>
    <w:basedOn w:val="25"/>
    <w:link w:val="7"/>
    <w:semiHidden/>
    <w:qFormat/>
    <w:uiPriority w:val="99"/>
    <w:rPr>
      <w:rFonts w:ascii="Calibri" w:hAnsi="Calibri" w:eastAsia="仿宋" w:cs="Times New Roman"/>
      <w:sz w:val="32"/>
    </w:rPr>
  </w:style>
  <w:style w:type="character" w:customStyle="1" w:styleId="36">
    <w:name w:val="页脚 字符"/>
    <w:basedOn w:val="25"/>
    <w:link w:val="12"/>
    <w:qFormat/>
    <w:uiPriority w:val="99"/>
    <w:rPr>
      <w:rFonts w:ascii="Calibri" w:hAnsi="Calibri" w:eastAsia="仿宋" w:cs="Times New Roman"/>
      <w:sz w:val="18"/>
      <w:szCs w:val="18"/>
    </w:rPr>
  </w:style>
  <w:style w:type="paragraph" w:styleId="37">
    <w:name w:val="List Paragraph"/>
    <w:basedOn w:val="1"/>
    <w:qFormat/>
    <w:uiPriority w:val="99"/>
    <w:pPr>
      <w:ind w:firstLine="420" w:firstLineChars="200"/>
    </w:pPr>
    <w:rPr>
      <w:rFonts w:ascii="Calibri" w:hAnsi="Calibri" w:eastAsia="仿宋" w:cs="Times New Roman"/>
      <w:sz w:val="32"/>
      <w:szCs w:val="22"/>
    </w:rPr>
  </w:style>
  <w:style w:type="character" w:customStyle="1" w:styleId="38">
    <w:name w:val="批注框文本 字符"/>
    <w:basedOn w:val="25"/>
    <w:link w:val="11"/>
    <w:semiHidden/>
    <w:qFormat/>
    <w:uiPriority w:val="99"/>
    <w:rPr>
      <w:sz w:val="18"/>
      <w:szCs w:val="18"/>
    </w:rPr>
  </w:style>
  <w:style w:type="character" w:customStyle="1" w:styleId="39">
    <w:name w:val="页眉 字符"/>
    <w:basedOn w:val="25"/>
    <w:link w:val="13"/>
    <w:qFormat/>
    <w:uiPriority w:val="99"/>
    <w:rPr>
      <w:sz w:val="18"/>
      <w:szCs w:val="18"/>
    </w:rPr>
  </w:style>
  <w:style w:type="paragraph" w:customStyle="1" w:styleId="40">
    <w:name w:val="普通(网站)1"/>
    <w:basedOn w:val="1"/>
    <w:qFormat/>
    <w:uiPriority w:val="0"/>
    <w:pPr>
      <w:spacing w:beforeAutospacing="1" w:afterAutospacing="1"/>
      <w:jc w:val="left"/>
    </w:pPr>
    <w:rPr>
      <w:rFonts w:ascii="Times New Roman" w:hAnsi="Times New Roman" w:eastAsia="宋体" w:cs="Times New Roman"/>
      <w:kern w:val="0"/>
      <w:sz w:val="24"/>
    </w:rPr>
  </w:style>
  <w:style w:type="paragraph" w:customStyle="1" w:styleId="41">
    <w:name w:val="6"/>
    <w:basedOn w:val="1"/>
    <w:link w:val="42"/>
    <w:qFormat/>
    <w:uiPriority w:val="0"/>
    <w:pPr>
      <w:adjustRightInd w:val="0"/>
      <w:snapToGrid w:val="0"/>
    </w:pPr>
    <w:rPr>
      <w:sz w:val="24"/>
      <w:szCs w:val="22"/>
    </w:rPr>
  </w:style>
  <w:style w:type="character" w:customStyle="1" w:styleId="42">
    <w:name w:val="6 Char"/>
    <w:basedOn w:val="25"/>
    <w:link w:val="41"/>
    <w:qFormat/>
    <w:uiPriority w:val="0"/>
    <w:rPr>
      <w:sz w:val="24"/>
    </w:rPr>
  </w:style>
  <w:style w:type="character" w:customStyle="1" w:styleId="43">
    <w:name w:val="批注文字 字符1"/>
    <w:basedOn w:val="25"/>
    <w:qFormat/>
    <w:uiPriority w:val="0"/>
    <w:rPr>
      <w:rFonts w:ascii="Arial Unicode MS" w:hAnsi="Arial Unicode MS" w:eastAsia="Arial Unicode MS" w:cs="Arial Unicode MS"/>
      <w:kern w:val="0"/>
      <w:sz w:val="22"/>
      <w:lang w:eastAsia="en-US"/>
    </w:rPr>
  </w:style>
  <w:style w:type="character" w:customStyle="1" w:styleId="44">
    <w:name w:val="标题 1 字符"/>
    <w:basedOn w:val="25"/>
    <w:link w:val="3"/>
    <w:qFormat/>
    <w:uiPriority w:val="9"/>
    <w:rPr>
      <w:rFonts w:ascii="Times New Roman" w:hAnsi="Times New Roman" w:eastAsia="宋体" w:cs="Times New Roman"/>
      <w:b/>
      <w:bCs/>
      <w:kern w:val="44"/>
      <w:sz w:val="44"/>
      <w:szCs w:val="44"/>
    </w:rPr>
  </w:style>
  <w:style w:type="character" w:customStyle="1" w:styleId="45">
    <w:name w:val="标题 2 字符"/>
    <w:basedOn w:val="25"/>
    <w:link w:val="4"/>
    <w:qFormat/>
    <w:uiPriority w:val="0"/>
    <w:rPr>
      <w:rFonts w:asciiTheme="majorHAnsi" w:hAnsiTheme="majorHAnsi" w:eastAsiaTheme="majorEastAsia" w:cstheme="majorBidi"/>
      <w:b/>
      <w:bCs/>
      <w:sz w:val="32"/>
      <w:szCs w:val="32"/>
    </w:rPr>
  </w:style>
  <w:style w:type="character" w:customStyle="1" w:styleId="46">
    <w:name w:val="批注主题 字符"/>
    <w:basedOn w:val="35"/>
    <w:link w:val="21"/>
    <w:semiHidden/>
    <w:qFormat/>
    <w:uiPriority w:val="99"/>
    <w:rPr>
      <w:rFonts w:ascii="Calibri" w:hAnsi="Calibri" w:eastAsia="仿宋" w:cs="Times New Roman"/>
      <w:b/>
      <w:bCs/>
      <w:sz w:val="32"/>
      <w:szCs w:val="24"/>
    </w:rPr>
  </w:style>
  <w:style w:type="paragraph" w:customStyle="1" w:styleId="47">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8">
    <w:name w:val="Char"/>
    <w:basedOn w:val="1"/>
    <w:qFormat/>
    <w:uiPriority w:val="0"/>
    <w:pPr>
      <w:spacing w:line="360" w:lineRule="auto"/>
      <w:ind w:firstLine="551" w:firstLineChars="196"/>
    </w:pPr>
    <w:rPr>
      <w:rFonts w:ascii="Times New Roman" w:hAnsi="Times New Roman" w:eastAsia="宋体" w:cs="Times New Roman"/>
    </w:rPr>
  </w:style>
  <w:style w:type="character" w:customStyle="1" w:styleId="49">
    <w:name w:val="标题 3 字符"/>
    <w:basedOn w:val="25"/>
    <w:link w:val="5"/>
    <w:semiHidden/>
    <w:qFormat/>
    <w:uiPriority w:val="9"/>
    <w:rPr>
      <w:b/>
      <w:bCs/>
      <w:sz w:val="32"/>
      <w:szCs w:val="32"/>
    </w:rPr>
  </w:style>
  <w:style w:type="character" w:customStyle="1" w:styleId="50">
    <w:name w:val="font21"/>
    <w:basedOn w:val="25"/>
    <w:qFormat/>
    <w:uiPriority w:val="0"/>
    <w:rPr>
      <w:rFonts w:hint="eastAsia" w:ascii="宋体" w:hAnsi="宋体" w:eastAsia="宋体" w:cs="宋体"/>
      <w:color w:val="000000"/>
      <w:sz w:val="18"/>
      <w:szCs w:val="18"/>
      <w:u w:val="none"/>
    </w:rPr>
  </w:style>
  <w:style w:type="character" w:customStyle="1" w:styleId="51">
    <w:name w:val="font01"/>
    <w:basedOn w:val="25"/>
    <w:qFormat/>
    <w:uiPriority w:val="0"/>
    <w:rPr>
      <w:rFonts w:hint="eastAsia" w:ascii="宋体" w:hAnsi="宋体" w:eastAsia="宋体" w:cs="宋体"/>
      <w:color w:val="000000"/>
      <w:sz w:val="18"/>
      <w:szCs w:val="18"/>
      <w:u w:val="none"/>
    </w:rPr>
  </w:style>
  <w:style w:type="paragraph" w:customStyle="1" w:styleId="5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53">
    <w:name w:val="font41"/>
    <w:basedOn w:val="25"/>
    <w:qFormat/>
    <w:uiPriority w:val="0"/>
    <w:rPr>
      <w:rFonts w:hint="eastAsia" w:ascii="等线" w:hAnsi="等线" w:eastAsia="等线" w:cs="等线"/>
      <w:color w:val="000000"/>
      <w:sz w:val="21"/>
      <w:szCs w:val="21"/>
      <w:u w:val="none"/>
    </w:rPr>
  </w:style>
  <w:style w:type="character" w:customStyle="1" w:styleId="54">
    <w:name w:val="font31"/>
    <w:basedOn w:val="25"/>
    <w:qFormat/>
    <w:uiPriority w:val="0"/>
    <w:rPr>
      <w:rFonts w:hint="eastAsia" w:ascii="等线" w:hAnsi="等线" w:eastAsia="等线" w:cs="等线"/>
      <w:color w:val="000000"/>
      <w:sz w:val="21"/>
      <w:szCs w:val="21"/>
      <w:u w:val="none"/>
    </w:rPr>
  </w:style>
  <w:style w:type="character" w:customStyle="1" w:styleId="55">
    <w:name w:val="font91"/>
    <w:basedOn w:val="25"/>
    <w:qFormat/>
    <w:uiPriority w:val="0"/>
    <w:rPr>
      <w:rFonts w:hint="eastAsia" w:ascii="等线" w:hAnsi="等线" w:eastAsia="等线" w:cs="等线"/>
      <w:color w:val="000000"/>
      <w:sz w:val="21"/>
      <w:szCs w:val="21"/>
      <w:u w:val="none"/>
    </w:rPr>
  </w:style>
  <w:style w:type="paragraph" w:customStyle="1" w:styleId="56">
    <w:name w:val="WPSOffice手动目录 1"/>
    <w:qFormat/>
    <w:uiPriority w:val="0"/>
    <w:rPr>
      <w:rFonts w:ascii="Times New Roman" w:hAnsi="Times New Roman" w:eastAsia="宋体" w:cs="Times New Roman"/>
      <w:lang w:val="en-US" w:eastAsia="zh-CN" w:bidi="ar-SA"/>
    </w:rPr>
  </w:style>
  <w:style w:type="paragraph" w:customStyle="1" w:styleId="57">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F0953-8AAE-4F58-977B-8548CECA14BF}">
  <ds:schemaRefs/>
</ds:datastoreItem>
</file>

<file path=docProps/app.xml><?xml version="1.0" encoding="utf-8"?>
<Properties xmlns="http://schemas.openxmlformats.org/officeDocument/2006/extended-properties" xmlns:vt="http://schemas.openxmlformats.org/officeDocument/2006/docPropsVTypes">
  <Template>Normal</Template>
  <Pages>36</Pages>
  <Words>17574</Words>
  <Characters>19788</Characters>
  <Lines>149</Lines>
  <Paragraphs>41</Paragraphs>
  <TotalTime>5</TotalTime>
  <ScaleCrop>false</ScaleCrop>
  <LinksUpToDate>false</LinksUpToDate>
  <CharactersWithSpaces>19941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2021-03-15T07:10:00Z</dcterms:created>
  <dc:creator>胡颖</dc:creator>
  <cp:lastModifiedBy>杨勇</cp:lastModifiedBy>
  <cp:lastPrinted>2023-09-15T01:39:00Z</cp:lastPrinted>
  <dcterms:modified xsi:type="dcterms:W3CDTF">2023-10-17T03:57:48Z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8802D06420344B8891185C625BBF819C_13</vt:lpwstr>
  </property>
</Properties>
</file>