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黑体" w:hAnsi="黑体" w:eastAsia="黑体"/>
          <w:bCs/>
          <w:color w:val="auto"/>
          <w:kern w:val="2"/>
          <w:sz w:val="40"/>
          <w:szCs w:val="40"/>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黑体" w:hAnsi="黑体" w:eastAsia="黑体"/>
          <w:bCs/>
          <w:color w:val="auto"/>
          <w:kern w:val="2"/>
          <w:sz w:val="40"/>
          <w:szCs w:val="40"/>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黑体" w:hAnsi="黑体" w:eastAsia="黑体"/>
          <w:bCs/>
          <w:color w:val="auto"/>
          <w:kern w:val="2"/>
          <w:sz w:val="40"/>
          <w:szCs w:val="40"/>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黑体" w:hAnsi="黑体" w:eastAsia="黑体"/>
          <w:bCs/>
          <w:color w:val="auto"/>
          <w:kern w:val="2"/>
          <w:sz w:val="40"/>
          <w:szCs w:val="40"/>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bCs/>
          <w:color w:val="auto"/>
          <w:kern w:val="2"/>
          <w:sz w:val="56"/>
          <w:szCs w:val="56"/>
        </w:rPr>
      </w:pPr>
      <w:r>
        <w:rPr>
          <w:rFonts w:hint="eastAsia" w:ascii="黑体" w:hAnsi="黑体" w:eastAsia="黑体"/>
          <w:bCs/>
          <w:color w:val="auto"/>
          <w:kern w:val="2"/>
          <w:sz w:val="56"/>
          <w:szCs w:val="56"/>
        </w:rPr>
        <w:t>伊金霍洛</w:t>
      </w:r>
      <w:bookmarkStart w:id="8" w:name="_GoBack"/>
      <w:bookmarkEnd w:id="8"/>
      <w:r>
        <w:rPr>
          <w:rFonts w:hint="eastAsia" w:ascii="黑体" w:hAnsi="黑体" w:eastAsia="黑体"/>
          <w:bCs/>
          <w:color w:val="auto"/>
          <w:kern w:val="2"/>
          <w:sz w:val="56"/>
          <w:szCs w:val="56"/>
        </w:rPr>
        <w:t>旗人民医院改扩建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bCs/>
          <w:color w:val="auto"/>
          <w:kern w:val="2"/>
          <w:sz w:val="56"/>
          <w:szCs w:val="56"/>
        </w:rPr>
      </w:pPr>
      <w:r>
        <w:rPr>
          <w:rFonts w:hint="eastAsia" w:ascii="黑体" w:hAnsi="黑体" w:eastAsia="黑体"/>
          <w:bCs/>
          <w:color w:val="auto"/>
          <w:kern w:val="2"/>
          <w:sz w:val="56"/>
          <w:szCs w:val="56"/>
        </w:rPr>
        <w:t>设备采购项目绩效评价报告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bCs/>
          <w:color w:val="auto"/>
          <w:kern w:val="2"/>
          <w:sz w:val="56"/>
          <w:szCs w:val="56"/>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u w:val="none"/>
          <w:lang w:val="en-US" w:eastAsia="zh-CN"/>
        </w:rPr>
      </w:pPr>
      <w:r>
        <w:rPr>
          <w:rFonts w:hint="eastAsia"/>
          <w:color w:val="auto"/>
          <w:u w:val="none"/>
          <w:lang w:val="en-US" w:eastAsia="zh-CN"/>
        </w:rPr>
        <w:t xml:space="preserve">实施单位：伊金霍洛旗人民医院         </w:t>
      </w:r>
    </w:p>
    <w:p>
      <w:pPr>
        <w:bidi w:val="0"/>
        <w:rPr>
          <w:rFonts w:hint="default"/>
          <w:color w:val="auto"/>
          <w:u w:val="none"/>
          <w:lang w:val="en-US" w:eastAsia="zh-CN"/>
        </w:rPr>
      </w:pPr>
      <w:r>
        <w:rPr>
          <w:rFonts w:hint="eastAsia"/>
          <w:color w:val="auto"/>
          <w:u w:val="none"/>
          <w:lang w:val="en-US" w:eastAsia="zh-CN"/>
        </w:rPr>
        <w:t xml:space="preserve">主管部门：伊金霍洛旗卫生健康委员会      </w:t>
      </w:r>
    </w:p>
    <w:p>
      <w:pPr>
        <w:bidi w:val="0"/>
        <w:rPr>
          <w:rFonts w:hint="default"/>
          <w:color w:val="auto"/>
          <w:u w:val="none"/>
          <w:lang w:val="en-US" w:eastAsia="zh-CN"/>
        </w:rPr>
      </w:pPr>
      <w:r>
        <w:rPr>
          <w:rFonts w:hint="eastAsia"/>
          <w:color w:val="auto"/>
          <w:u w:val="none"/>
          <w:lang w:val="en-US" w:eastAsia="zh-CN"/>
        </w:rPr>
        <w:t xml:space="preserve">委托单位：伊金霍洛旗绩效评价税收服务中心  </w:t>
      </w:r>
    </w:p>
    <w:p>
      <w:pPr>
        <w:bidi w:val="0"/>
        <w:rPr>
          <w:rFonts w:hint="default"/>
          <w:color w:val="auto"/>
          <w:u w:val="none"/>
          <w:lang w:val="en-US" w:eastAsia="zh-CN"/>
        </w:rPr>
      </w:pPr>
      <w:r>
        <w:rPr>
          <w:rFonts w:hint="eastAsia"/>
          <w:color w:val="auto"/>
          <w:u w:val="none"/>
          <w:lang w:val="en-US" w:eastAsia="zh-CN"/>
        </w:rPr>
        <w:t xml:space="preserve">评价机构：内蒙古伟睿咨询有限公司      </w:t>
      </w:r>
    </w:p>
    <w:p>
      <w:pPr>
        <w:bidi w:val="0"/>
        <w:rPr>
          <w:rFonts w:hint="default"/>
          <w:color w:val="auto"/>
          <w:u w:val="single"/>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Times New Roman"/>
          <w:bCs/>
          <w:color w:val="auto"/>
          <w:kern w:val="2"/>
          <w:sz w:val="36"/>
          <w:szCs w:val="36"/>
          <w:lang w:eastAsia="zh-CN"/>
        </w:rPr>
      </w:pPr>
      <w:r>
        <w:rPr>
          <w:rFonts w:hint="eastAsia" w:ascii="黑体" w:hAnsi="黑体" w:eastAsia="黑体" w:cs="Times New Roman"/>
          <w:bCs/>
          <w:color w:val="auto"/>
          <w:kern w:val="2"/>
          <w:sz w:val="36"/>
          <w:szCs w:val="36"/>
          <w:lang w:eastAsia="zh-CN"/>
        </w:rPr>
        <w:t>伊金霍洛旗人民医院改扩建设备采购项目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bCs/>
          <w:color w:val="auto"/>
          <w:kern w:val="2"/>
          <w:sz w:val="36"/>
          <w:szCs w:val="36"/>
        </w:rPr>
      </w:pPr>
      <w:r>
        <w:rPr>
          <w:rFonts w:hint="eastAsia" w:ascii="黑体" w:hAnsi="黑体" w:eastAsia="黑体"/>
          <w:bCs/>
          <w:color w:val="auto"/>
          <w:kern w:val="2"/>
          <w:sz w:val="36"/>
          <w:szCs w:val="36"/>
        </w:rPr>
        <w:t>支出绩效评价报告</w:t>
      </w:r>
    </w:p>
    <w:p>
      <w:pPr>
        <w:bidi w:val="0"/>
        <w:rPr>
          <w:rFonts w:hint="eastAsia" w:ascii="黑体" w:hAnsi="黑体" w:eastAsia="黑体"/>
          <w:bCs/>
          <w:color w:val="auto"/>
          <w:kern w:val="2"/>
          <w:szCs w:val="40"/>
        </w:rPr>
      </w:pPr>
    </w:p>
    <w:p>
      <w:pPr>
        <w:pStyle w:val="2"/>
        <w:bidi w:val="0"/>
        <w:rPr>
          <w:rFonts w:hint="eastAsia"/>
          <w:color w:val="auto"/>
        </w:rPr>
      </w:pPr>
      <w:bookmarkStart w:id="0" w:name="_Toc26524"/>
      <w:r>
        <w:rPr>
          <w:rFonts w:hint="eastAsia"/>
          <w:color w:val="auto"/>
        </w:rPr>
        <w:t>一、基本情况</w:t>
      </w:r>
      <w:bookmarkEnd w:id="0"/>
    </w:p>
    <w:p>
      <w:pPr>
        <w:pStyle w:val="4"/>
        <w:bidi w:val="0"/>
        <w:rPr>
          <w:rFonts w:hint="eastAsia"/>
          <w:color w:val="auto"/>
          <w:lang w:val="en-US" w:eastAsia="zh-CN"/>
        </w:rPr>
      </w:pPr>
      <w:bookmarkStart w:id="1" w:name="_Toc18344"/>
      <w:r>
        <w:rPr>
          <w:rFonts w:hint="eastAsia"/>
          <w:color w:val="auto"/>
        </w:rPr>
        <w:t>（一）</w:t>
      </w:r>
      <w:bookmarkEnd w:id="1"/>
      <w:r>
        <w:rPr>
          <w:rFonts w:hint="eastAsia"/>
          <w:color w:val="auto"/>
          <w:lang w:val="en-US" w:eastAsia="zh-CN"/>
        </w:rPr>
        <w:t>项目背景</w:t>
      </w:r>
    </w:p>
    <w:p>
      <w:pPr>
        <w:bidi w:val="0"/>
        <w:rPr>
          <w:rFonts w:hint="eastAsia" w:ascii="Times New Roman" w:hAnsi="Times New Roman" w:cs="Times New Roman"/>
          <w:color w:val="auto"/>
          <w:lang w:val="en-US" w:eastAsia="zh-CN"/>
        </w:rPr>
      </w:pPr>
      <w:r>
        <w:rPr>
          <w:rFonts w:hint="eastAsia"/>
          <w:color w:val="auto"/>
          <w:lang w:val="en-US" w:eastAsia="zh-CN"/>
        </w:rPr>
        <w:t>伊金霍洛旗人民医院于</w:t>
      </w:r>
      <w:r>
        <w:rPr>
          <w:rFonts w:hint="default"/>
          <w:color w:val="auto"/>
          <w:lang w:val="en-US" w:eastAsia="zh-CN"/>
        </w:rPr>
        <w:t>1958</w:t>
      </w:r>
      <w:r>
        <w:rPr>
          <w:rFonts w:hint="eastAsia"/>
          <w:color w:val="auto"/>
          <w:lang w:val="en-US" w:eastAsia="zh-CN"/>
        </w:rPr>
        <w:t>年由原郡王旗卫生院和札萨克旗卫生院合并而成，其前身旗卫生院分别于</w:t>
      </w:r>
      <w:r>
        <w:rPr>
          <w:rFonts w:hint="default"/>
          <w:color w:val="auto"/>
          <w:lang w:val="en-US" w:eastAsia="zh-CN"/>
        </w:rPr>
        <w:t>1952</w:t>
      </w:r>
      <w:r>
        <w:rPr>
          <w:rFonts w:hint="eastAsia"/>
          <w:color w:val="auto"/>
          <w:lang w:val="en-US" w:eastAsia="zh-CN"/>
        </w:rPr>
        <w:t>年和</w:t>
      </w:r>
      <w:r>
        <w:rPr>
          <w:rFonts w:hint="default"/>
          <w:color w:val="auto"/>
          <w:lang w:val="en-US" w:eastAsia="zh-CN"/>
        </w:rPr>
        <w:t>1951</w:t>
      </w:r>
      <w:r>
        <w:rPr>
          <w:rFonts w:hint="eastAsia"/>
          <w:color w:val="auto"/>
          <w:lang w:val="en-US" w:eastAsia="zh-CN"/>
        </w:rPr>
        <w:t>年成立。伊旗医院经过</w:t>
      </w:r>
      <w:r>
        <w:rPr>
          <w:rFonts w:hint="default"/>
          <w:color w:val="auto"/>
          <w:lang w:val="en-US" w:eastAsia="zh-CN"/>
        </w:rPr>
        <w:t>50</w:t>
      </w:r>
      <w:r>
        <w:rPr>
          <w:rFonts w:hint="eastAsia"/>
          <w:color w:val="auto"/>
          <w:lang w:val="en-US" w:eastAsia="zh-CN"/>
        </w:rPr>
        <w:t>多年的建设发展，现已成为一所集医疗、预防、保健、社区卫生服务和教学于一体的综合性二级乙等医院，担负着全旗</w:t>
      </w:r>
      <w:r>
        <w:rPr>
          <w:rFonts w:hint="default"/>
          <w:color w:val="auto"/>
          <w:lang w:val="en-US" w:eastAsia="zh-CN"/>
        </w:rPr>
        <w:t>25</w:t>
      </w:r>
      <w:r>
        <w:rPr>
          <w:rFonts w:hint="eastAsia"/>
          <w:color w:val="auto"/>
          <w:lang w:val="en-US" w:eastAsia="zh-CN"/>
        </w:rPr>
        <w:t>万人民群众及周边地区广大群众的急救、医疗、妇幼保健等任务。伊金霍洛旗人民医院坚持“人才兴院、技术兴院、服务兴院”的办院方针，以“全心全意为患者服务”的宗旨，推动医院持续、稳定、健康发展。医院不断加强内部管理，加强文化品牌建设及培养优秀的人才队伍，在环境、设备、医疗技术和医疗服务质量整体水平上实现跨越，切实履行了一所医院所承担的医疗、急救、预防、教学科研等职能，为医疗卫生事业的发展奠定了更加坚实的基础。伊金霍洛旗人民医院将紧紧围绕“使群众有地方看病、看得起病、看得好病”的工作目标，发扬“人道在心、责任在肩”的医院精神，倡导“厚慈为医、健康为本”的院训，坚持“和谐、规范、创新、学术”的办院理念，秉承“给您真诚、爱心和信心”的服务宗旨，“志于道、据于德、依于仁、游于艺”，栉风沐雨，砥砺奋进，努力建设国内先进的现代化优质医院，为保障人民健康继续作出更大的贡献。</w:t>
      </w:r>
      <w:r>
        <w:rPr>
          <w:rFonts w:hint="default"/>
          <w:color w:val="auto"/>
          <w:lang w:val="en-US" w:eastAsia="zh-CN"/>
        </w:rPr>
        <w:t>2009</w:t>
      </w:r>
      <w:r>
        <w:rPr>
          <w:rFonts w:hint="eastAsia"/>
          <w:color w:val="auto"/>
          <w:lang w:val="en-US" w:eastAsia="zh-CN"/>
        </w:rPr>
        <w:t>年，由政府投资新建的伊旗人民医院占地</w:t>
      </w:r>
      <w:r>
        <w:rPr>
          <w:rFonts w:hint="eastAsia" w:ascii="Times New Roman" w:hAnsi="Times New Roman" w:cs="Times New Roman"/>
          <w:color w:val="auto"/>
          <w:lang w:val="en-US" w:eastAsia="zh-CN"/>
        </w:rPr>
        <w:t>面积</w:t>
      </w:r>
      <w:r>
        <w:rPr>
          <w:rFonts w:hint="default" w:ascii="Times New Roman" w:hAnsi="Times New Roman" w:cs="Times New Roman"/>
          <w:color w:val="auto"/>
          <w:lang w:val="en-US" w:eastAsia="zh-CN"/>
        </w:rPr>
        <w:t>6.4</w:t>
      </w:r>
      <w:r>
        <w:rPr>
          <w:rFonts w:hint="eastAsia" w:ascii="Times New Roman" w:hAnsi="Times New Roman" w:cs="Times New Roman"/>
          <w:color w:val="auto"/>
          <w:lang w:val="en-US" w:eastAsia="zh-CN"/>
        </w:rPr>
        <w:t>万平方米，总建筑面积</w:t>
      </w:r>
      <w:r>
        <w:rPr>
          <w:rFonts w:hint="default" w:ascii="Times New Roman" w:hAnsi="Times New Roman" w:cs="Times New Roman"/>
          <w:color w:val="auto"/>
          <w:lang w:val="en-US" w:eastAsia="zh-CN"/>
        </w:rPr>
        <w:t>2.41</w:t>
      </w:r>
      <w:r>
        <w:rPr>
          <w:rFonts w:hint="eastAsia" w:ascii="Times New Roman" w:hAnsi="Times New Roman" w:cs="Times New Roman"/>
          <w:color w:val="auto"/>
          <w:lang w:val="en-US" w:eastAsia="zh-CN"/>
        </w:rPr>
        <w:t>万平方米。设有院委会、党支部、办公室等</w:t>
      </w:r>
      <w:r>
        <w:rPr>
          <w:rFonts w:hint="default" w:ascii="Times New Roman" w:hAnsi="Times New Roman" w:cs="Times New Roman"/>
          <w:color w:val="auto"/>
          <w:lang w:val="en-US" w:eastAsia="zh-CN"/>
        </w:rPr>
        <w:t>13</w:t>
      </w:r>
      <w:r>
        <w:rPr>
          <w:rFonts w:hint="eastAsia" w:ascii="Times New Roman" w:hAnsi="Times New Roman" w:cs="Times New Roman"/>
          <w:color w:val="auto"/>
          <w:lang w:val="en-US" w:eastAsia="zh-CN"/>
        </w:rPr>
        <w:t>个行政职能科室；内科、外科、妇产科等</w:t>
      </w:r>
      <w:r>
        <w:rPr>
          <w:rFonts w:hint="default" w:ascii="Times New Roman" w:hAnsi="Times New Roman" w:cs="Times New Roman"/>
          <w:color w:val="auto"/>
          <w:lang w:val="en-US" w:eastAsia="zh-CN"/>
        </w:rPr>
        <w:t>12</w:t>
      </w:r>
      <w:r>
        <w:rPr>
          <w:rFonts w:hint="eastAsia" w:ascii="Times New Roman" w:hAnsi="Times New Roman" w:cs="Times New Roman"/>
          <w:color w:val="auto"/>
          <w:lang w:val="en-US" w:eastAsia="zh-CN"/>
        </w:rPr>
        <w:t>个临床科室；放射、检验等</w:t>
      </w:r>
      <w:r>
        <w:rPr>
          <w:rFonts w:hint="default" w:ascii="Times New Roman" w:hAnsi="Times New Roman" w:cs="Times New Roman"/>
          <w:color w:val="auto"/>
          <w:lang w:val="en-US" w:eastAsia="zh-CN"/>
        </w:rPr>
        <w:t>9</w:t>
      </w:r>
      <w:r>
        <w:rPr>
          <w:rFonts w:hint="eastAsia" w:ascii="Times New Roman" w:hAnsi="Times New Roman" w:cs="Times New Roman"/>
          <w:color w:val="auto"/>
          <w:lang w:val="en-US" w:eastAsia="zh-CN"/>
        </w:rPr>
        <w:t>个医技科室，开放床位</w:t>
      </w:r>
      <w:r>
        <w:rPr>
          <w:rFonts w:hint="default" w:ascii="Times New Roman" w:hAnsi="Times New Roman" w:cs="Times New Roman"/>
          <w:color w:val="auto"/>
          <w:lang w:val="en-US" w:eastAsia="zh-CN"/>
        </w:rPr>
        <w:t>250</w:t>
      </w:r>
      <w:r>
        <w:rPr>
          <w:rFonts w:hint="eastAsia" w:ascii="Times New Roman" w:hAnsi="Times New Roman" w:cs="Times New Roman"/>
          <w:color w:val="auto"/>
          <w:lang w:val="en-US" w:eastAsia="zh-CN"/>
        </w:rPr>
        <w:t>张，特别是</w:t>
      </w:r>
      <w:r>
        <w:rPr>
          <w:rFonts w:hint="default" w:ascii="Times New Roman" w:hAnsi="Times New Roman" w:cs="Times New Roman"/>
          <w:color w:val="auto"/>
          <w:lang w:val="en-US" w:eastAsia="zh-CN"/>
        </w:rPr>
        <w:t>B</w:t>
      </w:r>
      <w:r>
        <w:rPr>
          <w:rFonts w:hint="eastAsia" w:ascii="Times New Roman" w:hAnsi="Times New Roman" w:cs="Times New Roman"/>
          <w:color w:val="auto"/>
          <w:lang w:val="en-US" w:eastAsia="zh-CN"/>
        </w:rPr>
        <w:t>超专科优势显著，为鄂尔多斯市重点专科。</w:t>
      </w:r>
    </w:p>
    <w:p>
      <w:pPr>
        <w:bidi w:val="0"/>
        <w:rPr>
          <w:color w:val="auto"/>
        </w:rPr>
      </w:pPr>
      <w:r>
        <w:rPr>
          <w:rFonts w:hint="eastAsia"/>
          <w:color w:val="auto"/>
          <w:lang w:val="en-US" w:eastAsia="zh-CN"/>
        </w:rPr>
        <w:t>近年来医疗行业日新月异，医疗科技发展也十分迅速，相应的医疗建筑也迎来了新的改革，人们医疗保健意识的日益提高，对医疗水平、就医环境等方面也提出了更高的要求，这促使越来越多的医院进行改扩建，以满足医院发展的需求。</w:t>
      </w:r>
    </w:p>
    <w:p>
      <w:pPr>
        <w:bidi w:val="0"/>
        <w:rPr>
          <w:rFonts w:hint="eastAsia"/>
          <w:color w:val="auto"/>
          <w:lang w:val="en-US" w:eastAsia="zh-CN"/>
        </w:rPr>
      </w:pPr>
      <w:r>
        <w:rPr>
          <w:rFonts w:hint="eastAsia"/>
          <w:color w:val="auto"/>
          <w:lang w:val="en-US" w:eastAsia="zh-CN"/>
        </w:rPr>
        <w:t>同时，从医院自身发展来说，实施旗人民医院改扩建项目也是医院“创二甲，升三级”所必须实施的硬件建设工程。旗人民医院承担全旗及周边</w:t>
      </w:r>
      <w:r>
        <w:rPr>
          <w:rFonts w:hint="default"/>
          <w:color w:val="auto"/>
          <w:lang w:val="en-US" w:eastAsia="zh-CN"/>
        </w:rPr>
        <w:t>25</w:t>
      </w:r>
      <w:r>
        <w:rPr>
          <w:rFonts w:hint="eastAsia"/>
          <w:color w:val="auto"/>
          <w:lang w:val="en-US" w:eastAsia="zh-CN"/>
        </w:rPr>
        <w:t>万余人的医疗服务，提高医院服务能力，满足人民群众日益增长的医疗卫生需求，就必须扩大医疗服务规模。全旗医疗机构床位</w:t>
      </w:r>
      <w:r>
        <w:rPr>
          <w:rFonts w:hint="default"/>
          <w:color w:val="auto"/>
          <w:lang w:val="en-US" w:eastAsia="zh-CN"/>
        </w:rPr>
        <w:t>1375</w:t>
      </w:r>
      <w:r>
        <w:rPr>
          <w:rFonts w:hint="eastAsia"/>
          <w:color w:val="auto"/>
          <w:lang w:val="en-US" w:eastAsia="zh-CN"/>
        </w:rPr>
        <w:t>张，其中旗人民医院</w:t>
      </w:r>
      <w:r>
        <w:rPr>
          <w:rFonts w:hint="default"/>
          <w:color w:val="auto"/>
          <w:lang w:val="en-US" w:eastAsia="zh-CN"/>
        </w:rPr>
        <w:t>250</w:t>
      </w:r>
      <w:r>
        <w:rPr>
          <w:rFonts w:hint="eastAsia"/>
          <w:color w:val="auto"/>
          <w:lang w:val="en-US" w:eastAsia="zh-CN"/>
        </w:rPr>
        <w:t>张。全旗每千人口医疗卫生机构床位数为</w:t>
      </w:r>
      <w:r>
        <w:rPr>
          <w:rFonts w:hint="default"/>
          <w:color w:val="auto"/>
          <w:lang w:val="en-US" w:eastAsia="zh-CN"/>
        </w:rPr>
        <w:t>5.31</w:t>
      </w:r>
      <w:r>
        <w:rPr>
          <w:rFonts w:hint="eastAsia"/>
          <w:color w:val="auto"/>
          <w:lang w:val="en-US" w:eastAsia="zh-CN"/>
        </w:rPr>
        <w:t>张，而全国同期平均水平为</w:t>
      </w:r>
      <w:r>
        <w:rPr>
          <w:rFonts w:hint="default"/>
          <w:color w:val="auto"/>
          <w:lang w:val="en-US" w:eastAsia="zh-CN"/>
        </w:rPr>
        <w:t>5.72</w:t>
      </w:r>
      <w:r>
        <w:rPr>
          <w:rFonts w:hint="eastAsia"/>
          <w:color w:val="auto"/>
          <w:lang w:val="en-US" w:eastAsia="zh-CN"/>
        </w:rPr>
        <w:t>张</w:t>
      </w:r>
      <w:r>
        <w:rPr>
          <w:rFonts w:hint="default"/>
          <w:color w:val="auto"/>
          <w:lang w:val="en-US" w:eastAsia="zh-CN"/>
        </w:rPr>
        <w:t>/</w:t>
      </w:r>
      <w:r>
        <w:rPr>
          <w:rFonts w:hint="eastAsia"/>
          <w:color w:val="auto"/>
          <w:lang w:val="en-US" w:eastAsia="zh-CN"/>
        </w:rPr>
        <w:t>千人口，全旗较平均水平低</w:t>
      </w:r>
      <w:r>
        <w:rPr>
          <w:rFonts w:hint="default"/>
          <w:color w:val="auto"/>
          <w:lang w:val="en-US" w:eastAsia="zh-CN"/>
        </w:rPr>
        <w:t>7.2%</w:t>
      </w:r>
      <w:r>
        <w:rPr>
          <w:rFonts w:hint="eastAsia"/>
          <w:color w:val="auto"/>
          <w:lang w:val="en-US" w:eastAsia="zh-CN"/>
        </w:rPr>
        <w:t>。按照《鄂尔多斯市“十三五”卫生计生事业发展规划纲要》规定，到</w:t>
      </w:r>
      <w:r>
        <w:rPr>
          <w:rFonts w:hint="default"/>
          <w:color w:val="auto"/>
          <w:lang w:val="en-US" w:eastAsia="zh-CN"/>
        </w:rPr>
        <w:t>2020</w:t>
      </w:r>
      <w:r>
        <w:rPr>
          <w:rFonts w:hint="eastAsia"/>
          <w:color w:val="auto"/>
          <w:lang w:val="en-US" w:eastAsia="zh-CN"/>
        </w:rPr>
        <w:t>年每千人口医疗机构床位数达到</w:t>
      </w:r>
      <w:r>
        <w:rPr>
          <w:rFonts w:hint="default"/>
          <w:color w:val="auto"/>
          <w:lang w:val="en-US" w:eastAsia="zh-CN"/>
        </w:rPr>
        <w:t>6.1</w:t>
      </w:r>
      <w:r>
        <w:rPr>
          <w:rFonts w:hint="eastAsia"/>
          <w:color w:val="auto"/>
          <w:lang w:val="en-US" w:eastAsia="zh-CN"/>
        </w:rPr>
        <w:t>张，与目前相差</w:t>
      </w:r>
      <w:r>
        <w:rPr>
          <w:rFonts w:hint="default"/>
          <w:color w:val="auto"/>
          <w:lang w:val="en-US" w:eastAsia="zh-CN"/>
        </w:rPr>
        <w:t>13%</w:t>
      </w:r>
      <w:r>
        <w:rPr>
          <w:rFonts w:hint="eastAsia"/>
          <w:color w:val="auto"/>
          <w:lang w:val="en-US" w:eastAsia="zh-CN"/>
        </w:rPr>
        <w:t>。因此，提出了本项目的实施。</w:t>
      </w:r>
    </w:p>
    <w:p>
      <w:pPr>
        <w:pStyle w:val="4"/>
        <w:bidi w:val="0"/>
        <w:rPr>
          <w:rFonts w:hint="eastAsia"/>
          <w:color w:val="auto"/>
          <w:lang w:val="en-US" w:eastAsia="zh-CN"/>
        </w:rPr>
      </w:pPr>
      <w:r>
        <w:rPr>
          <w:rFonts w:hint="eastAsia"/>
          <w:color w:val="auto"/>
          <w:lang w:val="en-US" w:eastAsia="zh-CN"/>
        </w:rPr>
        <w:t>（二）主要实施内容及实施情况</w:t>
      </w:r>
    </w:p>
    <w:p>
      <w:pPr>
        <w:rPr>
          <w:rFonts w:hint="eastAsia"/>
          <w:color w:val="auto"/>
          <w:lang w:val="en-US" w:eastAsia="zh-CN"/>
        </w:rPr>
      </w:pPr>
      <w:r>
        <w:rPr>
          <w:rFonts w:hint="eastAsia"/>
          <w:color w:val="auto"/>
          <w:lang w:val="en-US" w:eastAsia="zh-CN"/>
        </w:rPr>
        <w:t>该项目主要实施内容为医院改扩建后增加的医疗检查设备（详见医疗检查设备采购明细表），截至评价之日，该项目的医疗检查设备已全部完成采购并投入使用。</w:t>
      </w:r>
    </w:p>
    <w:p>
      <w:pPr>
        <w:pStyle w:val="5"/>
        <w:bidi w:val="0"/>
        <w:rPr>
          <w:rFonts w:hint="default"/>
          <w:color w:val="auto"/>
          <w:lang w:val="en-US" w:eastAsia="zh-CN"/>
        </w:rPr>
      </w:pPr>
      <w:r>
        <w:rPr>
          <w:rFonts w:hint="eastAsia"/>
          <w:color w:val="auto"/>
          <w:lang w:val="en-US" w:eastAsia="zh-CN"/>
        </w:rPr>
        <w:t>表1：医疗设备采购明细表</w:t>
      </w:r>
    </w:p>
    <w:tbl>
      <w:tblPr>
        <w:tblStyle w:val="11"/>
        <w:tblW w:w="908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5"/>
        <w:gridCol w:w="2505"/>
        <w:gridCol w:w="645"/>
        <w:gridCol w:w="679"/>
        <w:gridCol w:w="660"/>
        <w:gridCol w:w="2456"/>
        <w:gridCol w:w="758"/>
        <w:gridCol w:w="7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tblHeader/>
          <w:jc w:val="center"/>
        </w:trPr>
        <w:tc>
          <w:tcPr>
            <w:tcW w:w="645" w:type="dxa"/>
            <w:tcBorders>
              <w:top w:val="single" w:color="000000" w:sz="4" w:space="0"/>
              <w:left w:val="single" w:color="000000" w:sz="4" w:space="0"/>
              <w:bottom w:val="single" w:color="000000" w:sz="4" w:space="0"/>
              <w:right w:val="single" w:color="000000" w:sz="4" w:space="0"/>
            </w:tcBorders>
            <w:shd w:val="clear" w:color="auto" w:fill="9ED3A3" w:themeFill="background1" w:themeFillShade="D8"/>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序号</w:t>
            </w:r>
          </w:p>
        </w:tc>
        <w:tc>
          <w:tcPr>
            <w:tcW w:w="2505" w:type="dxa"/>
            <w:tcBorders>
              <w:top w:val="single" w:color="000000" w:sz="4" w:space="0"/>
              <w:left w:val="single" w:color="000000" w:sz="4" w:space="0"/>
              <w:bottom w:val="single" w:color="000000" w:sz="4" w:space="0"/>
              <w:right w:val="single" w:color="000000" w:sz="4" w:space="0"/>
            </w:tcBorders>
            <w:shd w:val="clear" w:color="auto" w:fill="9ED3A3" w:themeFill="background1" w:themeFillShade="D8"/>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设备名称</w:t>
            </w:r>
          </w:p>
        </w:tc>
        <w:tc>
          <w:tcPr>
            <w:tcW w:w="645" w:type="dxa"/>
            <w:tcBorders>
              <w:top w:val="single" w:color="000000" w:sz="4" w:space="0"/>
              <w:left w:val="single" w:color="000000" w:sz="4" w:space="0"/>
              <w:bottom w:val="single" w:color="000000" w:sz="4" w:space="0"/>
              <w:right w:val="single" w:color="000000" w:sz="4" w:space="0"/>
            </w:tcBorders>
            <w:shd w:val="clear" w:color="auto" w:fill="9ED3A3" w:themeFill="background1" w:themeFillShade="D8"/>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单位</w:t>
            </w:r>
          </w:p>
        </w:tc>
        <w:tc>
          <w:tcPr>
            <w:tcW w:w="679" w:type="dxa"/>
            <w:tcBorders>
              <w:top w:val="single" w:color="000000" w:sz="4" w:space="0"/>
              <w:left w:val="single" w:color="000000" w:sz="4" w:space="0"/>
              <w:bottom w:val="single" w:color="000000" w:sz="4" w:space="0"/>
              <w:right w:val="single" w:color="000000" w:sz="4" w:space="0"/>
            </w:tcBorders>
            <w:shd w:val="clear" w:color="auto" w:fill="9ED3A3" w:themeFill="background1" w:themeFillShade="D8"/>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数量</w:t>
            </w:r>
          </w:p>
        </w:tc>
        <w:tc>
          <w:tcPr>
            <w:tcW w:w="660" w:type="dxa"/>
            <w:tcBorders>
              <w:top w:val="single" w:color="000000" w:sz="4" w:space="0"/>
              <w:left w:val="single" w:color="000000" w:sz="4" w:space="0"/>
              <w:bottom w:val="single" w:color="000000" w:sz="4" w:space="0"/>
              <w:right w:val="single" w:color="000000" w:sz="4" w:space="0"/>
            </w:tcBorders>
            <w:shd w:val="clear" w:color="auto" w:fill="9ED3A3" w:themeFill="background1" w:themeFillShade="D8"/>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序号</w:t>
            </w:r>
          </w:p>
        </w:tc>
        <w:tc>
          <w:tcPr>
            <w:tcW w:w="2456" w:type="dxa"/>
            <w:tcBorders>
              <w:top w:val="single" w:color="000000" w:sz="4" w:space="0"/>
              <w:left w:val="single" w:color="000000" w:sz="4" w:space="0"/>
              <w:bottom w:val="single" w:color="000000" w:sz="4" w:space="0"/>
              <w:right w:val="single" w:color="000000" w:sz="4" w:space="0"/>
            </w:tcBorders>
            <w:shd w:val="clear" w:color="auto" w:fill="9ED3A3" w:themeFill="background1" w:themeFillShade="D8"/>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设备名称</w:t>
            </w:r>
          </w:p>
        </w:tc>
        <w:tc>
          <w:tcPr>
            <w:tcW w:w="758" w:type="dxa"/>
            <w:tcBorders>
              <w:top w:val="single" w:color="000000" w:sz="4" w:space="0"/>
              <w:left w:val="single" w:color="000000" w:sz="4" w:space="0"/>
              <w:bottom w:val="single" w:color="000000" w:sz="4" w:space="0"/>
              <w:right w:val="single" w:color="000000" w:sz="4" w:space="0"/>
            </w:tcBorders>
            <w:shd w:val="clear" w:color="auto" w:fill="9ED3A3" w:themeFill="background1" w:themeFillShade="D8"/>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单位</w:t>
            </w:r>
          </w:p>
        </w:tc>
        <w:tc>
          <w:tcPr>
            <w:tcW w:w="734" w:type="dxa"/>
            <w:tcBorders>
              <w:top w:val="single" w:color="000000" w:sz="4" w:space="0"/>
              <w:left w:val="single" w:color="000000" w:sz="4" w:space="0"/>
              <w:bottom w:val="single" w:color="000000" w:sz="4" w:space="0"/>
              <w:right w:val="single" w:color="000000" w:sz="4" w:space="0"/>
            </w:tcBorders>
            <w:shd w:val="clear" w:color="auto" w:fill="9ED3A3" w:themeFill="background1" w:themeFillShade="D8"/>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生物刺激反馈仪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78</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振动式物理治疗仪</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盆底表面肌电分析系统</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套</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79</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儿童排痰背心</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个</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体内微电极碎石仪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80</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下肢功能锻炼</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套</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急救呼吸机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81</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电脑骨创治疗仪</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十二道心电图机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82</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低频电磁脉冲治疗仪</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多功能便携式除颤监护仪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83</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蓝氧治疗平台</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高档床边监护仪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84</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超声脉冲电导治疗仪</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呼吸机设备及配套设施</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套</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85</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神经肌电刺激仪</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荧光定量系统</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套</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86</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下肢关节康复器</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数字化脑电图</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87</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吞咽神经肌肉电刺激仪</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强脉冲光治疗仪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88</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婴儿培养箱</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个</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LED光疗仪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89</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监护仪</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喷砂机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90</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注射泵</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笑气吸入镇静镇痛系统</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套</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91</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呼吸湿化治疗仪</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种植工具盒</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个</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92</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营养泵</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头戴式放大镜</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个</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93</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胎心监护仪</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口腔治疗仪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94</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医用显示器</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中耳功能分析仪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95</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医用显示器</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纯耳测听室</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96</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产后康复仪</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裂隙灯</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个</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97</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手术室基础器械</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体外冲击波碎石机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98</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骨密度</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个</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尿动力学分析仪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99</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肌电图</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个</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手术刨消器</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100</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高频电刀</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个</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氩气高频电刀</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个</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101</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输尿管硬镜</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个</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体外冲击波治疗仪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102</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盆底磁疗</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个</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射频控温热凝器</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103</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遥测监护</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个</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医用臭氧治疗仪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104</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微波治疗仪</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手术室器械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套</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105</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射频消融</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单微量注射泵</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6</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106</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手术显微镜</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双微量注射泵</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107</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宫腔镜</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高档床旁监护仪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5</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108</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全自动细胞分析仪</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十二导心电图机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109</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全自动尿液分析流水线</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除颤仪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110</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全自动凝血分析仪</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中央监护系统</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套</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111</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全自动糖化血红蛋白分析仪</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手术室体位配件</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套</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112</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全自动粪便分析仪</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电子胃肠镜系统</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套</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113</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动态血沉压积测试仪</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牙科显微镜</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114</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全自动化学发光免疫分析仪</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热牙胶充填仪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115</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全自动生化分析仪</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牙科电动马达</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116</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全自动化学发光免疫分析仪</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光固化机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117</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PT床</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个</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牙髓活力测试仪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118</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PT凳</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个</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超声根管荡洗笔</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套</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119</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平衡杠</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个</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牙科打磨机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120</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多功能训练器</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套</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静音无油空压机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121</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短波治疗仪</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48小时12导动态心电图记录仪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122</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悬吊康复训练系统</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套</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心电图采集盒</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个</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123</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医用诊疗床</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张</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24小时动态血压记录仪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124</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等速综合肌力评估与训练系统</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套</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麻醉回路消毒机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125</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动态干扰电治疗仪</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医用升温毯</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个</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126</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电动牵引床</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张</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50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医用升温毯</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个</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127</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康复床</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张</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51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电动气压止血仪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128</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蜡疗仪</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52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医用骨钻</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个</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129</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步态与平衡功能训练评估系统</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套</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53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病理科检验设备系统</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套</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130</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医用诊疗床</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张</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54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呼吸机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131</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经颅磁刺激仪</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55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血透过滤设备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套</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132</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双通道注射泵</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56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血透设备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133</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TCI注射泵</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57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荧光免疫定量分析仪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134</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可视喉镜</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58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数字震动感觉检查仪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135</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麻醉监护仪</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59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全自动洗胃机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136</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麻醉监护仪</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60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红光治疗仪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137</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麻醉剂</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61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电生理标测消融系统</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套</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138</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激光治疗机</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62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空气波压力治疗仪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139</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二氧化碳激光治疗机</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63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临时起搏器</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140</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半导体激光脱毛机</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64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红外脉冲辐照治疗机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141</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准分子激光治疗机</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65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射频等离子体手术系统</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套</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142</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皮肤镜检测平台</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套</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66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眼科手术显微镜</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个</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143</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彩色多普勒超声系统</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套</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67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电脑验光仪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144</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便携式彩色多普勒超声</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68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直接眼底镜</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个</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145</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中心监护系统</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69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全自动电脑焦度仪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146</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转运监护仪</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70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手术器械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个</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147</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呼吸机</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71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牙科综合治疗机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148</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呼吸机2</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72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4K荧光腹腔镜系统</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套</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149</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转运呼吸机</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73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前列腺等离子电切系统</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套</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150</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无创呼吸机</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74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钬激光</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151</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输液信息采集系统</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套</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75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蒸汽灭菌器</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个</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152</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中心监护系统</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套</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76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胃肠动力治疗仪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153</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乳腺悬切设备</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77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排痰仪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7</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154</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人体模型</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个</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10</w:t>
            </w:r>
          </w:p>
        </w:tc>
      </w:tr>
    </w:tbl>
    <w:p>
      <w:pPr>
        <w:pStyle w:val="4"/>
        <w:bidi w:val="0"/>
        <w:rPr>
          <w:rFonts w:hint="eastAsia"/>
          <w:color w:val="auto"/>
          <w:lang w:val="en-US" w:eastAsia="zh-CN"/>
        </w:rPr>
      </w:pPr>
      <w:r>
        <w:rPr>
          <w:rFonts w:hint="eastAsia"/>
          <w:color w:val="auto"/>
          <w:lang w:val="en-US" w:eastAsia="zh-CN"/>
        </w:rPr>
        <w:t>（三）项目组织管理</w:t>
      </w:r>
    </w:p>
    <w:p>
      <w:pPr>
        <w:rPr>
          <w:rFonts w:hint="default"/>
          <w:color w:val="auto"/>
          <w:lang w:val="en-US" w:eastAsia="zh-CN"/>
        </w:rPr>
      </w:pPr>
      <w:r>
        <w:rPr>
          <w:rFonts w:hint="eastAsia"/>
          <w:color w:val="auto"/>
          <w:lang w:val="en-US" w:eastAsia="zh-CN"/>
        </w:rPr>
        <w:t>该项目由伊金霍洛旗卫生健康委员会牵头，具体由伊金霍洛旗人民医院负责实施。</w:t>
      </w:r>
    </w:p>
    <w:p>
      <w:pPr>
        <w:pStyle w:val="4"/>
        <w:bidi w:val="0"/>
        <w:rPr>
          <w:rFonts w:hint="eastAsia"/>
          <w:color w:val="auto"/>
          <w:lang w:val="en-US" w:eastAsia="zh-CN"/>
        </w:rPr>
      </w:pPr>
      <w:r>
        <w:rPr>
          <w:rFonts w:hint="eastAsia"/>
          <w:color w:val="auto"/>
          <w:lang w:val="en-US" w:eastAsia="zh-CN"/>
        </w:rPr>
        <w:t>（四）资金投入及使用情况</w:t>
      </w:r>
    </w:p>
    <w:p>
      <w:pPr>
        <w:bidi w:val="0"/>
        <w:rPr>
          <w:rFonts w:hint="default"/>
          <w:color w:val="auto"/>
          <w:lang w:val="en-US" w:eastAsia="zh-CN"/>
        </w:rPr>
      </w:pPr>
      <w:r>
        <w:rPr>
          <w:rFonts w:hint="eastAsia"/>
          <w:color w:val="auto"/>
          <w:lang w:val="en-US" w:eastAsia="zh-CN"/>
        </w:rPr>
        <w:t>伊金霍洛旗卫生健康委员会于2021年9月收到伊金霍洛旗财政局拨款5000万元，2021年10月将该资金全额拨付至伊金霍洛旗人民医院，截至评价之日该项目资金已全部支付，资金支付率100%。具体详见资金支出明细表。</w:t>
      </w:r>
    </w:p>
    <w:p>
      <w:pPr>
        <w:pStyle w:val="5"/>
        <w:bidi w:val="0"/>
        <w:rPr>
          <w:rFonts w:hint="eastAsia"/>
          <w:color w:val="auto"/>
          <w:lang w:val="en-US" w:eastAsia="zh-CN"/>
        </w:rPr>
      </w:pPr>
      <w:r>
        <w:rPr>
          <w:rFonts w:hint="eastAsia"/>
          <w:color w:val="auto"/>
          <w:lang w:val="en-US" w:eastAsia="zh-CN"/>
        </w:rPr>
        <w:t>表2：医疗设备付款明细表</w:t>
      </w:r>
    </w:p>
    <w:tbl>
      <w:tblPr>
        <w:tblStyle w:val="11"/>
        <w:tblW w:w="86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4"/>
        <w:gridCol w:w="3270"/>
        <w:gridCol w:w="1350"/>
        <w:gridCol w:w="1155"/>
        <w:gridCol w:w="1080"/>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blHeader/>
        </w:trPr>
        <w:tc>
          <w:tcPr>
            <w:tcW w:w="684" w:type="dxa"/>
            <w:tcBorders>
              <w:top w:val="single" w:color="000000" w:sz="4" w:space="0"/>
              <w:left w:val="single" w:color="000000" w:sz="4" w:space="0"/>
              <w:bottom w:val="single" w:color="000000" w:sz="4" w:space="0"/>
              <w:right w:val="single" w:color="000000" w:sz="4" w:space="0"/>
            </w:tcBorders>
            <w:shd w:val="clear" w:color="auto" w:fill="9ED3A3" w:themeFill="background1" w:themeFillShade="D8"/>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序号</w:t>
            </w:r>
          </w:p>
        </w:tc>
        <w:tc>
          <w:tcPr>
            <w:tcW w:w="3270" w:type="dxa"/>
            <w:tcBorders>
              <w:top w:val="single" w:color="000000" w:sz="4" w:space="0"/>
              <w:left w:val="single" w:color="000000" w:sz="4" w:space="0"/>
              <w:bottom w:val="single" w:color="000000" w:sz="4" w:space="0"/>
              <w:right w:val="single" w:color="000000" w:sz="4" w:space="0"/>
            </w:tcBorders>
            <w:shd w:val="clear" w:color="auto" w:fill="9ED3A3" w:themeFill="background1" w:themeFillShade="D8"/>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供货商</w:t>
            </w:r>
          </w:p>
        </w:tc>
        <w:tc>
          <w:tcPr>
            <w:tcW w:w="1350" w:type="dxa"/>
            <w:tcBorders>
              <w:top w:val="single" w:color="000000" w:sz="4" w:space="0"/>
              <w:left w:val="single" w:color="000000" w:sz="4" w:space="0"/>
              <w:bottom w:val="single" w:color="000000" w:sz="4" w:space="0"/>
              <w:right w:val="single" w:color="000000" w:sz="4" w:space="0"/>
            </w:tcBorders>
            <w:shd w:val="clear" w:color="auto" w:fill="9ED3A3" w:themeFill="background1" w:themeFillShade="D8"/>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签订时间</w:t>
            </w:r>
          </w:p>
        </w:tc>
        <w:tc>
          <w:tcPr>
            <w:tcW w:w="1155" w:type="dxa"/>
            <w:tcBorders>
              <w:top w:val="single" w:color="000000" w:sz="4" w:space="0"/>
              <w:left w:val="single" w:color="000000" w:sz="4" w:space="0"/>
              <w:bottom w:val="single" w:color="000000" w:sz="4" w:space="0"/>
              <w:right w:val="single" w:color="000000" w:sz="4" w:space="0"/>
            </w:tcBorders>
            <w:shd w:val="clear" w:color="auto" w:fill="9ED3A3" w:themeFill="background1" w:themeFillShade="D8"/>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合同金额</w:t>
            </w:r>
          </w:p>
        </w:tc>
        <w:tc>
          <w:tcPr>
            <w:tcW w:w="1080" w:type="dxa"/>
            <w:tcBorders>
              <w:top w:val="single" w:color="000000" w:sz="4" w:space="0"/>
              <w:left w:val="single" w:color="000000" w:sz="4" w:space="0"/>
              <w:bottom w:val="single" w:color="000000" w:sz="4" w:space="0"/>
              <w:right w:val="single" w:color="000000" w:sz="4" w:space="0"/>
            </w:tcBorders>
            <w:shd w:val="clear" w:color="auto" w:fill="9ED3A3" w:themeFill="background1" w:themeFillShade="D8"/>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已付金额</w:t>
            </w:r>
          </w:p>
        </w:tc>
        <w:tc>
          <w:tcPr>
            <w:tcW w:w="1155" w:type="dxa"/>
            <w:tcBorders>
              <w:top w:val="single" w:color="000000" w:sz="4" w:space="0"/>
              <w:left w:val="single" w:color="000000" w:sz="4" w:space="0"/>
              <w:bottom w:val="single" w:color="000000" w:sz="4" w:space="0"/>
              <w:right w:val="single" w:color="000000" w:sz="4" w:space="0"/>
            </w:tcBorders>
            <w:shd w:val="clear" w:color="auto" w:fill="9ED3A3" w:themeFill="background1" w:themeFillShade="D8"/>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未付金额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内蒙古宗康</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2022-4-7</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488000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488000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内蒙古乐维</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2022-4-28</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351000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351000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江西怀冀医疗器械有限公司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2022-4-12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170000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170000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江西怀冀医疗器械有限公司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2022-5-6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837275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837275</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5</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内蒙古国械医疗科技有限公司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2022-5-11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154300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154300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6</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内蒙古丰俊医疗设备有限公司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2022-7-14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550000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550000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7</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内蒙古竹石医疗科技有限公司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2022-6-23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575000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575000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8</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内蒙古瑞智融创医疗科技有限责任公司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2022-5-31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600000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600000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9</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西安万成汇通净化工程有限公司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2022-4-12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556000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556000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10</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包头市诺普信医疗设备有限责任公司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2022-7-7</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1903000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1903000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11</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鄂尔多斯市禧瑞医疗器械有限公司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2022-8-19</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360340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360340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12</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内蒙古明瑞利医疗器械有限公司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2022-5-18</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856170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856170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13</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国药集团湖北省医疗器械有限公司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2022-6-29</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2810000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2810000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14</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内蒙古中投医疗器械有限公司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2022-5-31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671000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671000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15</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江西熙良医疗器械有限公司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2022-8-23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497600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497600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16</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河南恒孚来商贸有限公司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2022-8-17</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3096400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3096400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17</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鄂尔多斯市东康伟业医疗器械有限公司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2022-8-8</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480000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480000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18</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内蒙古辰康医疗器械有限公司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2022-8-20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1037000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1037000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19</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内蒙古本草纲目健康管理服务有限公司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2022-9-8</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2398840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2398840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20</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内蒙古瑞智融创医疗科技有限责任公司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2022-9-8</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1300000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1300000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21</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内蒙古拓兴医疗器械有限公司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2022-8-31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4770000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4770000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22</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包头市诺普信医疗设备有限责任公司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2022-9-8</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3075433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3075433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23</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鄂尔多斯市禧瑞医疗器械有限公司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2022-9-9</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1948500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1948500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24</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西安万成汇通净化工程有限公司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2022-9-9</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2556900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2556900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25</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内蒙古康和医疗器械有限公司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2022-9-9</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4220000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4220000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26</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国药控股鄂尔多斯市有限公司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2022-9-9</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4248500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4248500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27</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内蒙古明瑞利医疗器械有限公司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2022-9-9</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1696000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1696000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28</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内蒙古瑞康医疗设备有限公司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2022-9-16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3420000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3420000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29</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江西泽方科医疗科技有限公司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2022-9-16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4261000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4261000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30</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营口巨成教学科技开发有限公司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heme="minorEastAsia" w:hAnsiTheme="minorEastAsia" w:eastAsiaTheme="minorEastAsia" w:cstheme="minorEastAsia"/>
                <w:i w:val="0"/>
                <w:iCs w:val="0"/>
                <w:color w:val="auto"/>
                <w:sz w:val="21"/>
                <w:szCs w:val="21"/>
                <w:u w:val="none"/>
                <w:lang w:val="en-US" w:eastAsia="zh-CN"/>
              </w:rPr>
            </w:pPr>
            <w:r>
              <w:rPr>
                <w:rFonts w:hint="eastAsia" w:asciiTheme="minorEastAsia" w:hAnsiTheme="minorEastAsia" w:eastAsiaTheme="minorEastAsia" w:cstheme="minorEastAsia"/>
                <w:i w:val="0"/>
                <w:iCs w:val="0"/>
                <w:color w:val="auto"/>
                <w:sz w:val="21"/>
                <w:szCs w:val="21"/>
                <w:u w:val="none"/>
                <w:lang w:val="en-US" w:eastAsia="zh-CN"/>
              </w:rPr>
              <w:t>2022-5-25</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117200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117200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eastAsia" w:asciiTheme="minorEastAsia" w:hAnsiTheme="minorEastAsia" w:eastAsiaTheme="minorEastAsia" w:cstheme="minorEastAsia"/>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31</w:t>
            </w:r>
          </w:p>
        </w:tc>
        <w:tc>
          <w:tcPr>
            <w:tcW w:w="4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lang w:val="en-US" w:eastAsia="zh-CN"/>
              </w:rPr>
            </w:pPr>
            <w:r>
              <w:rPr>
                <w:rFonts w:hint="eastAsia" w:asciiTheme="minorEastAsia" w:hAnsiTheme="minorEastAsia" w:eastAsiaTheme="minorEastAsia" w:cstheme="minorEastAsia"/>
                <w:i w:val="0"/>
                <w:iCs w:val="0"/>
                <w:color w:val="auto"/>
                <w:sz w:val="21"/>
                <w:szCs w:val="21"/>
                <w:u w:val="none"/>
                <w:lang w:val="en-US" w:eastAsia="zh-CN"/>
              </w:rPr>
              <w:t>合计</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eastAsiaTheme="minorEastAsia" w:cstheme="minorEastAsia"/>
                <w:i w:val="0"/>
                <w:iCs w:val="0"/>
                <w:color w:val="auto"/>
                <w:kern w:val="0"/>
                <w:sz w:val="21"/>
                <w:szCs w:val="21"/>
                <w:u w:val="none"/>
                <w:lang w:val="en-US" w:eastAsia="zh-CN" w:bidi="ar"/>
              </w:rPr>
              <w:t>50005458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50005458</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0</w:t>
            </w:r>
          </w:p>
        </w:tc>
      </w:tr>
    </w:tbl>
    <w:p>
      <w:pPr>
        <w:pStyle w:val="3"/>
        <w:bidi w:val="0"/>
        <w:rPr>
          <w:rFonts w:hint="eastAsia"/>
          <w:color w:val="auto"/>
        </w:rPr>
      </w:pPr>
      <w:bookmarkStart w:id="2" w:name="_Toc14775"/>
      <w:r>
        <w:rPr>
          <w:rFonts w:hint="eastAsia"/>
          <w:color w:val="auto"/>
        </w:rPr>
        <w:t>（</w:t>
      </w:r>
      <w:r>
        <w:rPr>
          <w:rFonts w:hint="eastAsia"/>
          <w:color w:val="auto"/>
          <w:lang w:eastAsia="zh-CN"/>
        </w:rPr>
        <w:t>五</w:t>
      </w:r>
      <w:r>
        <w:rPr>
          <w:rFonts w:hint="eastAsia"/>
          <w:color w:val="auto"/>
        </w:rPr>
        <w:t>）项目绩效目标</w:t>
      </w:r>
      <w:bookmarkEnd w:id="2"/>
    </w:p>
    <w:p>
      <w:pPr>
        <w:pStyle w:val="4"/>
        <w:bidi w:val="0"/>
        <w:rPr>
          <w:rFonts w:hint="eastAsia"/>
          <w:color w:val="auto"/>
          <w:lang w:val="en-US" w:eastAsia="zh-CN"/>
        </w:rPr>
      </w:pPr>
      <w:r>
        <w:rPr>
          <w:rFonts w:hint="eastAsia"/>
          <w:color w:val="auto"/>
          <w:lang w:val="en-US" w:eastAsia="zh-CN"/>
        </w:rPr>
        <w:t>1.项目年度绩效目标</w:t>
      </w:r>
    </w:p>
    <w:p>
      <w:pPr>
        <w:bidi w:val="0"/>
        <w:rPr>
          <w:rFonts w:hint="default"/>
          <w:color w:val="auto"/>
          <w:lang w:val="en-US" w:eastAsia="zh-CN"/>
        </w:rPr>
      </w:pPr>
      <w:r>
        <w:rPr>
          <w:rFonts w:hint="eastAsia"/>
          <w:color w:val="auto"/>
          <w:lang w:val="en-US" w:eastAsia="zh-CN"/>
        </w:rPr>
        <w:t>该项目通过扩建、采购医疗设备，起到提升医院医疗水平，保障当地民众就医需求的目的。</w:t>
      </w:r>
    </w:p>
    <w:p>
      <w:pPr>
        <w:pStyle w:val="4"/>
        <w:bidi w:val="0"/>
        <w:rPr>
          <w:rFonts w:hint="eastAsia"/>
          <w:color w:val="auto"/>
          <w:highlight w:val="none"/>
          <w:lang w:val="en-US" w:eastAsia="zh-CN"/>
        </w:rPr>
      </w:pPr>
      <w:r>
        <w:rPr>
          <w:rFonts w:hint="eastAsia"/>
          <w:color w:val="auto"/>
          <w:highlight w:val="none"/>
          <w:lang w:val="en-US" w:eastAsia="zh-CN"/>
        </w:rPr>
        <w:t>2.项目绩效管理情况</w:t>
      </w:r>
    </w:p>
    <w:p>
      <w:pPr>
        <w:bidi w:val="0"/>
        <w:rPr>
          <w:rFonts w:hint="eastAsia"/>
          <w:color w:val="auto"/>
          <w:lang w:val="en-US" w:eastAsia="zh-CN"/>
        </w:rPr>
      </w:pPr>
      <w:r>
        <w:rPr>
          <w:rFonts w:hint="eastAsia"/>
          <w:color w:val="auto"/>
          <w:lang w:val="en-US" w:eastAsia="zh-CN"/>
        </w:rPr>
        <w:t>根据</w:t>
      </w:r>
      <w:r>
        <w:rPr>
          <w:rFonts w:hint="eastAsia" w:ascii="Times New Roman" w:hAnsi="Times New Roman" w:cs="Times New Roman"/>
          <w:color w:val="auto"/>
          <w:kern w:val="2"/>
          <w:szCs w:val="24"/>
          <w:lang w:val="en-US" w:eastAsia="zh-CN" w:bidi="ar-SA"/>
        </w:rPr>
        <w:t>《</w:t>
      </w:r>
      <w:r>
        <w:rPr>
          <w:rFonts w:hint="eastAsia" w:ascii="Times New Roman" w:hAnsi="Times New Roman" w:eastAsia="仿宋_GB2312" w:cs="Times New Roman"/>
          <w:color w:val="auto"/>
          <w:kern w:val="2"/>
          <w:szCs w:val="24"/>
          <w:lang w:val="en-US" w:eastAsia="zh-CN" w:bidi="ar-SA"/>
        </w:rPr>
        <w:t>伊金霍洛旗人民政府办公室关于印发全面实施预算绩效管理意见的通知</w:t>
      </w:r>
      <w:r>
        <w:rPr>
          <w:rFonts w:hint="eastAsia" w:ascii="Times New Roman" w:hAnsi="Times New Roman" w:cs="Times New Roman"/>
          <w:color w:val="auto"/>
          <w:kern w:val="2"/>
          <w:szCs w:val="24"/>
          <w:lang w:val="en-US" w:eastAsia="zh-CN" w:bidi="ar-SA"/>
        </w:rPr>
        <w:t>》</w:t>
      </w:r>
      <w:r>
        <w:rPr>
          <w:rFonts w:hint="eastAsia" w:cs="Times New Roman"/>
          <w:color w:val="auto"/>
          <w:kern w:val="2"/>
          <w:szCs w:val="24"/>
          <w:lang w:val="en-US" w:eastAsia="zh-CN" w:bidi="ar-SA"/>
        </w:rPr>
        <w:t>（</w:t>
      </w:r>
      <w:r>
        <w:rPr>
          <w:rFonts w:hint="eastAsia" w:ascii="Times New Roman" w:hAnsi="Times New Roman" w:eastAsia="仿宋_GB2312" w:cs="Times New Roman"/>
          <w:color w:val="auto"/>
          <w:kern w:val="2"/>
          <w:szCs w:val="24"/>
          <w:lang w:val="en-US" w:eastAsia="zh-CN" w:bidi="ar-SA"/>
        </w:rPr>
        <w:t>伊政办发〔202</w:t>
      </w:r>
      <w:r>
        <w:rPr>
          <w:rFonts w:hint="eastAsia" w:ascii="Times New Roman" w:hAnsi="Times New Roman" w:cs="Times New Roman"/>
          <w:color w:val="auto"/>
          <w:kern w:val="2"/>
          <w:szCs w:val="24"/>
          <w:lang w:val="en-US" w:eastAsia="zh-CN" w:bidi="ar-SA"/>
        </w:rPr>
        <w:t>1</w:t>
      </w:r>
      <w:r>
        <w:rPr>
          <w:rFonts w:hint="eastAsia" w:ascii="Times New Roman" w:hAnsi="Times New Roman" w:eastAsia="仿宋_GB2312" w:cs="Times New Roman"/>
          <w:color w:val="auto"/>
          <w:kern w:val="2"/>
          <w:szCs w:val="24"/>
          <w:lang w:val="en-US" w:eastAsia="zh-CN" w:bidi="ar-SA"/>
        </w:rPr>
        <w:t>〕59号</w:t>
      </w:r>
      <w:r>
        <w:rPr>
          <w:rFonts w:hint="eastAsia" w:cs="Times New Roman"/>
          <w:color w:val="auto"/>
          <w:kern w:val="2"/>
          <w:szCs w:val="24"/>
          <w:lang w:val="en-US" w:eastAsia="zh-CN" w:bidi="ar-SA"/>
        </w:rPr>
        <w:t>）文件精神要求，伊金霍洛旗卫生健康委员会作为</w:t>
      </w:r>
      <w:r>
        <w:rPr>
          <w:rFonts w:hint="eastAsia"/>
          <w:color w:val="auto"/>
          <w:lang w:val="en-US" w:eastAsia="zh-CN"/>
        </w:rPr>
        <w:t>该项目的具体实施单位，应该建立绩效目标运行监控管理机制，对绩效目标实现程度和预算执行进度实行“双监控”，定期采集绩效运行信息并汇总分析，跟踪绩效目标，及时掌握绩效目标完成情况、项目实施进程和支出执行进度，确保目标顺利实现。当绩效运行与预期目标发生偏离时，应及时采取措施纠正，预期无绩效、低绩效的项目停止执行。对存在严重问题的政策、项目暂缓或停止预算拨款，督促及时整改落实；确因政策变化、突发情况等因素影响绩效目标实现，需调整绩效目标的，要根据绩效目标管理要求和审核流程，随同预算一并调整，提高资金使用效益。及时开展财政预算支出项目绩效自评工作。</w:t>
      </w:r>
    </w:p>
    <w:p>
      <w:pPr>
        <w:bidi w:val="0"/>
        <w:rPr>
          <w:rFonts w:hint="default"/>
          <w:color w:val="auto"/>
          <w:lang w:val="en-US" w:eastAsia="zh-CN"/>
        </w:rPr>
      </w:pPr>
      <w:r>
        <w:rPr>
          <w:rFonts w:hint="eastAsia" w:cs="Times New Roman"/>
          <w:color w:val="auto"/>
          <w:kern w:val="2"/>
          <w:szCs w:val="24"/>
          <w:lang w:val="en-US" w:eastAsia="zh-CN" w:bidi="ar-SA"/>
        </w:rPr>
        <w:t>伊金霍洛旗卫生健康委员会</w:t>
      </w:r>
      <w:r>
        <w:rPr>
          <w:rFonts w:hint="eastAsia"/>
          <w:color w:val="auto"/>
          <w:lang w:val="en-US" w:eastAsia="zh-CN"/>
        </w:rPr>
        <w:t>对项目实施了绩效自评工作，较好地完成了该项目的绩效管理工作。</w:t>
      </w:r>
    </w:p>
    <w:p>
      <w:pPr>
        <w:pStyle w:val="2"/>
        <w:bidi w:val="0"/>
        <w:rPr>
          <w:rFonts w:hint="eastAsia"/>
          <w:color w:val="auto"/>
        </w:rPr>
      </w:pPr>
      <w:bookmarkStart w:id="3" w:name="_Toc25254"/>
      <w:r>
        <w:rPr>
          <w:rFonts w:hint="eastAsia"/>
          <w:color w:val="auto"/>
        </w:rPr>
        <w:t>二、</w:t>
      </w:r>
      <w:bookmarkEnd w:id="3"/>
      <w:bookmarkStart w:id="4" w:name="_Toc21243"/>
      <w:r>
        <w:rPr>
          <w:rFonts w:hint="eastAsia"/>
          <w:color w:val="auto"/>
        </w:rPr>
        <w:t>综合评价分析情况及评价结论</w:t>
      </w:r>
      <w:bookmarkEnd w:id="4"/>
    </w:p>
    <w:p>
      <w:pPr>
        <w:bidi w:val="0"/>
        <w:rPr>
          <w:rFonts w:hint="eastAsia"/>
          <w:color w:val="auto"/>
          <w:lang w:eastAsia="zh-CN"/>
        </w:rPr>
      </w:pPr>
      <w:r>
        <w:rPr>
          <w:rFonts w:hint="eastAsia"/>
          <w:color w:val="auto"/>
        </w:rPr>
        <w:t>绩效评价工作组通过</w:t>
      </w:r>
      <w:r>
        <w:rPr>
          <w:rFonts w:hint="default"/>
          <w:color w:val="auto"/>
        </w:rPr>
        <w:t>查阅资料、专家咨询、现场调研、召开评价会等多种方式，对项目的决策、</w:t>
      </w:r>
      <w:r>
        <w:rPr>
          <w:rFonts w:hint="eastAsia"/>
          <w:color w:val="auto"/>
          <w:lang w:val="en-US" w:eastAsia="zh-CN"/>
        </w:rPr>
        <w:t>过程</w:t>
      </w:r>
      <w:r>
        <w:rPr>
          <w:rFonts w:hint="default"/>
          <w:color w:val="auto"/>
        </w:rPr>
        <w:t>、产出及效益方面进行了评价</w:t>
      </w:r>
      <w:r>
        <w:rPr>
          <w:rFonts w:hint="eastAsia"/>
          <w:color w:val="auto"/>
          <w:lang w:eastAsia="zh-CN"/>
        </w:rPr>
        <w:t>。</w:t>
      </w:r>
    </w:p>
    <w:p>
      <w:pPr>
        <w:bidi w:val="0"/>
        <w:rPr>
          <w:rFonts w:hint="default"/>
          <w:color w:val="auto"/>
          <w:highlight w:val="none"/>
          <w:lang w:val="en-US" w:eastAsia="zh-CN"/>
        </w:rPr>
      </w:pPr>
      <w:r>
        <w:rPr>
          <w:rFonts w:hint="eastAsia"/>
          <w:color w:val="auto"/>
          <w:highlight w:val="none"/>
          <w:lang w:val="en-US" w:eastAsia="zh-CN"/>
        </w:rPr>
        <w:t>评价认为该项目年度绩效目标基本实现，按照年初制定的医疗设备采购计划已全部按时完成，绩效目标设定合理可行，绩效指标分解科学，该项目决策管理良好。项目预算资金到位、支出及时，资金使用符合财政管理要求，管理制度健全且得到有效执行，对实施过程的采购、合同、固定资产均进行了有效管理，极大地保障了项目顺利实施，项目过程管理良好。项目产出数量与计划目标相符，产出质量符合验收标准，在计划时间内完成且项目成本控制在计划成本内，项目产出情况良好。</w:t>
      </w:r>
      <w:r>
        <w:rPr>
          <w:rFonts w:hint="eastAsia"/>
          <w:color w:val="auto"/>
          <w:lang w:val="en-US" w:eastAsia="zh-CN"/>
        </w:rPr>
        <w:t>通过项目的实施，有效地提高了伊金霍洛旗人民医院的医疗水平，更好地保障了当地民众的就医需求，项目效益实现情况良好。</w:t>
      </w:r>
    </w:p>
    <w:p>
      <w:pPr>
        <w:bidi w:val="0"/>
        <w:rPr>
          <w:rFonts w:hint="eastAsia"/>
          <w:color w:val="auto"/>
        </w:rPr>
      </w:pPr>
      <w:r>
        <w:rPr>
          <w:rFonts w:hint="eastAsia"/>
          <w:color w:val="auto"/>
          <w:lang w:val="en-US" w:eastAsia="zh-CN"/>
        </w:rPr>
        <w:t>但该项目还存在预算编制不科学、验收管理不完整等问题。该项目综合评价得分93分，评价等级为“优”。</w:t>
      </w:r>
    </w:p>
    <w:p>
      <w:pPr>
        <w:pStyle w:val="3"/>
        <w:bidi w:val="0"/>
        <w:rPr>
          <w:rFonts w:hint="eastAsia"/>
          <w:color w:val="auto"/>
          <w:lang w:val="en-US" w:eastAsia="zh-CN"/>
        </w:rPr>
      </w:pPr>
      <w:bookmarkStart w:id="5" w:name="_Toc30235"/>
      <w:r>
        <w:rPr>
          <w:rFonts w:hint="eastAsia"/>
          <w:color w:val="auto"/>
          <w:lang w:eastAsia="zh-CN"/>
        </w:rPr>
        <w:t>三</w:t>
      </w:r>
      <w:r>
        <w:rPr>
          <w:rFonts w:hint="eastAsia"/>
          <w:color w:val="auto"/>
        </w:rPr>
        <w:t>、</w:t>
      </w:r>
      <w:bookmarkEnd w:id="5"/>
      <w:bookmarkStart w:id="6" w:name="_Toc26311"/>
      <w:r>
        <w:rPr>
          <w:rFonts w:hint="eastAsia"/>
          <w:color w:val="auto"/>
          <w:lang w:val="en-US" w:eastAsia="zh-CN"/>
        </w:rPr>
        <w:t>主要经验做法</w:t>
      </w:r>
      <w:bookmarkEnd w:id="6"/>
    </w:p>
    <w:p>
      <w:pPr>
        <w:rPr>
          <w:rFonts w:hint="default"/>
          <w:color w:val="auto"/>
          <w:lang w:val="en-US" w:eastAsia="zh-CN"/>
        </w:rPr>
      </w:pPr>
      <w:r>
        <w:rPr>
          <w:rFonts w:hint="eastAsia"/>
          <w:color w:val="auto"/>
          <w:lang w:val="en-US" w:eastAsia="zh-CN"/>
        </w:rPr>
        <w:t>评价认为该项目较好地按照</w:t>
      </w:r>
      <w:r>
        <w:rPr>
          <w:rFonts w:hint="eastAsia" w:ascii="Times New Roman" w:hAnsi="Times New Roman" w:cs="Times New Roman"/>
          <w:color w:val="auto"/>
          <w:kern w:val="2"/>
          <w:szCs w:val="24"/>
          <w:lang w:val="en-US" w:eastAsia="zh-CN" w:bidi="ar-SA"/>
        </w:rPr>
        <w:t>《</w:t>
      </w:r>
      <w:r>
        <w:rPr>
          <w:rFonts w:hint="eastAsia" w:ascii="Times New Roman" w:hAnsi="Times New Roman" w:eastAsia="仿宋_GB2312" w:cs="Times New Roman"/>
          <w:color w:val="auto"/>
          <w:kern w:val="2"/>
          <w:szCs w:val="24"/>
          <w:lang w:val="en-US" w:eastAsia="zh-CN" w:bidi="ar-SA"/>
        </w:rPr>
        <w:t>伊金霍洛旗人民政府办公室关于印发全面实施预算绩效管理意见的通知</w:t>
      </w:r>
      <w:r>
        <w:rPr>
          <w:rFonts w:hint="eastAsia" w:ascii="Times New Roman" w:hAnsi="Times New Roman" w:cs="Times New Roman"/>
          <w:color w:val="auto"/>
          <w:kern w:val="2"/>
          <w:szCs w:val="24"/>
          <w:lang w:val="en-US" w:eastAsia="zh-CN" w:bidi="ar-SA"/>
        </w:rPr>
        <w:t>》</w:t>
      </w:r>
      <w:r>
        <w:rPr>
          <w:rFonts w:hint="eastAsia" w:cs="Times New Roman"/>
          <w:color w:val="auto"/>
          <w:kern w:val="2"/>
          <w:szCs w:val="24"/>
          <w:lang w:val="en-US" w:eastAsia="zh-CN" w:bidi="ar-SA"/>
        </w:rPr>
        <w:t>（</w:t>
      </w:r>
      <w:r>
        <w:rPr>
          <w:rFonts w:hint="eastAsia" w:ascii="Times New Roman" w:hAnsi="Times New Roman" w:eastAsia="仿宋_GB2312" w:cs="Times New Roman"/>
          <w:color w:val="auto"/>
          <w:kern w:val="2"/>
          <w:szCs w:val="24"/>
          <w:lang w:val="en-US" w:eastAsia="zh-CN" w:bidi="ar-SA"/>
        </w:rPr>
        <w:t>伊政办发〔202</w:t>
      </w:r>
      <w:r>
        <w:rPr>
          <w:rFonts w:hint="eastAsia" w:ascii="Times New Roman" w:hAnsi="Times New Roman" w:cs="Times New Roman"/>
          <w:color w:val="auto"/>
          <w:kern w:val="2"/>
          <w:szCs w:val="24"/>
          <w:lang w:val="en-US" w:eastAsia="zh-CN" w:bidi="ar-SA"/>
        </w:rPr>
        <w:t>1</w:t>
      </w:r>
      <w:r>
        <w:rPr>
          <w:rFonts w:hint="eastAsia" w:ascii="Times New Roman" w:hAnsi="Times New Roman" w:eastAsia="仿宋_GB2312" w:cs="Times New Roman"/>
          <w:color w:val="auto"/>
          <w:kern w:val="2"/>
          <w:szCs w:val="24"/>
          <w:lang w:val="en-US" w:eastAsia="zh-CN" w:bidi="ar-SA"/>
        </w:rPr>
        <w:t>〕59号</w:t>
      </w:r>
      <w:r>
        <w:rPr>
          <w:rFonts w:hint="eastAsia" w:cs="Times New Roman"/>
          <w:color w:val="auto"/>
          <w:kern w:val="2"/>
          <w:szCs w:val="24"/>
          <w:lang w:val="en-US" w:eastAsia="zh-CN" w:bidi="ar-SA"/>
        </w:rPr>
        <w:t>）文件精神，</w:t>
      </w:r>
      <w:r>
        <w:rPr>
          <w:rFonts w:hint="eastAsia"/>
          <w:color w:val="auto"/>
          <w:lang w:val="en-US" w:eastAsia="zh-CN"/>
        </w:rPr>
        <w:t>将财政支出项目绩效管理工作纳入日常管理中。对采购形成的固定资产及时进行登记清查管理，有效地保障了新增固定资产的账-物-卡相符，预防了固定资产的流失。</w:t>
      </w:r>
    </w:p>
    <w:p>
      <w:pPr>
        <w:pStyle w:val="3"/>
        <w:bidi w:val="0"/>
        <w:rPr>
          <w:rFonts w:hint="default"/>
          <w:color w:val="auto"/>
          <w:lang w:val="en-US" w:eastAsia="zh-CN"/>
        </w:rPr>
      </w:pPr>
      <w:bookmarkStart w:id="7" w:name="_Toc24384"/>
      <w:r>
        <w:rPr>
          <w:rFonts w:hint="eastAsia"/>
          <w:color w:val="auto"/>
          <w:lang w:val="en-US" w:eastAsia="zh-CN"/>
        </w:rPr>
        <w:t>四、存在的问题及建议</w:t>
      </w:r>
      <w:bookmarkEnd w:id="7"/>
    </w:p>
    <w:p>
      <w:pPr>
        <w:pStyle w:val="4"/>
        <w:bidi w:val="0"/>
        <w:rPr>
          <w:rFonts w:hint="eastAsia"/>
          <w:color w:val="auto"/>
          <w:lang w:val="en-US" w:eastAsia="zh-CN"/>
        </w:rPr>
      </w:pPr>
      <w:r>
        <w:rPr>
          <w:rFonts w:hint="eastAsia"/>
          <w:color w:val="auto"/>
          <w:lang w:val="en-US" w:eastAsia="zh-CN"/>
        </w:rPr>
        <w:t>1.项目预算编制科学性不足</w:t>
      </w:r>
    </w:p>
    <w:p>
      <w:pPr>
        <w:rPr>
          <w:rFonts w:hint="eastAsia"/>
          <w:color w:val="auto"/>
          <w:lang w:val="en-US" w:eastAsia="zh-CN"/>
        </w:rPr>
      </w:pPr>
      <w:r>
        <w:rPr>
          <w:rFonts w:hint="eastAsia"/>
          <w:color w:val="auto"/>
          <w:lang w:val="en-US" w:eastAsia="zh-CN"/>
        </w:rPr>
        <w:t>该项目申报实施前未对项目预算进行编制测算、论证，项目预算编制科学性不足，不利于财政资金的高效使用。</w:t>
      </w:r>
    </w:p>
    <w:p>
      <w:pPr>
        <w:rPr>
          <w:rFonts w:hint="eastAsia"/>
          <w:color w:val="auto"/>
          <w:lang w:val="en-US" w:eastAsia="zh-CN"/>
        </w:rPr>
      </w:pPr>
      <w:r>
        <w:rPr>
          <w:rFonts w:hint="eastAsia"/>
          <w:color w:val="auto"/>
          <w:lang w:val="en-US" w:eastAsia="zh-CN"/>
        </w:rPr>
        <w:t>建议项目单位加强项目前期工作，对项目预算进行合理测算编制，必要时可开展相关论证工作，压实做细项目预算编制工作。</w:t>
      </w:r>
    </w:p>
    <w:p>
      <w:pPr>
        <w:pStyle w:val="4"/>
        <w:bidi w:val="0"/>
        <w:rPr>
          <w:rFonts w:hint="default"/>
          <w:color w:val="auto"/>
          <w:lang w:val="en-US" w:eastAsia="zh-CN"/>
        </w:rPr>
      </w:pPr>
      <w:r>
        <w:rPr>
          <w:rFonts w:hint="eastAsia"/>
          <w:color w:val="auto"/>
          <w:lang w:val="en-US" w:eastAsia="zh-CN"/>
        </w:rPr>
        <w:t>2.验收管理不完整</w:t>
      </w:r>
    </w:p>
    <w:p>
      <w:pPr>
        <w:rPr>
          <w:rFonts w:hint="default"/>
          <w:color w:val="auto"/>
          <w:lang w:val="en-US" w:eastAsia="zh-CN"/>
        </w:rPr>
      </w:pPr>
      <w:r>
        <w:rPr>
          <w:rFonts w:hint="eastAsia"/>
          <w:color w:val="auto"/>
          <w:lang w:val="en-US" w:eastAsia="zh-CN"/>
        </w:rPr>
        <w:t>该项目评价过程中发现部分项目验收资料不完整，缺少验收时间，验收工作不认真。</w:t>
      </w:r>
    </w:p>
    <w:p>
      <w:pPr>
        <w:rPr>
          <w:rFonts w:hint="default"/>
          <w:color w:val="auto"/>
          <w:lang w:val="en-US" w:eastAsia="zh-CN"/>
        </w:rPr>
      </w:pPr>
      <w:r>
        <w:rPr>
          <w:rFonts w:hint="eastAsia"/>
          <w:color w:val="auto"/>
          <w:lang w:val="en-US" w:eastAsia="zh-CN"/>
        </w:rPr>
        <w:t>建议项目单位加强验收管理意识，验收管理是采购项目实施的重要环节之一，关系着采购设备质量、数量是否符合约定。项目单位应根据项目特点，组织相关人员成立验收小组，制定验收细则，验收资料内容对验收时间、验收意见等均要明确记录。</w:t>
      </w:r>
    </w:p>
    <w:sectPr>
      <w:footerReference r:id="rId5" w:type="default"/>
      <w:pgSz w:w="11906" w:h="16838"/>
      <w:pgMar w:top="1553"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49275" cy="193675"/>
              <wp:effectExtent l="0" t="0" r="0" b="0"/>
              <wp:wrapNone/>
              <wp:docPr id="74" name="文本框 74"/>
              <wp:cNvGraphicFramePr/>
              <a:graphic xmlns:a="http://schemas.openxmlformats.org/drawingml/2006/main">
                <a:graphicData uri="http://schemas.microsoft.com/office/word/2010/wordprocessingShape">
                  <wps:wsp>
                    <wps:cNvSpPr txBox="1"/>
                    <wps:spPr>
                      <a:xfrm>
                        <a:off x="0" y="0"/>
                        <a:ext cx="549275" cy="1936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21"/>
                              <w:szCs w:val="32"/>
                            </w:rPr>
                          </w:pPr>
                          <w:r>
                            <w:rPr>
                              <w:sz w:val="21"/>
                              <w:szCs w:val="32"/>
                            </w:rPr>
                            <w:fldChar w:fldCharType="begin"/>
                          </w:r>
                          <w:r>
                            <w:rPr>
                              <w:sz w:val="21"/>
                              <w:szCs w:val="32"/>
                            </w:rPr>
                            <w:instrText xml:space="preserve"> PAGE  \* MERGEFORMAT </w:instrText>
                          </w:r>
                          <w:r>
                            <w:rPr>
                              <w:sz w:val="21"/>
                              <w:szCs w:val="32"/>
                            </w:rPr>
                            <w:fldChar w:fldCharType="separate"/>
                          </w:r>
                          <w:r>
                            <w:rPr>
                              <w:sz w:val="21"/>
                              <w:szCs w:val="32"/>
                            </w:rPr>
                            <w:t>4</w:t>
                          </w:r>
                          <w:r>
                            <w:rPr>
                              <w:sz w:val="21"/>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5.25pt;width:43.25pt;mso-position-horizontal:center;mso-position-horizontal-relative:margin;z-index:251659264;mso-width-relative:page;mso-height-relative:page;" filled="f" stroked="f" coordsize="21600,21600" o:gfxdata="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KDv6uNMAAAADAQAADwAAAAAAAAABACAAAAAiAAAAZHJzL2Rvd25yZXYu&#10;eG1sUEsBAhQAFAAAAAgAh07iQMxPZpw5AgAAYwQAAA4AAAAAAAAAAQAgAAAAIgEAAGRycy9lMm9E&#10;b2MueG1sUEsFBgAAAAAGAAYAWQEAAM0FAAAAAA==&#10;">
              <v:fill on="f" focussize="0,0"/>
              <v:stroke on="f" weight="0.5pt"/>
              <v:imagedata o:title=""/>
              <o:lock v:ext="edit" aspectratio="f"/>
              <v:textbox inset="0mm,0mm,0mm,0mm">
                <w:txbxContent>
                  <w:p>
                    <w:pPr>
                      <w:pStyle w:val="7"/>
                      <w:rPr>
                        <w:sz w:val="21"/>
                        <w:szCs w:val="32"/>
                      </w:rPr>
                    </w:pPr>
                    <w:r>
                      <w:rPr>
                        <w:sz w:val="21"/>
                        <w:szCs w:val="32"/>
                      </w:rPr>
                      <w:fldChar w:fldCharType="begin"/>
                    </w:r>
                    <w:r>
                      <w:rPr>
                        <w:sz w:val="21"/>
                        <w:szCs w:val="32"/>
                      </w:rPr>
                      <w:instrText xml:space="preserve"> PAGE  \* MERGEFORMAT </w:instrText>
                    </w:r>
                    <w:r>
                      <w:rPr>
                        <w:sz w:val="21"/>
                        <w:szCs w:val="32"/>
                      </w:rPr>
                      <w:fldChar w:fldCharType="separate"/>
                    </w:r>
                    <w:r>
                      <w:rPr>
                        <w:sz w:val="21"/>
                        <w:szCs w:val="32"/>
                      </w:rPr>
                      <w:t>4</w:t>
                    </w:r>
                    <w:r>
                      <w:rPr>
                        <w:sz w:val="21"/>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ZTdjZDgyMWJmMjRlNTU5OGMxYjdmNjdmZmRlMWMifQ=="/>
  </w:docVars>
  <w:rsids>
    <w:rsidRoot w:val="7FF0B5AD"/>
    <w:rsid w:val="00A65FA9"/>
    <w:rsid w:val="00C31DDD"/>
    <w:rsid w:val="033314F5"/>
    <w:rsid w:val="033D70F0"/>
    <w:rsid w:val="06040DD9"/>
    <w:rsid w:val="063E3C85"/>
    <w:rsid w:val="07CD379B"/>
    <w:rsid w:val="08A914B5"/>
    <w:rsid w:val="096A6AAF"/>
    <w:rsid w:val="09C47ABE"/>
    <w:rsid w:val="0C3E61C8"/>
    <w:rsid w:val="0CE4363E"/>
    <w:rsid w:val="0EDB59B8"/>
    <w:rsid w:val="100C1C13"/>
    <w:rsid w:val="11077D47"/>
    <w:rsid w:val="12CA23E1"/>
    <w:rsid w:val="14A423A8"/>
    <w:rsid w:val="14EE4825"/>
    <w:rsid w:val="16625FF0"/>
    <w:rsid w:val="16797BD3"/>
    <w:rsid w:val="16FD62B8"/>
    <w:rsid w:val="171A4BA4"/>
    <w:rsid w:val="184E0FA9"/>
    <w:rsid w:val="19B3612E"/>
    <w:rsid w:val="1A240213"/>
    <w:rsid w:val="1A823A41"/>
    <w:rsid w:val="1B656D35"/>
    <w:rsid w:val="1D8C2670"/>
    <w:rsid w:val="1EA94722"/>
    <w:rsid w:val="20C806DB"/>
    <w:rsid w:val="21EE62A7"/>
    <w:rsid w:val="22B57DE4"/>
    <w:rsid w:val="23E25F14"/>
    <w:rsid w:val="27751963"/>
    <w:rsid w:val="29037B8D"/>
    <w:rsid w:val="2AF0574B"/>
    <w:rsid w:val="2B7E7E14"/>
    <w:rsid w:val="2BEB558F"/>
    <w:rsid w:val="2E132621"/>
    <w:rsid w:val="2E461D92"/>
    <w:rsid w:val="2E5E576B"/>
    <w:rsid w:val="2F4D3910"/>
    <w:rsid w:val="2F86652E"/>
    <w:rsid w:val="2FD42329"/>
    <w:rsid w:val="320C374D"/>
    <w:rsid w:val="333252F7"/>
    <w:rsid w:val="33C63C91"/>
    <w:rsid w:val="35054F1C"/>
    <w:rsid w:val="358838F4"/>
    <w:rsid w:val="37A8144C"/>
    <w:rsid w:val="38507793"/>
    <w:rsid w:val="385E739B"/>
    <w:rsid w:val="386A294C"/>
    <w:rsid w:val="39186D3D"/>
    <w:rsid w:val="394D30AA"/>
    <w:rsid w:val="3A0E4C4C"/>
    <w:rsid w:val="3B7641EF"/>
    <w:rsid w:val="3BC6395E"/>
    <w:rsid w:val="3C555222"/>
    <w:rsid w:val="3D2F64CE"/>
    <w:rsid w:val="3E8938CE"/>
    <w:rsid w:val="3F3C3679"/>
    <w:rsid w:val="3F525A73"/>
    <w:rsid w:val="40F462E2"/>
    <w:rsid w:val="41324705"/>
    <w:rsid w:val="44AB7E78"/>
    <w:rsid w:val="49AF4DDC"/>
    <w:rsid w:val="49E05CA0"/>
    <w:rsid w:val="4A457257"/>
    <w:rsid w:val="4C3E63E0"/>
    <w:rsid w:val="4F7801A4"/>
    <w:rsid w:val="52690A0E"/>
    <w:rsid w:val="527D147C"/>
    <w:rsid w:val="55157CFC"/>
    <w:rsid w:val="56B172A0"/>
    <w:rsid w:val="57340D8E"/>
    <w:rsid w:val="57642CD4"/>
    <w:rsid w:val="581405C3"/>
    <w:rsid w:val="58570094"/>
    <w:rsid w:val="5A2C496A"/>
    <w:rsid w:val="5C885E22"/>
    <w:rsid w:val="5CE609DA"/>
    <w:rsid w:val="5D04179A"/>
    <w:rsid w:val="5D277B93"/>
    <w:rsid w:val="5DCF4FA3"/>
    <w:rsid w:val="5F196D4A"/>
    <w:rsid w:val="5FED3BEB"/>
    <w:rsid w:val="63163A3E"/>
    <w:rsid w:val="65D279B4"/>
    <w:rsid w:val="66440592"/>
    <w:rsid w:val="66517871"/>
    <w:rsid w:val="68EF68C6"/>
    <w:rsid w:val="694E15FC"/>
    <w:rsid w:val="69E93198"/>
    <w:rsid w:val="6AEA4B03"/>
    <w:rsid w:val="6D021A16"/>
    <w:rsid w:val="6D8D71CB"/>
    <w:rsid w:val="6EFA2EC9"/>
    <w:rsid w:val="6F2C33B6"/>
    <w:rsid w:val="6FE92DA8"/>
    <w:rsid w:val="72652D96"/>
    <w:rsid w:val="72B648F6"/>
    <w:rsid w:val="751D0C5C"/>
    <w:rsid w:val="79A55ABD"/>
    <w:rsid w:val="7A473EB8"/>
    <w:rsid w:val="7B3F6CCC"/>
    <w:rsid w:val="7D625DA6"/>
    <w:rsid w:val="7FF0B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800" w:firstLineChars="20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360" w:lineRule="auto"/>
      <w:outlineLvl w:val="0"/>
    </w:pPr>
    <w:rPr>
      <w:b/>
      <w:kern w:val="44"/>
      <w:sz w:val="32"/>
    </w:rPr>
  </w:style>
  <w:style w:type="paragraph" w:styleId="3">
    <w:name w:val="heading 2"/>
    <w:basedOn w:val="1"/>
    <w:next w:val="1"/>
    <w:unhideWhenUsed/>
    <w:qFormat/>
    <w:uiPriority w:val="0"/>
    <w:pPr>
      <w:keepNext/>
      <w:keepLines/>
      <w:spacing w:beforeLines="0" w:beforeAutospacing="0" w:afterLines="0" w:afterAutospacing="0" w:line="360" w:lineRule="auto"/>
      <w:outlineLvl w:val="1"/>
    </w:pPr>
    <w:rPr>
      <w:rFonts w:ascii="Arial" w:hAnsi="Arial" w:eastAsia="仿宋_GB2312"/>
      <w:b/>
    </w:rPr>
  </w:style>
  <w:style w:type="paragraph" w:styleId="4">
    <w:name w:val="heading 3"/>
    <w:basedOn w:val="1"/>
    <w:next w:val="1"/>
    <w:unhideWhenUsed/>
    <w:qFormat/>
    <w:uiPriority w:val="0"/>
    <w:pPr>
      <w:keepNext/>
      <w:keepLines/>
      <w:spacing w:beforeLines="0" w:beforeAutospacing="0" w:afterLines="0" w:afterAutospacing="0" w:line="240" w:lineRule="auto"/>
      <w:outlineLvl w:val="2"/>
    </w:pPr>
    <w:rPr>
      <w:rFonts w:ascii="Times New Roman" w:hAnsi="Times New Roman"/>
      <w:b/>
    </w:rPr>
  </w:style>
  <w:style w:type="paragraph" w:styleId="5">
    <w:name w:val="heading 4"/>
    <w:basedOn w:val="1"/>
    <w:next w:val="1"/>
    <w:unhideWhenUsed/>
    <w:qFormat/>
    <w:uiPriority w:val="0"/>
    <w:pPr>
      <w:keepNext/>
      <w:keepLines/>
      <w:spacing w:beforeLines="0" w:beforeAutospacing="0" w:afterLines="0" w:afterAutospacing="0" w:line="360" w:lineRule="exact"/>
      <w:ind w:firstLine="0" w:firstLineChars="0"/>
      <w:jc w:val="center"/>
      <w:outlineLvl w:val="3"/>
    </w:pPr>
    <w:rPr>
      <w:rFonts w:ascii="Arial" w:hAnsi="Arial" w:eastAsia="宋体"/>
      <w:sz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0"/>
    <w:pPr>
      <w:spacing w:after="120" w:afterLines="0" w:afterAutospacing="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List Paragraph"/>
    <w:basedOn w:val="1"/>
    <w:qFormat/>
    <w:uiPriority w:val="34"/>
    <w:pPr>
      <w:ind w:firstLine="420"/>
    </w:pPr>
  </w:style>
  <w:style w:type="character" w:customStyle="1" w:styleId="15">
    <w:name w:val="fontstyle01"/>
    <w:basedOn w:val="13"/>
    <w:qFormat/>
    <w:uiPriority w:val="0"/>
    <w:rPr>
      <w:rFonts w:hint="eastAsia" w:ascii="仿宋_GB2312" w:eastAsia="仿宋_GB2312"/>
      <w:color w:val="000000"/>
      <w:sz w:val="32"/>
      <w:szCs w:val="32"/>
    </w:rPr>
  </w:style>
  <w:style w:type="paragraph" w:customStyle="1" w:styleId="16">
    <w:name w:val="标题2"/>
    <w:basedOn w:val="17"/>
    <w:qFormat/>
    <w:uiPriority w:val="0"/>
    <w:pPr>
      <w:adjustRightInd w:val="0"/>
      <w:snapToGrid w:val="0"/>
      <w:spacing w:before="50" w:beforeLines="50" w:after="50" w:afterLines="50" w:line="760" w:lineRule="exact"/>
      <w:ind w:firstLine="200"/>
      <w:jc w:val="left"/>
    </w:pPr>
    <w:rPr>
      <w:rFonts w:ascii="楷体" w:hAnsi="楷体" w:eastAsia="楷体" w:cs="宋体"/>
      <w:b/>
      <w:bCs/>
      <w:szCs w:val="32"/>
    </w:rPr>
  </w:style>
  <w:style w:type="paragraph" w:customStyle="1" w:styleId="17">
    <w:name w:val="彩色列表 - 着色 11"/>
    <w:basedOn w:val="1"/>
    <w:qFormat/>
    <w:uiPriority w:val="34"/>
    <w:pPr>
      <w:ind w:firstLine="420"/>
    </w:pPr>
    <w:rPr>
      <w:szCs w:val="22"/>
    </w:rPr>
  </w:style>
  <w:style w:type="paragraph" w:customStyle="1" w:styleId="18">
    <w:name w:val="标题1"/>
    <w:basedOn w:val="17"/>
    <w:qFormat/>
    <w:uiPriority w:val="0"/>
    <w:pPr>
      <w:tabs>
        <w:tab w:val="center" w:pos="4422"/>
      </w:tabs>
      <w:adjustRightInd w:val="0"/>
      <w:snapToGrid w:val="0"/>
      <w:spacing w:line="760" w:lineRule="exact"/>
      <w:ind w:firstLine="0" w:firstLineChars="0"/>
      <w:jc w:val="left"/>
      <w:outlineLvl w:val="0"/>
    </w:pPr>
    <w:rPr>
      <w:rFonts w:ascii="黑体" w:hAnsi="黑体" w:eastAsia="黑体" w:cs="宋体"/>
      <w:szCs w:val="32"/>
    </w:rPr>
  </w:style>
  <w:style w:type="paragraph" w:customStyle="1" w:styleId="19">
    <w:name w:val="闻政标题5"/>
    <w:basedOn w:val="1"/>
    <w:qFormat/>
    <w:uiPriority w:val="0"/>
    <w:pPr>
      <w:spacing w:before="120" w:after="60" w:line="500" w:lineRule="exact"/>
      <w:ind w:firstLine="200" w:firstLineChars="200"/>
    </w:pPr>
    <w:rPr>
      <w:rFonts w:ascii="Times New Roman" w:hAnsi="Times New Roman" w:eastAsia="仿宋_GB2312"/>
      <w:b/>
      <w:kern w:val="0"/>
      <w:sz w:val="28"/>
      <w:szCs w:val="28"/>
    </w:rPr>
  </w:style>
  <w:style w:type="paragraph" w:customStyle="1" w:styleId="20">
    <w:name w:val="Table Paragraph"/>
    <w:basedOn w:val="1"/>
    <w:qFormat/>
    <w:uiPriority w:val="1"/>
    <w:rPr>
      <w:rFonts w:ascii="仿宋" w:hAnsi="仿宋" w:eastAsia="仿宋" w:cs="仿宋"/>
      <w:lang w:val="zh-CN" w:eastAsia="zh-CN" w:bidi="zh-CN"/>
    </w:rPr>
  </w:style>
  <w:style w:type="character" w:customStyle="1" w:styleId="21">
    <w:name w:val="font41"/>
    <w:basedOn w:val="13"/>
    <w:qFormat/>
    <w:uiPriority w:val="0"/>
    <w:rPr>
      <w:rFonts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14382</Words>
  <Characters>15847</Characters>
  <Lines>0</Lines>
  <Paragraphs>0</Paragraphs>
  <TotalTime>18</TotalTime>
  <ScaleCrop>false</ScaleCrop>
  <LinksUpToDate>false</LinksUpToDate>
  <CharactersWithSpaces>15984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2021-01-29T09:34:00Z</dcterms:created>
  <dc:creator>thtf</dc:creator>
  <cp:lastModifiedBy>杨勇</cp:lastModifiedBy>
  <cp:lastPrinted>2021-10-25T07:24:00Z</cp:lastPrinted>
  <dcterms:modified xsi:type="dcterms:W3CDTF">2023-10-16T03:47:10Z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F3398B364BA4495C9F67E9F70898D625</vt:lpwstr>
  </property>
</Properties>
</file>