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rPr>
          <w:rFonts w:ascii="楷体" w:hAnsi="楷体" w:eastAsia="楷体" w:cs="Times New Roman"/>
          <w:b/>
          <w:sz w:val="36"/>
          <w:szCs w:val="36"/>
          <w:lang w:bidi="ar"/>
        </w:rPr>
      </w:pPr>
    </w:p>
    <w:p>
      <w:pPr>
        <w:widowControl/>
        <w:spacing w:before="156" w:beforeLines="50"/>
        <w:rPr>
          <w:rFonts w:ascii="楷体" w:hAnsi="楷体" w:eastAsia="楷体" w:cs="Times New Roman"/>
          <w:b/>
          <w:sz w:val="36"/>
          <w:szCs w:val="36"/>
          <w:lang w:bidi="ar"/>
        </w:rPr>
      </w:pPr>
    </w:p>
    <w:p>
      <w:pPr>
        <w:widowControl/>
        <w:spacing w:before="156" w:beforeLines="50"/>
        <w:rPr>
          <w:lang w:bidi="ar"/>
        </w:rPr>
      </w:pPr>
    </w:p>
    <w:p>
      <w:pPr>
        <w:pStyle w:val="2"/>
        <w:outlineLvl w:val="9"/>
      </w:pPr>
      <w:bookmarkStart w:id="72" w:name="_GoBack"/>
      <w:bookmarkEnd w:id="72"/>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楷体" w:hAnsi="楷体" w:eastAsia="楷体" w:cs="Times New Roman"/>
          <w:b/>
          <w:sz w:val="44"/>
          <w:szCs w:val="44"/>
          <w:lang w:bidi="ar"/>
        </w:rPr>
      </w:pPr>
      <w:bookmarkStart w:id="0" w:name="_Toc30709"/>
      <w:bookmarkStart w:id="1" w:name="_Toc22278"/>
      <w:r>
        <w:rPr>
          <w:rFonts w:hint="eastAsia" w:ascii="楷体" w:hAnsi="楷体" w:eastAsia="楷体" w:cs="Times New Roman"/>
          <w:b/>
          <w:sz w:val="44"/>
          <w:szCs w:val="44"/>
          <w:lang w:bidi="ar"/>
        </w:rPr>
        <w:t>伊金霍洛旗交通运输局</w:t>
      </w:r>
      <w:bookmarkEnd w:id="0"/>
      <w:bookmarkEnd w:id="1"/>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pPr>
      <w:bookmarkStart w:id="2" w:name="_Toc28553"/>
      <w:bookmarkStart w:id="3" w:name="_Toc27423"/>
      <w:r>
        <w:rPr>
          <w:rFonts w:hint="eastAsia" w:ascii="楷体" w:hAnsi="楷体" w:eastAsia="楷体" w:cs="Times New Roman"/>
          <w:b/>
          <w:sz w:val="44"/>
          <w:szCs w:val="44"/>
          <w:lang w:bidi="ar"/>
        </w:rPr>
        <w:t>阿大线平交路口安全隐患整治项目</w:t>
      </w:r>
      <w:bookmarkEnd w:id="2"/>
      <w:bookmarkEnd w:id="3"/>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宋体" w:eastAsia="黑体" w:cs="Times New Roman"/>
          <w:b/>
          <w:sz w:val="72"/>
          <w:szCs w:val="72"/>
          <w:lang w:val="zh-CN"/>
        </w:rPr>
      </w:pPr>
      <w:r>
        <w:rPr>
          <w:rFonts w:hint="eastAsia" w:ascii="楷体" w:hAnsi="楷体" w:eastAsia="楷体" w:cs="Times New Roman"/>
          <w:b/>
          <w:sz w:val="44"/>
          <w:szCs w:val="44"/>
          <w:lang w:val="zh-CN" w:bidi="ar"/>
        </w:rPr>
        <w:t>绩效评估简要报告</w:t>
      </w:r>
    </w:p>
    <w:p>
      <w:pPr>
        <w:widowControl/>
        <w:spacing w:before="156" w:beforeLines="50" w:after="156" w:afterLines="50" w:line="360" w:lineRule="auto"/>
        <w:rPr>
          <w:rFonts w:ascii="黑体" w:hAnsi="宋体" w:eastAsia="黑体" w:cs="仿宋"/>
          <w:b/>
          <w:sz w:val="32"/>
          <w:szCs w:val="32"/>
        </w:rPr>
      </w:pPr>
    </w:p>
    <w:p>
      <w:pPr>
        <w:widowControl/>
        <w:spacing w:before="156" w:beforeLines="50" w:after="156" w:afterLines="50" w:line="360" w:lineRule="auto"/>
        <w:rPr>
          <w:rFonts w:ascii="黑体" w:hAnsi="宋体" w:eastAsia="黑体" w:cs="仿宋"/>
          <w:b/>
          <w:sz w:val="32"/>
          <w:szCs w:val="32"/>
        </w:rPr>
      </w:pPr>
    </w:p>
    <w:p>
      <w:pPr>
        <w:widowControl/>
        <w:spacing w:before="156" w:beforeLines="50" w:after="156" w:afterLines="50" w:line="360" w:lineRule="auto"/>
        <w:rPr>
          <w:rFonts w:ascii="黑体" w:hAnsi="宋体" w:eastAsia="黑体" w:cs="仿宋"/>
          <w:b/>
          <w:sz w:val="32"/>
          <w:szCs w:val="32"/>
        </w:rPr>
      </w:pPr>
    </w:p>
    <w:p/>
    <w:p>
      <w:pPr>
        <w:pStyle w:val="2"/>
        <w:outlineLvl w:val="9"/>
      </w:pPr>
    </w:p>
    <w:p>
      <w:pPr>
        <w:spacing w:line="600" w:lineRule="exact"/>
        <w:jc w:val="center"/>
        <w:outlineLvl w:val="0"/>
        <w:rPr>
          <w:rFonts w:ascii="楷体" w:hAnsi="楷体" w:eastAsia="楷体" w:cs="Times New Roman"/>
          <w:b/>
          <w:sz w:val="44"/>
          <w:szCs w:val="44"/>
        </w:rPr>
      </w:pPr>
      <w:bookmarkStart w:id="4" w:name="_Toc21733"/>
      <w:bookmarkStart w:id="5" w:name="_Toc14311"/>
      <w:r>
        <w:rPr>
          <w:rFonts w:hint="eastAsia" w:ascii="楷体" w:hAnsi="楷体" w:eastAsia="楷体" w:cs="Times New Roman"/>
          <w:b/>
          <w:sz w:val="44"/>
          <w:szCs w:val="44"/>
          <w:lang w:bidi="ar"/>
        </w:rPr>
        <w:t>内蒙古东衡政同咨询管理有限公司</w:t>
      </w:r>
      <w:bookmarkEnd w:id="4"/>
      <w:bookmarkEnd w:id="5"/>
    </w:p>
    <w:p>
      <w:pPr>
        <w:widowControl/>
        <w:spacing w:before="156" w:beforeLines="50" w:after="156" w:afterLines="50" w:line="360" w:lineRule="auto"/>
        <w:rPr>
          <w:rFonts w:ascii="黑体" w:hAnsi="宋体" w:eastAsia="黑体" w:cs="仿宋"/>
          <w:b/>
          <w:sz w:val="32"/>
          <w:szCs w:val="32"/>
        </w:rPr>
      </w:pPr>
    </w:p>
    <w:p>
      <w:pPr>
        <w:spacing w:line="600" w:lineRule="exact"/>
        <w:jc w:val="center"/>
        <w:rPr>
          <w:rFonts w:ascii="仿宋" w:hAnsi="仿宋" w:eastAsia="仿宋" w:cs="Times New Roman"/>
          <w:b/>
          <w:sz w:val="32"/>
          <w:szCs w:val="32"/>
          <w:lang w:val="zh-CN" w:bidi="ar"/>
        </w:rPr>
        <w:sectPr>
          <w:headerReference r:id="rId4"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Times New Roman"/>
          <w:b/>
          <w:sz w:val="32"/>
          <w:szCs w:val="32"/>
          <w:lang w:val="zh-CN" w:bidi="ar"/>
        </w:rPr>
        <w:t>20</w:t>
      </w:r>
      <w:r>
        <w:rPr>
          <w:rFonts w:ascii="仿宋" w:hAnsi="仿宋" w:eastAsia="仿宋" w:cs="Times New Roman"/>
          <w:b/>
          <w:sz w:val="32"/>
          <w:szCs w:val="32"/>
          <w:lang w:val="zh-CN" w:bidi="ar"/>
        </w:rPr>
        <w:t>2</w:t>
      </w:r>
      <w:r>
        <w:rPr>
          <w:rFonts w:ascii="仿宋" w:hAnsi="仿宋" w:eastAsia="仿宋" w:cs="Times New Roman"/>
          <w:b/>
          <w:sz w:val="32"/>
          <w:szCs w:val="32"/>
          <w:lang w:bidi="ar"/>
        </w:rPr>
        <w:t>3</w:t>
      </w:r>
      <w:r>
        <w:rPr>
          <w:rFonts w:hint="eastAsia" w:ascii="仿宋" w:hAnsi="仿宋" w:eastAsia="仿宋" w:cs="Times New Roman"/>
          <w:b/>
          <w:sz w:val="32"/>
          <w:szCs w:val="32"/>
          <w:lang w:val="zh-CN" w:bidi="ar"/>
        </w:rPr>
        <w:t>年</w:t>
      </w:r>
      <w:r>
        <w:rPr>
          <w:rFonts w:hint="eastAsia" w:ascii="仿宋" w:hAnsi="仿宋" w:eastAsia="仿宋" w:cs="Times New Roman"/>
          <w:b/>
          <w:sz w:val="32"/>
          <w:szCs w:val="32"/>
          <w:lang w:bidi="ar"/>
        </w:rPr>
        <w:t>1</w:t>
      </w:r>
      <w:r>
        <w:rPr>
          <w:rFonts w:hint="eastAsia" w:ascii="仿宋" w:hAnsi="仿宋" w:eastAsia="仿宋" w:cs="Times New Roman"/>
          <w:b/>
          <w:sz w:val="32"/>
          <w:szCs w:val="32"/>
          <w:lang w:val="zh-CN" w:bidi="ar"/>
        </w:rPr>
        <w:t>月</w:t>
      </w:r>
    </w:p>
    <w:p>
      <w:pPr>
        <w:adjustRightInd w:val="0"/>
        <w:snapToGrid w:val="0"/>
        <w:spacing w:line="360" w:lineRule="auto"/>
        <w:jc w:val="center"/>
        <w:outlineLvl w:val="0"/>
        <w:rPr>
          <w:rFonts w:ascii="仿宋" w:hAnsi="仿宋" w:eastAsia="仿宋" w:cs="Arial"/>
          <w:b/>
          <w:kern w:val="0"/>
          <w:sz w:val="32"/>
          <w:szCs w:val="32"/>
        </w:rPr>
      </w:pPr>
      <w:bookmarkStart w:id="6" w:name="_Toc28417"/>
      <w:bookmarkStart w:id="7" w:name="_Toc21815"/>
      <w:bookmarkStart w:id="8" w:name="_Toc43914270"/>
      <w:bookmarkStart w:id="9" w:name="_Toc25217"/>
      <w:bookmarkStart w:id="10" w:name="_Toc12246"/>
      <w:bookmarkStart w:id="11" w:name="_Toc55486327"/>
      <w:r>
        <w:rPr>
          <w:rFonts w:hint="eastAsia" w:ascii="仿宋" w:hAnsi="仿宋" w:eastAsia="仿宋" w:cs="Arial"/>
          <w:b/>
          <w:kern w:val="0"/>
          <w:sz w:val="32"/>
          <w:szCs w:val="32"/>
        </w:rPr>
        <w:t>阿大线平交路口安全隐患整治项目绩效评估</w:t>
      </w:r>
      <w:r>
        <w:rPr>
          <w:rFonts w:hint="eastAsia" w:ascii="仿宋" w:hAnsi="仿宋" w:eastAsia="仿宋" w:cs="Arial"/>
          <w:b/>
          <w:kern w:val="0"/>
          <w:sz w:val="32"/>
          <w:szCs w:val="32"/>
          <w:lang w:eastAsia="zh-CN"/>
        </w:rPr>
        <w:t>简要</w:t>
      </w:r>
      <w:r>
        <w:rPr>
          <w:rFonts w:hint="eastAsia" w:ascii="仿宋" w:hAnsi="仿宋" w:eastAsia="仿宋" w:cs="Arial"/>
          <w:b/>
          <w:kern w:val="0"/>
          <w:sz w:val="32"/>
          <w:szCs w:val="32"/>
        </w:rPr>
        <w:t>报告</w:t>
      </w:r>
      <w:bookmarkEnd w:id="6"/>
      <w:bookmarkEnd w:id="7"/>
    </w:p>
    <w:p>
      <w:pPr>
        <w:pStyle w:val="2"/>
        <w:spacing w:before="0" w:after="0"/>
        <w:jc w:val="both"/>
        <w:outlineLvl w:val="9"/>
      </w:pPr>
    </w:p>
    <w:p>
      <w:pPr>
        <w:adjustRightInd w:val="0"/>
        <w:snapToGrid w:val="0"/>
        <w:spacing w:line="360" w:lineRule="auto"/>
        <w:ind w:firstLine="640" w:firstLineChars="200"/>
        <w:outlineLvl w:val="0"/>
        <w:rPr>
          <w:rFonts w:ascii="黑体" w:hAnsi="黑体" w:eastAsia="黑体" w:cs="Times New Roman"/>
          <w:sz w:val="32"/>
          <w:szCs w:val="32"/>
        </w:rPr>
      </w:pPr>
      <w:bookmarkStart w:id="12" w:name="_Toc124189318"/>
      <w:bookmarkStart w:id="13" w:name="_Toc3086"/>
      <w:bookmarkStart w:id="14" w:name="_Toc7949"/>
      <w:bookmarkStart w:id="15" w:name="_Toc1099"/>
      <w:bookmarkStart w:id="16" w:name="_Toc4783"/>
      <w:bookmarkStart w:id="17" w:name="_Toc32105"/>
      <w:r>
        <w:rPr>
          <w:rFonts w:hint="eastAsia" w:ascii="黑体" w:hAnsi="黑体" w:eastAsia="黑体" w:cs="Times New Roman"/>
          <w:sz w:val="32"/>
          <w:szCs w:val="32"/>
        </w:rPr>
        <w:t>一、基本情况</w:t>
      </w:r>
      <w:bookmarkEnd w:id="12"/>
      <w:bookmarkEnd w:id="13"/>
      <w:bookmarkEnd w:id="14"/>
      <w:bookmarkEnd w:id="15"/>
      <w:bookmarkEnd w:id="16"/>
      <w:bookmarkEnd w:id="17"/>
    </w:p>
    <w:p>
      <w:pPr>
        <w:adjustRightInd w:val="0"/>
        <w:snapToGrid w:val="0"/>
        <w:spacing w:line="360" w:lineRule="auto"/>
        <w:ind w:firstLine="643" w:firstLineChars="200"/>
        <w:outlineLvl w:val="2"/>
        <w:rPr>
          <w:rFonts w:ascii="仿宋" w:hAnsi="仿宋" w:eastAsia="仿宋" w:cs="Arial"/>
          <w:b/>
          <w:kern w:val="0"/>
          <w:sz w:val="32"/>
          <w:szCs w:val="32"/>
        </w:rPr>
      </w:pPr>
      <w:bookmarkStart w:id="18" w:name="_Toc36216435"/>
      <w:bookmarkStart w:id="19" w:name="_Toc14811"/>
      <w:bookmarkStart w:id="20" w:name="_Toc1432"/>
      <w:bookmarkStart w:id="21" w:name="_Toc277"/>
      <w:bookmarkStart w:id="22" w:name="_Toc8369"/>
      <w:bookmarkStart w:id="23" w:name="_Toc13170"/>
      <w:bookmarkStart w:id="24" w:name="_Toc124189319"/>
      <w:r>
        <w:rPr>
          <w:rFonts w:hint="eastAsia" w:ascii="楷体" w:hAnsi="楷体" w:eastAsia="楷体" w:cs="Arial"/>
          <w:b/>
          <w:kern w:val="0"/>
          <w:sz w:val="32"/>
          <w:szCs w:val="32"/>
        </w:rPr>
        <w:t>（一）</w:t>
      </w:r>
      <w:bookmarkEnd w:id="18"/>
      <w:bookmarkEnd w:id="19"/>
      <w:bookmarkEnd w:id="20"/>
      <w:bookmarkEnd w:id="21"/>
      <w:bookmarkEnd w:id="22"/>
      <w:bookmarkEnd w:id="23"/>
      <w:bookmarkEnd w:id="24"/>
      <w:bookmarkStart w:id="25" w:name="_Toc52144063"/>
      <w:bookmarkStart w:id="26" w:name="_Toc55497454"/>
      <w:r>
        <w:rPr>
          <w:rFonts w:hint="eastAsia" w:ascii="仿宋" w:hAnsi="仿宋" w:eastAsia="仿宋" w:cs="Arial"/>
          <w:b/>
          <w:kern w:val="0"/>
          <w:sz w:val="32"/>
          <w:szCs w:val="32"/>
        </w:rPr>
        <w:t>项目背景</w:t>
      </w:r>
      <w:bookmarkEnd w:id="25"/>
      <w:bookmarkEnd w:id="26"/>
    </w:p>
    <w:p>
      <w:pPr>
        <w:pStyle w:val="16"/>
        <w:adjustRightInd w:val="0"/>
        <w:snapToGrid w:val="0"/>
        <w:spacing w:before="0" w:beforeAutospacing="0" w:after="0" w:afterAutospacing="0" w:line="360" w:lineRule="auto"/>
        <w:ind w:firstLine="640" w:firstLineChars="200"/>
        <w:jc w:val="both"/>
        <w:rPr>
          <w:rFonts w:ascii="仿宋" w:hAnsi="仿宋" w:eastAsia="仿宋" w:cs="Arial"/>
          <w:sz w:val="32"/>
          <w:szCs w:val="32"/>
        </w:rPr>
      </w:pPr>
      <w:bookmarkStart w:id="27" w:name="_Toc52144064"/>
      <w:bookmarkStart w:id="28" w:name="_Toc55497455"/>
      <w:r>
        <w:rPr>
          <w:rFonts w:hint="eastAsia" w:ascii="仿宋" w:hAnsi="仿宋" w:eastAsia="仿宋" w:cs="Arial"/>
          <w:sz w:val="32"/>
          <w:szCs w:val="32"/>
        </w:rPr>
        <w:t>农村公路既是民生热点，也是安全重点，对经济发展起着至关重要的作用。党和国家高度重视农村公路建设和管理工作。习近平总书记多次就乡村振兴、“四好农村路”建设等内容作出重要指示批示。2021年，交通运输部印发《农村公路中长期发展纲要》，提出农村公路包含县道及以下公路，是我国公路网的重要组成部分，是交通强国建设的重要内容，是农村地区最主要甚至是唯一的交通方式和重要基础设施，是保障和改善农村民生的基础性、先导性条件，要求农村公路进一步提升服务品质、提高服务效率、拓展服务功能，构建城乡联通的交通网络，营造安全宜人的出行环境，形成多元融合的发展格局。2022年，交通运输部、公安部共同制定了《公路安全设施和交通秩序管理精细化提升行动方案》，明确要求要持续加大交通安全整治力度，重点完善平面交叉路口。</w:t>
      </w:r>
    </w:p>
    <w:p>
      <w:pPr>
        <w:adjustRightInd w:val="0"/>
        <w:snapToGrid w:val="0"/>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为深入贯彻落实国家领导人相关指示批示精神及相关政策文件要求，伊金霍洛旗人民政府在农村公路建设及管理方面开展了诸多工作，并制定了《伊金霍洛旗农村公路管理办法》，为促进农村公路可持续健康发展、服务地方经济发展和新农村新牧区建设提供了制度依据。但随着伊金霍洛旗经济社会的快速发展，尤其是能源产业的发展，阿大线沿线交通压力不断增加，现有平交路口交通流与主线车流冲突较大，个别交通流较大路口存在安全隐患，已不能满足车辆安全通行。为缓解阿大线交通压力，消除平交路口安全隐患，为当地经济发展提供交通保障，旗交通局实施阿大线平交路口安全隐患整治项目。</w:t>
      </w:r>
    </w:p>
    <w:p>
      <w:pPr>
        <w:adjustRightInd w:val="0"/>
        <w:snapToGrid w:val="0"/>
        <w:spacing w:line="360" w:lineRule="auto"/>
        <w:ind w:firstLine="643" w:firstLineChars="200"/>
        <w:outlineLvl w:val="2"/>
        <w:rPr>
          <w:rFonts w:ascii="仿宋" w:hAnsi="仿宋" w:eastAsia="仿宋" w:cs="Arial"/>
          <w:b/>
          <w:kern w:val="0"/>
          <w:sz w:val="32"/>
          <w:szCs w:val="32"/>
        </w:rPr>
      </w:pPr>
      <w:r>
        <w:rPr>
          <w:rFonts w:hint="eastAsia" w:ascii="仿宋" w:hAnsi="仿宋" w:eastAsia="仿宋" w:cs="Arial"/>
          <w:b/>
          <w:kern w:val="0"/>
          <w:sz w:val="32"/>
          <w:szCs w:val="32"/>
          <w:lang w:eastAsia="zh-CN"/>
        </w:rPr>
        <w:t>（二）</w:t>
      </w:r>
      <w:r>
        <w:rPr>
          <w:rFonts w:hint="eastAsia" w:ascii="仿宋" w:hAnsi="仿宋" w:eastAsia="仿宋" w:cs="Arial"/>
          <w:b/>
          <w:kern w:val="0"/>
          <w:sz w:val="32"/>
          <w:szCs w:val="32"/>
        </w:rPr>
        <w:t>主要内容</w:t>
      </w:r>
      <w:bookmarkEnd w:id="27"/>
      <w:r>
        <w:rPr>
          <w:rFonts w:hint="eastAsia" w:ascii="仿宋" w:hAnsi="仿宋" w:eastAsia="仿宋" w:cs="Arial"/>
          <w:b/>
          <w:kern w:val="0"/>
          <w:sz w:val="32"/>
          <w:szCs w:val="32"/>
        </w:rPr>
        <w:t>及实施情况</w:t>
      </w:r>
      <w:bookmarkEnd w:id="28"/>
    </w:p>
    <w:p>
      <w:pPr>
        <w:pStyle w:val="6"/>
        <w:adjustRightInd w:val="0"/>
        <w:snapToGrid w:val="0"/>
        <w:spacing w:line="360" w:lineRule="auto"/>
        <w:ind w:firstLine="640" w:firstLineChars="200"/>
      </w:pPr>
      <w:bookmarkStart w:id="29" w:name="_Toc52144067"/>
      <w:bookmarkStart w:id="30" w:name="_Toc55497456"/>
      <w:r>
        <w:rPr>
          <w:rFonts w:hint="eastAsia" w:ascii="仿宋" w:hAnsi="仿宋" w:eastAsia="仿宋" w:cs="Times New Roman"/>
          <w:sz w:val="32"/>
          <w:szCs w:val="32"/>
        </w:rPr>
        <w:t>项目实施周期为2</w:t>
      </w:r>
      <w:r>
        <w:rPr>
          <w:rFonts w:ascii="仿宋" w:hAnsi="仿宋" w:eastAsia="仿宋" w:cs="Times New Roman"/>
          <w:sz w:val="32"/>
          <w:szCs w:val="32"/>
        </w:rPr>
        <w:t>022</w:t>
      </w:r>
      <w:r>
        <w:rPr>
          <w:rFonts w:hint="eastAsia" w:ascii="仿宋" w:hAnsi="仿宋" w:eastAsia="仿宋" w:cs="Times New Roman"/>
          <w:sz w:val="32"/>
          <w:szCs w:val="32"/>
        </w:rPr>
        <w:t>年，计划对20处小型路口进行封闭；对15处存在较大安全隐患的路口通过清理行车视距、设置警示标志等方式提升车辆安全通行水平；对5处需要提升改造的路口通过设置加减速车道、清理行车视距、设置警示标志等方式进行改造，满足过往车辆正常、安全通行。本项目从阿大线K15+493起至K41+380止，总里程为25.887公里。截至评估日，项目各项内容已全部完成。</w:t>
      </w:r>
    </w:p>
    <w:bookmarkEnd w:id="29"/>
    <w:bookmarkEnd w:id="30"/>
    <w:p>
      <w:pPr>
        <w:adjustRightInd w:val="0"/>
        <w:snapToGrid w:val="0"/>
        <w:spacing w:line="360" w:lineRule="auto"/>
        <w:ind w:firstLine="640" w:firstLineChars="200"/>
        <w:outlineLvl w:val="0"/>
        <w:rPr>
          <w:rFonts w:ascii="黑体" w:hAnsi="黑体" w:eastAsia="黑体" w:cs="Times New Roman"/>
          <w:sz w:val="32"/>
          <w:szCs w:val="32"/>
        </w:rPr>
      </w:pPr>
      <w:bookmarkStart w:id="31" w:name="_Toc24992"/>
      <w:bookmarkStart w:id="32" w:name="_Toc124189326"/>
      <w:bookmarkStart w:id="33" w:name="_Toc24481"/>
      <w:r>
        <w:rPr>
          <w:rFonts w:hint="eastAsia" w:ascii="黑体" w:hAnsi="黑体" w:eastAsia="黑体" w:cs="Times New Roman"/>
          <w:sz w:val="32"/>
          <w:szCs w:val="32"/>
          <w:lang w:eastAsia="zh-CN"/>
        </w:rPr>
        <w:t>二</w:t>
      </w:r>
      <w:r>
        <w:rPr>
          <w:rFonts w:hint="eastAsia" w:ascii="黑体" w:hAnsi="黑体" w:eastAsia="黑体" w:cs="Times New Roman"/>
          <w:sz w:val="32"/>
          <w:szCs w:val="32"/>
        </w:rPr>
        <w:t>、综合评估</w:t>
      </w:r>
      <w:bookmarkEnd w:id="8"/>
      <w:r>
        <w:rPr>
          <w:rFonts w:hint="eastAsia" w:ascii="黑体" w:hAnsi="黑体" w:eastAsia="黑体" w:cs="Times New Roman"/>
          <w:sz w:val="32"/>
          <w:szCs w:val="32"/>
        </w:rPr>
        <w:t>情况及评估结论</w:t>
      </w:r>
      <w:bookmarkEnd w:id="9"/>
      <w:bookmarkEnd w:id="10"/>
      <w:bookmarkEnd w:id="11"/>
      <w:bookmarkEnd w:id="31"/>
      <w:bookmarkEnd w:id="32"/>
      <w:bookmarkEnd w:id="33"/>
    </w:p>
    <w:p>
      <w:pPr>
        <w:adjustRightInd w:val="0"/>
        <w:snapToGrid w:val="0"/>
        <w:spacing w:line="360" w:lineRule="auto"/>
        <w:ind w:firstLine="640" w:firstLineChars="200"/>
        <w:rPr>
          <w:rFonts w:ascii="仿宋" w:hAnsi="仿宋" w:eastAsia="仿宋"/>
          <w:bCs/>
          <w:sz w:val="32"/>
          <w:szCs w:val="32"/>
          <w:shd w:val="clear" w:color="auto" w:fill="CCE8CF" w:themeFill="background1"/>
        </w:rPr>
      </w:pPr>
      <w:r>
        <w:rPr>
          <w:rFonts w:ascii="仿宋" w:hAnsi="仿宋" w:eastAsia="仿宋" w:cs="Times New Roman"/>
          <w:sz w:val="32"/>
          <w:szCs w:val="32"/>
        </w:rPr>
        <w:t>在</w:t>
      </w:r>
      <w:r>
        <w:rPr>
          <w:rFonts w:hint="eastAsia" w:ascii="仿宋" w:hAnsi="仿宋" w:eastAsia="仿宋" w:cs="Times New Roman"/>
          <w:sz w:val="32"/>
          <w:szCs w:val="32"/>
        </w:rPr>
        <w:t>项目</w:t>
      </w:r>
      <w:r>
        <w:rPr>
          <w:rFonts w:ascii="仿宋" w:hAnsi="仿宋" w:eastAsia="仿宋" w:cs="Times New Roman"/>
          <w:sz w:val="32"/>
          <w:szCs w:val="32"/>
        </w:rPr>
        <w:t>资金的支持下</w:t>
      </w:r>
      <w:r>
        <w:rPr>
          <w:rFonts w:hint="eastAsia" w:ascii="仿宋" w:hAnsi="仿宋" w:eastAsia="仿宋" w:cs="Times New Roman"/>
          <w:sz w:val="32"/>
          <w:szCs w:val="32"/>
        </w:rPr>
        <w:t>，2</w:t>
      </w:r>
      <w:r>
        <w:rPr>
          <w:rFonts w:ascii="仿宋" w:hAnsi="仿宋" w:eastAsia="仿宋" w:cs="Times New Roman"/>
          <w:sz w:val="32"/>
          <w:szCs w:val="32"/>
        </w:rPr>
        <w:t>022</w:t>
      </w:r>
      <w:r>
        <w:rPr>
          <w:rFonts w:hint="eastAsia" w:ascii="仿宋" w:hAnsi="仿宋" w:eastAsia="仿宋" w:cs="Times New Roman"/>
          <w:sz w:val="32"/>
          <w:szCs w:val="32"/>
        </w:rPr>
        <w:t>年旗交通局</w:t>
      </w:r>
      <w:r>
        <w:rPr>
          <w:rFonts w:hint="eastAsia" w:ascii="仿宋" w:hAnsi="仿宋" w:eastAsia="仿宋"/>
          <w:bCs/>
          <w:sz w:val="32"/>
          <w:szCs w:val="32"/>
          <w:shd w:val="clear" w:color="auto" w:fill="CCE8CF" w:themeFill="background1"/>
        </w:rPr>
        <w:t>完成了</w:t>
      </w:r>
      <w:r>
        <w:rPr>
          <w:rFonts w:hint="eastAsia" w:ascii="仿宋" w:hAnsi="仿宋" w:eastAsia="仿宋" w:cs="Times New Roman"/>
          <w:sz w:val="32"/>
          <w:szCs w:val="32"/>
        </w:rPr>
        <w:t>20处小型路口的封闭，对15处存在较大安全隐患路口开展了行车视距清理、警示标志设置等；同时对5处路口开展提升改造，涉及总里程25.887公里</w:t>
      </w:r>
      <w:r>
        <w:rPr>
          <w:rFonts w:hint="eastAsia" w:ascii="仿宋" w:hAnsi="仿宋" w:eastAsia="仿宋"/>
          <w:bCs/>
          <w:sz w:val="32"/>
          <w:szCs w:val="32"/>
          <w:shd w:val="clear" w:color="auto" w:fill="CCE8CF" w:themeFill="background1"/>
        </w:rPr>
        <w:t>。阿大线平交路口改造完成并正常通行后，对推动完善交通安全基础设施起到了积极的促进作用，有利于进一步提升道路安全保障水平。但评估发现，项目存在实施方案不够完善、预算分配依据不够充分、绩效目标及指标设置不够合理、产出完成点位与施工图纸概况中的点位不符、资金支付与合同约定不符、过程管理不到位及效益未全部显现等问题。</w:t>
      </w:r>
      <w:r>
        <w:rPr>
          <w:rFonts w:hint="eastAsia" w:ascii="仿宋" w:hAnsi="仿宋" w:eastAsia="仿宋"/>
          <w:b/>
          <w:bCs/>
          <w:sz w:val="32"/>
          <w:szCs w:val="32"/>
          <w:shd w:val="clear" w:color="auto" w:fill="CCE8CF" w:themeFill="background1"/>
        </w:rPr>
        <w:t>项目绩效评估得分为81分，评估级别为“良”</w:t>
      </w:r>
      <w:r>
        <w:rPr>
          <w:rFonts w:hint="eastAsia" w:ascii="仿宋" w:hAnsi="仿宋" w:eastAsia="仿宋"/>
          <w:bCs/>
          <w:sz w:val="32"/>
          <w:szCs w:val="32"/>
          <w:shd w:val="clear" w:color="auto" w:fill="CCE8CF" w:themeFill="background1"/>
        </w:rPr>
        <w:t>。</w:t>
      </w:r>
    </w:p>
    <w:p>
      <w:pPr>
        <w:adjustRightInd w:val="0"/>
        <w:snapToGrid w:val="0"/>
        <w:spacing w:line="360" w:lineRule="auto"/>
        <w:jc w:val="center"/>
        <w:rPr>
          <w:rFonts w:ascii="黑体" w:hAnsi="黑体" w:eastAsia="黑体"/>
          <w:sz w:val="24"/>
        </w:rPr>
      </w:pPr>
      <w:r>
        <w:rPr>
          <w:rFonts w:hint="eastAsia" w:ascii="黑体" w:hAnsi="黑体" w:eastAsia="黑体"/>
          <w:sz w:val="24"/>
        </w:rPr>
        <w:t>绩效评估得分总体情况表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6"/>
        <w:gridCol w:w="1507"/>
        <w:gridCol w:w="151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51" w:type="pct"/>
            <w:shd w:val="clear" w:color="auto" w:fill="auto"/>
            <w:vAlign w:val="center"/>
          </w:tcPr>
          <w:p>
            <w:pPr>
              <w:widowControl/>
              <w:snapToGrid w:val="0"/>
              <w:jc w:val="center"/>
              <w:rPr>
                <w:rFonts w:ascii="宋体" w:hAnsi="宋体" w:eastAsia="宋体" w:cs="宋体"/>
                <w:b/>
                <w:bCs/>
                <w:kern w:val="0"/>
                <w:sz w:val="22"/>
                <w:szCs w:val="22"/>
              </w:rPr>
            </w:pPr>
            <w:bookmarkStart w:id="34" w:name="_Toc43914272"/>
            <w:r>
              <w:rPr>
                <w:rFonts w:hint="eastAsia" w:ascii="宋体" w:hAnsi="宋体" w:eastAsia="宋体" w:cs="宋体"/>
                <w:b/>
                <w:bCs/>
                <w:kern w:val="0"/>
                <w:sz w:val="22"/>
                <w:szCs w:val="22"/>
              </w:rPr>
              <w:t>一级指标</w:t>
            </w:r>
          </w:p>
        </w:tc>
        <w:tc>
          <w:tcPr>
            <w:tcW w:w="884"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分值</w:t>
            </w:r>
          </w:p>
        </w:tc>
        <w:tc>
          <w:tcPr>
            <w:tcW w:w="886"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179"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决策</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15</w:t>
            </w:r>
          </w:p>
        </w:tc>
        <w:tc>
          <w:tcPr>
            <w:tcW w:w="886"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11.50</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过程</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w:t>
            </w:r>
            <w:r>
              <w:rPr>
                <w:rFonts w:ascii="宋体" w:hAnsi="宋体" w:eastAsia="宋体" w:cs="宋体"/>
                <w:kern w:val="0"/>
                <w:sz w:val="22"/>
                <w:szCs w:val="22"/>
                <w:lang w:bidi="ar"/>
              </w:rPr>
              <w:t>0</w:t>
            </w:r>
          </w:p>
        </w:tc>
        <w:tc>
          <w:tcPr>
            <w:tcW w:w="886"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15.13</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75.65%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产出</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30</w:t>
            </w:r>
          </w:p>
        </w:tc>
        <w:tc>
          <w:tcPr>
            <w:tcW w:w="886"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25.00</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效益</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w:t>
            </w:r>
            <w:r>
              <w:rPr>
                <w:rFonts w:ascii="宋体" w:hAnsi="宋体" w:eastAsia="宋体" w:cs="宋体"/>
                <w:kern w:val="0"/>
                <w:sz w:val="22"/>
                <w:szCs w:val="22"/>
                <w:lang w:bidi="ar"/>
              </w:rPr>
              <w:t>5</w:t>
            </w:r>
          </w:p>
        </w:tc>
        <w:tc>
          <w:tcPr>
            <w:tcW w:w="886"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w:t>
            </w:r>
            <w:r>
              <w:rPr>
                <w:rFonts w:ascii="宋体" w:hAnsi="宋体" w:eastAsia="宋体" w:cs="宋体"/>
                <w:kern w:val="0"/>
                <w:sz w:val="22"/>
                <w:szCs w:val="22"/>
                <w:lang w:bidi="ar"/>
              </w:rPr>
              <w:t>9.</w:t>
            </w:r>
            <w:r>
              <w:rPr>
                <w:rFonts w:hint="eastAsia" w:ascii="宋体" w:hAnsi="宋体" w:eastAsia="宋体" w:cs="宋体"/>
                <w:kern w:val="0"/>
                <w:sz w:val="22"/>
                <w:szCs w:val="22"/>
                <w:lang w:bidi="ar"/>
              </w:rPr>
              <w:t>52</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w:t>
            </w:r>
          </w:p>
        </w:tc>
        <w:tc>
          <w:tcPr>
            <w:tcW w:w="884"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886"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81.15</w:t>
            </w:r>
          </w:p>
        </w:tc>
        <w:tc>
          <w:tcPr>
            <w:tcW w:w="1179"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总分（取整）</w:t>
            </w:r>
          </w:p>
        </w:tc>
        <w:tc>
          <w:tcPr>
            <w:tcW w:w="884"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886"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81</w:t>
            </w:r>
          </w:p>
        </w:tc>
        <w:tc>
          <w:tcPr>
            <w:tcW w:w="1179"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935" w:type="pct"/>
            <w:gridSpan w:val="2"/>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综合评估等级</w:t>
            </w:r>
          </w:p>
        </w:tc>
        <w:tc>
          <w:tcPr>
            <w:tcW w:w="2065" w:type="pct"/>
            <w:gridSpan w:val="2"/>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良</w:t>
            </w:r>
          </w:p>
        </w:tc>
      </w:tr>
      <w:bookmarkEnd w:id="34"/>
    </w:tbl>
    <w:p>
      <w:pPr>
        <w:adjustRightInd w:val="0"/>
        <w:snapToGrid w:val="0"/>
        <w:spacing w:line="360" w:lineRule="auto"/>
        <w:ind w:firstLine="640" w:firstLineChars="200"/>
        <w:outlineLvl w:val="0"/>
        <w:rPr>
          <w:rFonts w:ascii="黑体" w:hAnsi="黑体" w:eastAsia="黑体" w:cs="Times New Roman"/>
          <w:sz w:val="32"/>
          <w:szCs w:val="32"/>
        </w:rPr>
      </w:pPr>
      <w:bookmarkStart w:id="35" w:name="_Toc43914273"/>
      <w:bookmarkStart w:id="36" w:name="_Toc55486356"/>
      <w:bookmarkStart w:id="37" w:name="_Toc32146"/>
      <w:bookmarkStart w:id="38" w:name="_Toc29218"/>
      <w:bookmarkStart w:id="39" w:name="_Toc27526"/>
      <w:bookmarkStart w:id="40" w:name="_Toc124189332"/>
      <w:bookmarkStart w:id="41" w:name="_Toc4674"/>
      <w:r>
        <w:rPr>
          <w:rFonts w:hint="eastAsia" w:ascii="黑体" w:hAnsi="黑体" w:eastAsia="黑体" w:cs="Times New Roman"/>
          <w:sz w:val="32"/>
          <w:szCs w:val="32"/>
          <w:lang w:eastAsia="zh-CN"/>
        </w:rPr>
        <w:t>三</w:t>
      </w:r>
      <w:r>
        <w:rPr>
          <w:rFonts w:hint="eastAsia" w:ascii="黑体" w:hAnsi="黑体" w:eastAsia="黑体" w:cs="Times New Roman"/>
          <w:sz w:val="32"/>
          <w:szCs w:val="32"/>
        </w:rPr>
        <w:t>、存在问题和建议</w:t>
      </w:r>
      <w:bookmarkEnd w:id="35"/>
      <w:bookmarkEnd w:id="36"/>
      <w:bookmarkEnd w:id="37"/>
      <w:bookmarkEnd w:id="38"/>
      <w:bookmarkEnd w:id="39"/>
      <w:bookmarkEnd w:id="40"/>
      <w:bookmarkEnd w:id="41"/>
    </w:p>
    <w:p>
      <w:pPr>
        <w:adjustRightInd w:val="0"/>
        <w:snapToGrid w:val="0"/>
        <w:spacing w:line="360" w:lineRule="auto"/>
        <w:ind w:firstLine="643" w:firstLineChars="200"/>
        <w:outlineLvl w:val="1"/>
        <w:rPr>
          <w:rFonts w:ascii="楷体" w:hAnsi="楷体" w:eastAsia="楷体" w:cs="楷体"/>
          <w:b/>
          <w:kern w:val="0"/>
          <w:sz w:val="32"/>
          <w:szCs w:val="32"/>
        </w:rPr>
      </w:pPr>
      <w:bookmarkStart w:id="42" w:name="_Toc52144080"/>
      <w:bookmarkStart w:id="43" w:name="_Toc124189333"/>
      <w:bookmarkStart w:id="44" w:name="_Toc16025"/>
      <w:bookmarkStart w:id="45" w:name="_Toc25595"/>
      <w:bookmarkStart w:id="46" w:name="_Toc23281"/>
      <w:bookmarkStart w:id="47" w:name="_Toc11233"/>
      <w:bookmarkStart w:id="48" w:name="_Toc55486357"/>
      <w:r>
        <w:rPr>
          <w:rFonts w:hint="eastAsia" w:ascii="楷体" w:hAnsi="楷体" w:eastAsia="楷体" w:cs="楷体"/>
          <w:b/>
          <w:kern w:val="0"/>
          <w:sz w:val="32"/>
          <w:szCs w:val="32"/>
        </w:rPr>
        <w:t>（一）存在问题</w:t>
      </w:r>
      <w:bookmarkEnd w:id="42"/>
      <w:bookmarkEnd w:id="43"/>
      <w:bookmarkEnd w:id="44"/>
      <w:bookmarkEnd w:id="45"/>
      <w:bookmarkEnd w:id="46"/>
      <w:bookmarkEnd w:id="47"/>
      <w:bookmarkEnd w:id="48"/>
      <w:bookmarkStart w:id="49" w:name="_Toc55486362"/>
      <w:bookmarkStart w:id="50" w:name="_Toc52144086"/>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ascii="仿宋" w:hAnsi="仿宋" w:eastAsia="仿宋" w:cs="Arial"/>
          <w:b/>
          <w:kern w:val="0"/>
          <w:sz w:val="32"/>
          <w:szCs w:val="32"/>
        </w:rPr>
        <w:t>1</w:t>
      </w:r>
      <w:r>
        <w:rPr>
          <w:rFonts w:hint="eastAsia" w:ascii="仿宋" w:hAnsi="仿宋" w:eastAsia="仿宋" w:cs="Arial"/>
          <w:b/>
          <w:kern w:val="0"/>
          <w:sz w:val="32"/>
          <w:szCs w:val="32"/>
        </w:rPr>
        <w:t>.实施方案不够完善，资金分配依据不够充分</w:t>
      </w:r>
      <w:r>
        <w:rPr>
          <w:rFonts w:hint="eastAsia" w:ascii="仿宋" w:hAnsi="仿宋" w:eastAsia="仿宋" w:cs="Arial"/>
          <w:b/>
          <w:kern w:val="0"/>
          <w:sz w:val="32"/>
          <w:szCs w:val="32"/>
          <w:lang w:eastAsia="zh-CN"/>
        </w:rPr>
        <w:t>。</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旗交通局编制了项目实施方案，但方案中未明确施工进度、工作开展方式及风险应对措施等内容，不利于项目统筹管理及整体推进。同时，评估工作组发现</w:t>
      </w:r>
      <w:r>
        <w:rPr>
          <w:rFonts w:hint="eastAsia" w:ascii="仿宋" w:hAnsi="仿宋" w:eastAsia="仿宋" w:cs="Times New Roman"/>
          <w:kern w:val="0"/>
          <w:sz w:val="32"/>
          <w:szCs w:val="32"/>
        </w:rPr>
        <w:t>项目施工图纸与人大任务分解方案中预算金额差异较大，且</w:t>
      </w:r>
      <w:r>
        <w:rPr>
          <w:rFonts w:hint="eastAsia" w:ascii="仿宋" w:hAnsi="仿宋" w:eastAsia="仿宋" w:cs="Times New Roman"/>
          <w:sz w:val="32"/>
          <w:szCs w:val="32"/>
        </w:rPr>
        <w:t>旗交通局</w:t>
      </w:r>
      <w:r>
        <w:rPr>
          <w:rFonts w:hint="eastAsia" w:ascii="仿宋" w:hAnsi="仿宋" w:eastAsia="仿宋" w:cs="Times New Roman"/>
          <w:kern w:val="0"/>
          <w:sz w:val="32"/>
          <w:szCs w:val="32"/>
        </w:rPr>
        <w:t>未对项目总预算2</w:t>
      </w:r>
      <w:r>
        <w:rPr>
          <w:rFonts w:ascii="仿宋" w:hAnsi="仿宋" w:eastAsia="仿宋" w:cs="Times New Roman"/>
          <w:kern w:val="0"/>
          <w:sz w:val="32"/>
          <w:szCs w:val="32"/>
        </w:rPr>
        <w:t>360</w:t>
      </w:r>
      <w:r>
        <w:rPr>
          <w:rFonts w:hint="eastAsia" w:ascii="仿宋" w:hAnsi="仿宋" w:eastAsia="仿宋" w:cs="Times New Roman"/>
          <w:kern w:val="0"/>
          <w:sz w:val="32"/>
          <w:szCs w:val="32"/>
        </w:rPr>
        <w:t>.00万元的资金构成（包括1500.00万元旗级资金、860.00万元上级资金）进行明确，资金分配依据不清晰。</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2.绩效目标不够全面，指标设置不够合理</w:t>
      </w:r>
      <w:r>
        <w:rPr>
          <w:rFonts w:hint="eastAsia" w:ascii="仿宋" w:hAnsi="仿宋" w:eastAsia="仿宋" w:cs="Arial"/>
          <w:b/>
          <w:kern w:val="0"/>
          <w:sz w:val="32"/>
          <w:szCs w:val="32"/>
          <w:lang w:eastAsia="zh-CN"/>
        </w:rPr>
        <w:t>。</w:t>
      </w:r>
    </w:p>
    <w:p>
      <w:pPr>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cs="Arial"/>
          <w:bCs/>
          <w:kern w:val="0"/>
          <w:sz w:val="32"/>
          <w:szCs w:val="32"/>
        </w:rPr>
        <w:t>项目绩效目标未对拟改造内容进行详细阐述，且</w:t>
      </w:r>
      <w:r>
        <w:rPr>
          <w:rFonts w:hint="eastAsia" w:ascii="仿宋" w:hAnsi="仿宋" w:eastAsia="仿宋"/>
          <w:bCs/>
          <w:kern w:val="0"/>
          <w:sz w:val="32"/>
          <w:szCs w:val="32"/>
        </w:rPr>
        <w:t>目标申报表中的资金总额、数量指标、成本指标与旗人大批复任务及金额不符。同时，“资金使用合规性”非项目质量指标，可持续影响指标内容为“新改建公路项目适应未来一定时期内交通需求”，指标值为1</w:t>
      </w:r>
      <w:r>
        <w:rPr>
          <w:rFonts w:ascii="仿宋" w:hAnsi="仿宋" w:eastAsia="仿宋"/>
          <w:bCs/>
          <w:kern w:val="0"/>
          <w:sz w:val="32"/>
          <w:szCs w:val="32"/>
        </w:rPr>
        <w:t>00</w:t>
      </w:r>
      <w:r>
        <w:rPr>
          <w:rFonts w:hint="eastAsia" w:ascii="仿宋" w:hAnsi="仿宋" w:eastAsia="仿宋"/>
          <w:bCs/>
          <w:kern w:val="0"/>
          <w:sz w:val="32"/>
          <w:szCs w:val="32"/>
        </w:rPr>
        <w:t>%，两者不对应，无法考核。</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3</w:t>
      </w:r>
      <w:r>
        <w:rPr>
          <w:rFonts w:ascii="仿宋" w:hAnsi="仿宋" w:eastAsia="仿宋" w:cs="Arial"/>
          <w:b/>
          <w:kern w:val="0"/>
          <w:sz w:val="32"/>
          <w:szCs w:val="32"/>
        </w:rPr>
        <w:t>.</w:t>
      </w:r>
      <w:r>
        <w:rPr>
          <w:rFonts w:hint="eastAsia" w:ascii="仿宋" w:hAnsi="仿宋" w:eastAsia="仿宋" w:cs="Arial"/>
          <w:b/>
          <w:kern w:val="0"/>
          <w:sz w:val="32"/>
          <w:szCs w:val="32"/>
        </w:rPr>
        <w:t>资金到位率不高，资金支付与合同约定不符</w:t>
      </w:r>
      <w:r>
        <w:rPr>
          <w:rFonts w:hint="eastAsia" w:ascii="仿宋" w:hAnsi="仿宋" w:eastAsia="仿宋" w:cs="Arial"/>
          <w:b/>
          <w:kern w:val="0"/>
          <w:sz w:val="32"/>
          <w:szCs w:val="32"/>
          <w:lang w:eastAsia="zh-CN"/>
        </w:rPr>
        <w:t>。</w:t>
      </w:r>
    </w:p>
    <w:p>
      <w:pPr>
        <w:adjustRightInd w:val="0"/>
        <w:snapToGrid w:val="0"/>
        <w:spacing w:line="360" w:lineRule="auto"/>
        <w:ind w:firstLine="640" w:firstLineChars="200"/>
        <w:rPr>
          <w:rFonts w:ascii="仿宋" w:hAnsi="仿宋" w:eastAsia="仿宋" w:cs="Arial"/>
          <w:b/>
          <w:kern w:val="0"/>
          <w:sz w:val="32"/>
          <w:szCs w:val="32"/>
        </w:rPr>
      </w:pPr>
      <w:r>
        <w:rPr>
          <w:rFonts w:hint="eastAsia" w:ascii="仿宋" w:hAnsi="仿宋" w:eastAsia="仿宋" w:cs="仿宋"/>
          <w:bCs/>
          <w:sz w:val="32"/>
          <w:szCs w:val="32"/>
        </w:rPr>
        <w:t>旗人大批复项目预算资金</w:t>
      </w:r>
      <w:r>
        <w:rPr>
          <w:rFonts w:ascii="仿宋" w:hAnsi="仿宋" w:eastAsia="仿宋" w:cs="仿宋"/>
          <w:bCs/>
          <w:sz w:val="32"/>
          <w:szCs w:val="32"/>
        </w:rPr>
        <w:t>2360</w:t>
      </w:r>
      <w:r>
        <w:rPr>
          <w:rFonts w:hint="eastAsia" w:ascii="仿宋" w:hAnsi="仿宋" w:eastAsia="仿宋" w:cs="仿宋"/>
          <w:bCs/>
          <w:sz w:val="32"/>
          <w:szCs w:val="32"/>
        </w:rPr>
        <w:t>.00</w:t>
      </w:r>
      <w:r>
        <w:rPr>
          <w:rFonts w:ascii="仿宋" w:hAnsi="仿宋" w:eastAsia="仿宋" w:cs="仿宋"/>
          <w:bCs/>
          <w:sz w:val="32"/>
          <w:szCs w:val="32"/>
        </w:rPr>
        <w:t>万元，截至评估日</w:t>
      </w:r>
      <w:r>
        <w:rPr>
          <w:rFonts w:hint="eastAsia" w:ascii="仿宋" w:hAnsi="仿宋" w:eastAsia="仿宋" w:cs="仿宋"/>
          <w:bCs/>
          <w:sz w:val="32"/>
          <w:szCs w:val="32"/>
        </w:rPr>
        <w:t>，实际到位资金</w:t>
      </w:r>
      <w:r>
        <w:rPr>
          <w:rFonts w:ascii="仿宋" w:hAnsi="仿宋" w:eastAsia="仿宋" w:cs="仿宋"/>
          <w:bCs/>
          <w:sz w:val="32"/>
          <w:szCs w:val="32"/>
        </w:rPr>
        <w:t>1500</w:t>
      </w:r>
      <w:r>
        <w:rPr>
          <w:rFonts w:hint="eastAsia" w:ascii="仿宋" w:hAnsi="仿宋" w:eastAsia="仿宋" w:cs="仿宋"/>
          <w:bCs/>
          <w:sz w:val="32"/>
          <w:szCs w:val="32"/>
        </w:rPr>
        <w:t>.00</w:t>
      </w:r>
      <w:r>
        <w:rPr>
          <w:rFonts w:ascii="仿宋" w:hAnsi="仿宋" w:eastAsia="仿宋" w:cs="仿宋"/>
          <w:bCs/>
          <w:sz w:val="32"/>
          <w:szCs w:val="32"/>
        </w:rPr>
        <w:t>万元</w:t>
      </w:r>
      <w:r>
        <w:rPr>
          <w:rFonts w:hint="eastAsia" w:ascii="仿宋" w:hAnsi="仿宋" w:eastAsia="仿宋" w:cs="仿宋"/>
          <w:bCs/>
          <w:sz w:val="32"/>
          <w:szCs w:val="32"/>
        </w:rPr>
        <w:t>，资金到位率</w:t>
      </w:r>
      <w:r>
        <w:rPr>
          <w:rFonts w:ascii="仿宋" w:hAnsi="仿宋" w:eastAsia="仿宋" w:cs="仿宋"/>
          <w:bCs/>
          <w:sz w:val="32"/>
          <w:szCs w:val="32"/>
        </w:rPr>
        <w:t>63.56%。</w:t>
      </w:r>
      <w:r>
        <w:rPr>
          <w:rFonts w:hint="eastAsia" w:ascii="仿宋" w:hAnsi="仿宋" w:eastAsia="仿宋" w:cs="仿宋"/>
          <w:bCs/>
          <w:sz w:val="32"/>
          <w:szCs w:val="32"/>
        </w:rPr>
        <w:t>资金到位率不高。同时，部分</w:t>
      </w:r>
      <w:r>
        <w:rPr>
          <w:rFonts w:hint="eastAsia" w:ascii="仿宋" w:hAnsi="仿宋" w:eastAsia="仿宋" w:cs="仿宋"/>
          <w:bCs/>
          <w:kern w:val="0"/>
          <w:sz w:val="32"/>
          <w:szCs w:val="32"/>
        </w:rPr>
        <w:t>工程款未按合同约定支付。旗交通局与</w:t>
      </w:r>
      <w:r>
        <w:rPr>
          <w:rFonts w:hint="eastAsia" w:ascii="仿宋" w:hAnsi="仿宋" w:eastAsia="仿宋" w:cs="仿宋"/>
          <w:kern w:val="0"/>
          <w:sz w:val="32"/>
          <w:szCs w:val="32"/>
        </w:rPr>
        <w:t>陕西西北鸿腾建设工程有限公司签订的合同中约定验收后一次性支付工程款，但实际执行时未见相关验收材料，旗交通局已支付工程款58.57%。</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ascii="仿宋" w:hAnsi="仿宋" w:eastAsia="仿宋" w:cs="Arial"/>
          <w:b/>
          <w:kern w:val="0"/>
          <w:sz w:val="32"/>
          <w:szCs w:val="32"/>
        </w:rPr>
        <w:t>4</w:t>
      </w:r>
      <w:r>
        <w:rPr>
          <w:rFonts w:hint="eastAsia" w:ascii="仿宋" w:hAnsi="仿宋" w:eastAsia="仿宋" w:cs="Arial"/>
          <w:b/>
          <w:kern w:val="0"/>
          <w:sz w:val="32"/>
          <w:szCs w:val="32"/>
        </w:rPr>
        <w:t>.未及时履行变更手续，项目实施规范性有待加强</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经对比旗交通局提供的完成情况说明与施工图纸概况，评估工作组</w:t>
      </w:r>
      <w:r>
        <w:rPr>
          <w:rFonts w:hint="eastAsia" w:ascii="仿宋" w:hAnsi="仿宋" w:eastAsia="仿宋"/>
          <w:bCs/>
          <w:kern w:val="0"/>
          <w:sz w:val="32"/>
          <w:szCs w:val="32"/>
        </w:rPr>
        <w:t>发现</w:t>
      </w:r>
      <w:r>
        <w:rPr>
          <w:rFonts w:hint="eastAsia" w:ascii="仿宋" w:hAnsi="仿宋" w:eastAsia="仿宋" w:cs="Times New Roman"/>
          <w:sz w:val="32"/>
          <w:szCs w:val="32"/>
        </w:rPr>
        <w:t>20处小型路口封闭有2处与施工图不符，15处路口安全隐患清理及设置警示标志有3处与施工图不符（其中施工图只有14处路口），5处路口改造有1处与施工图不符（其中施工图只有4处路口）。针对上述不符情况，旗交通局未履行相应的变更手续，调整程序不完备。同时，通过查看施工合同、开工报告等资料，发现开工报告签字、日期不完整。且</w:t>
      </w:r>
      <w:r>
        <w:rPr>
          <w:rFonts w:hint="eastAsia" w:ascii="仿宋" w:hAnsi="仿宋" w:eastAsia="仿宋"/>
          <w:bCs/>
          <w:kern w:val="0"/>
          <w:sz w:val="32"/>
          <w:szCs w:val="32"/>
        </w:rPr>
        <w:t>旗交通局未就变更内容与陕西博维建设工程有限公司签订补充合同，项目管理有待进一步加强。</w:t>
      </w:r>
    </w:p>
    <w:p>
      <w:pPr>
        <w:widowControl/>
        <w:numPr>
          <w:ilvl w:val="255"/>
          <w:numId w:val="0"/>
        </w:num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5.项目进</w:t>
      </w:r>
      <w:r>
        <w:rPr>
          <w:rFonts w:ascii="仿宋" w:hAnsi="仿宋" w:eastAsia="仿宋" w:cs="Arial"/>
          <w:b/>
          <w:kern w:val="0"/>
          <w:sz w:val="32"/>
          <w:szCs w:val="32"/>
        </w:rPr>
        <w:t>度滞后，效益未全部显现</w:t>
      </w:r>
      <w:r>
        <w:rPr>
          <w:rFonts w:hint="eastAsia" w:ascii="仿宋" w:hAnsi="仿宋" w:eastAsia="仿宋" w:cs="Arial"/>
          <w:b/>
          <w:kern w:val="0"/>
          <w:sz w:val="32"/>
          <w:szCs w:val="32"/>
          <w:lang w:eastAsia="zh-CN"/>
        </w:rPr>
        <w:t>。</w:t>
      </w:r>
    </w:p>
    <w:p>
      <w:pPr>
        <w:numPr>
          <w:ilvl w:val="255"/>
          <w:numId w:val="0"/>
        </w:numPr>
        <w:adjustRightInd w:val="0"/>
        <w:snapToGrid w:val="0"/>
        <w:spacing w:line="360" w:lineRule="auto"/>
        <w:ind w:firstLine="640" w:firstLineChars="200"/>
        <w:rPr>
          <w:rFonts w:ascii="仿宋" w:hAnsi="仿宋" w:eastAsia="仿宋" w:cs="Arial"/>
          <w:bCs/>
          <w:kern w:val="0"/>
          <w:sz w:val="32"/>
          <w:szCs w:val="32"/>
        </w:rPr>
      </w:pPr>
      <w:r>
        <w:rPr>
          <w:rFonts w:hint="eastAsia" w:ascii="仿宋" w:hAnsi="仿宋" w:eastAsia="仿宋"/>
          <w:bCs/>
          <w:kern w:val="0"/>
          <w:sz w:val="32"/>
          <w:szCs w:val="32"/>
        </w:rPr>
        <w:t>评估工作组通过查看施工合同等资料，发现内蒙古海德建设有限公司负责的绿化改造二次工程，施工日期为2022年11月4日-12月4日，与计划进度相比，实施进度稍滞后。同时，项目于2</w:t>
      </w:r>
      <w:r>
        <w:rPr>
          <w:rFonts w:ascii="仿宋" w:hAnsi="仿宋" w:eastAsia="仿宋"/>
          <w:bCs/>
          <w:kern w:val="0"/>
          <w:sz w:val="32"/>
          <w:szCs w:val="32"/>
        </w:rPr>
        <w:t>02</w:t>
      </w:r>
      <w:r>
        <w:rPr>
          <w:rFonts w:hint="eastAsia" w:ascii="仿宋" w:hAnsi="仿宋" w:eastAsia="仿宋"/>
          <w:bCs/>
          <w:kern w:val="0"/>
          <w:sz w:val="32"/>
          <w:szCs w:val="32"/>
        </w:rPr>
        <w:t>2年年底正式交付并投入使用，实施效益未能全部显现；且绿化改造合同约定施工期在冬季</w:t>
      </w:r>
      <w:bookmarkStart w:id="51" w:name="_Toc1659"/>
      <w:bookmarkStart w:id="52" w:name="_Toc124189334"/>
      <w:bookmarkStart w:id="53" w:name="_Toc19007"/>
      <w:r>
        <w:rPr>
          <w:rFonts w:hint="eastAsia" w:ascii="仿宋" w:hAnsi="仿宋" w:eastAsia="仿宋" w:cs="Arial"/>
          <w:bCs/>
          <w:kern w:val="0"/>
          <w:sz w:val="32"/>
          <w:szCs w:val="32"/>
        </w:rPr>
        <w:t>，因当地气温较低，故冬季绿化效益发挥不明显。</w:t>
      </w:r>
    </w:p>
    <w:p>
      <w:pPr>
        <w:numPr>
          <w:ilvl w:val="255"/>
          <w:numId w:val="0"/>
        </w:numPr>
        <w:adjustRightInd w:val="0"/>
        <w:snapToGrid w:val="0"/>
        <w:spacing w:line="360" w:lineRule="auto"/>
        <w:ind w:firstLine="643" w:firstLineChars="200"/>
        <w:outlineLvl w:val="1"/>
        <w:rPr>
          <w:rFonts w:ascii="楷体" w:hAnsi="楷体" w:eastAsia="楷体" w:cs="楷体"/>
          <w:b/>
          <w:kern w:val="0"/>
          <w:sz w:val="32"/>
          <w:szCs w:val="32"/>
        </w:rPr>
      </w:pPr>
      <w:bookmarkStart w:id="54" w:name="_Toc8849"/>
      <w:r>
        <w:rPr>
          <w:rFonts w:hint="eastAsia" w:ascii="楷体" w:hAnsi="楷体" w:eastAsia="楷体" w:cs="楷体"/>
          <w:b/>
          <w:kern w:val="0"/>
          <w:sz w:val="32"/>
          <w:szCs w:val="32"/>
        </w:rPr>
        <w:t>（二）有关建议</w:t>
      </w:r>
      <w:bookmarkEnd w:id="49"/>
      <w:bookmarkEnd w:id="51"/>
      <w:bookmarkEnd w:id="52"/>
      <w:bookmarkEnd w:id="53"/>
      <w:bookmarkEnd w:id="54"/>
    </w:p>
    <w:bookmarkEnd w:id="50"/>
    <w:p>
      <w:pPr>
        <w:adjustRightInd w:val="0"/>
        <w:snapToGrid w:val="0"/>
        <w:spacing w:line="360" w:lineRule="auto"/>
        <w:ind w:firstLine="643" w:firstLineChars="200"/>
        <w:outlineLvl w:val="2"/>
        <w:rPr>
          <w:rFonts w:hint="eastAsia" w:ascii="仿宋" w:hAnsi="仿宋" w:eastAsia="仿宋" w:cs="仿宋"/>
          <w:b/>
          <w:kern w:val="0"/>
          <w:sz w:val="32"/>
          <w:szCs w:val="32"/>
          <w:lang w:eastAsia="zh-CN"/>
        </w:rPr>
      </w:pPr>
      <w:bookmarkStart w:id="55" w:name="_Toc55520104"/>
      <w:bookmarkStart w:id="56" w:name="_Toc55486363"/>
      <w:r>
        <w:rPr>
          <w:rFonts w:hint="eastAsia" w:ascii="仿宋" w:hAnsi="仿宋" w:eastAsia="仿宋" w:cs="仿宋"/>
          <w:b/>
          <w:kern w:val="0"/>
          <w:sz w:val="32"/>
          <w:szCs w:val="32"/>
        </w:rPr>
        <w:t>1.</w:t>
      </w:r>
      <w:bookmarkEnd w:id="55"/>
      <w:bookmarkEnd w:id="56"/>
      <w:bookmarkStart w:id="57" w:name="_Toc8387"/>
      <w:r>
        <w:rPr>
          <w:rFonts w:hint="eastAsia" w:ascii="仿宋" w:hAnsi="仿宋" w:eastAsia="仿宋" w:cs="仿宋"/>
          <w:b/>
          <w:kern w:val="0"/>
          <w:sz w:val="32"/>
          <w:szCs w:val="32"/>
        </w:rPr>
        <w:t>科学制定项目实施方案，明确资金分配依据</w:t>
      </w:r>
      <w:r>
        <w:rPr>
          <w:rFonts w:hint="eastAsia" w:ascii="仿宋" w:hAnsi="仿宋" w:eastAsia="仿宋" w:cs="仿宋"/>
          <w:b/>
          <w:kern w:val="0"/>
          <w:sz w:val="32"/>
          <w:szCs w:val="32"/>
          <w:lang w:eastAsia="zh-CN"/>
        </w:rPr>
        <w:t>。</w:t>
      </w:r>
    </w:p>
    <w:p>
      <w:pPr>
        <w:widowControl/>
        <w:adjustRightInd w:val="0"/>
        <w:snapToGrid w:val="0"/>
        <w:spacing w:line="360" w:lineRule="auto"/>
        <w:ind w:firstLine="640" w:firstLineChars="200"/>
        <w:rPr>
          <w:rFonts w:ascii="仿宋" w:hAnsi="仿宋" w:eastAsia="仿宋" w:cs="仿宋"/>
          <w:b/>
          <w:kern w:val="0"/>
          <w:sz w:val="32"/>
          <w:szCs w:val="32"/>
        </w:rPr>
      </w:pPr>
      <w:r>
        <w:rPr>
          <w:rFonts w:hint="eastAsia" w:ascii="仿宋" w:hAnsi="仿宋" w:eastAsia="仿宋" w:cs="仿宋"/>
          <w:sz w:val="32"/>
          <w:szCs w:val="32"/>
        </w:rPr>
        <w:t>建议旗交通局</w:t>
      </w:r>
      <w:r>
        <w:rPr>
          <w:rFonts w:hint="eastAsia" w:ascii="仿宋" w:hAnsi="仿宋" w:eastAsia="仿宋" w:cs="仿宋"/>
          <w:bCs/>
          <w:kern w:val="0"/>
          <w:sz w:val="32"/>
          <w:szCs w:val="32"/>
        </w:rPr>
        <w:t>强化项目管理全局意识，统筹规划项目从头至尾、从上到下的管理，结合项目实际情况，制定涵盖项目</w:t>
      </w:r>
      <w:r>
        <w:rPr>
          <w:rFonts w:hint="eastAsia" w:ascii="仿宋" w:hAnsi="仿宋" w:eastAsia="仿宋" w:cs="仿宋"/>
          <w:sz w:val="32"/>
          <w:szCs w:val="32"/>
        </w:rPr>
        <w:t>工作内容、组织管理架构及成员职责划分、工作进度安排、资金管理计划、项目定期或不定期监督检查管理、验收方案、风险控制措施等具体要求的项目实施方案，用于全面指导项目实施。同时针对预算资金，明确资金构成，制定合理的预算分配方案，</w:t>
      </w:r>
      <w:r>
        <w:rPr>
          <w:rFonts w:hint="eastAsia" w:ascii="仿宋" w:hAnsi="仿宋" w:eastAsia="仿宋" w:cs="仿宋"/>
          <w:sz w:val="32"/>
          <w:szCs w:val="32"/>
          <w:highlight w:val="none"/>
        </w:rPr>
        <w:t>提升资金分配依据的充分性</w:t>
      </w:r>
      <w:r>
        <w:rPr>
          <w:rFonts w:hint="eastAsia" w:ascii="仿宋" w:hAnsi="仿宋" w:eastAsia="仿宋" w:cs="仿宋"/>
          <w:sz w:val="32"/>
          <w:szCs w:val="32"/>
        </w:rPr>
        <w:t>。</w:t>
      </w:r>
    </w:p>
    <w:p>
      <w:pPr>
        <w:adjustRightInd w:val="0"/>
        <w:snapToGrid w:val="0"/>
        <w:spacing w:line="360" w:lineRule="auto"/>
        <w:ind w:firstLine="643" w:firstLineChars="200"/>
        <w:outlineLvl w:val="2"/>
        <w:rPr>
          <w:rFonts w:hint="eastAsia" w:ascii="仿宋" w:hAnsi="仿宋" w:eastAsia="仿宋" w:cs="仿宋"/>
          <w:b/>
          <w:kern w:val="0"/>
          <w:sz w:val="32"/>
          <w:szCs w:val="32"/>
          <w:lang w:eastAsia="zh-CN"/>
        </w:rPr>
      </w:pPr>
      <w:r>
        <w:rPr>
          <w:rFonts w:hint="eastAsia" w:ascii="仿宋" w:hAnsi="仿宋" w:eastAsia="仿宋" w:cs="仿宋"/>
          <w:b/>
          <w:kern w:val="0"/>
          <w:sz w:val="32"/>
          <w:szCs w:val="32"/>
        </w:rPr>
        <w:t>2.加强预算绩效管理学习，提升绩效目标编制水平</w:t>
      </w:r>
      <w:r>
        <w:rPr>
          <w:rFonts w:hint="eastAsia" w:ascii="仿宋" w:hAnsi="仿宋" w:eastAsia="仿宋" w:cs="仿宋"/>
          <w:b/>
          <w:kern w:val="0"/>
          <w:sz w:val="32"/>
          <w:szCs w:val="32"/>
          <w:lang w:eastAsia="zh-CN"/>
        </w:rPr>
        <w:t>。</w:t>
      </w:r>
    </w:p>
    <w:p>
      <w:pPr>
        <w:adjustRightInd w:val="0"/>
        <w:snapToGrid w:val="0"/>
        <w:spacing w:line="360" w:lineRule="auto"/>
        <w:ind w:firstLine="640" w:firstLineChars="200"/>
        <w:rPr>
          <w:rFonts w:ascii="仿宋" w:hAnsi="仿宋" w:eastAsia="仿宋" w:cs="仿宋"/>
          <w:b/>
          <w:kern w:val="0"/>
          <w:sz w:val="32"/>
          <w:szCs w:val="32"/>
        </w:rPr>
      </w:pPr>
      <w:r>
        <w:rPr>
          <w:rFonts w:hint="eastAsia" w:ascii="仿宋" w:hAnsi="仿宋" w:eastAsia="仿宋" w:cs="仿宋"/>
          <w:sz w:val="32"/>
          <w:szCs w:val="32"/>
        </w:rPr>
        <w:t>建议旗交通局加强预算绩效管理学习，保证项目计划实施内容、绩效目标等与预算资金相匹配；同时，将目标细化分解为全面、具体的绩效指标，并充分论证指标的可考核性，全面体现项目预期产出及效益，为后续项目实施管理及绩效评价提供依据。</w:t>
      </w:r>
    </w:p>
    <w:p>
      <w:pPr>
        <w:adjustRightInd w:val="0"/>
        <w:snapToGrid w:val="0"/>
        <w:spacing w:line="360" w:lineRule="auto"/>
        <w:ind w:firstLine="643" w:firstLineChars="200"/>
        <w:outlineLvl w:val="2"/>
        <w:rPr>
          <w:rFonts w:hint="eastAsia" w:ascii="仿宋" w:hAnsi="仿宋" w:eastAsia="仿宋" w:cs="仿宋"/>
          <w:kern w:val="0"/>
          <w:lang w:eastAsia="zh-CN"/>
        </w:rPr>
      </w:pPr>
      <w:r>
        <w:rPr>
          <w:rFonts w:ascii="仿宋" w:hAnsi="仿宋" w:eastAsia="仿宋" w:cs="仿宋"/>
          <w:b/>
          <w:kern w:val="0"/>
          <w:sz w:val="32"/>
          <w:szCs w:val="32"/>
        </w:rPr>
        <w:t>3.</w:t>
      </w:r>
      <w:bookmarkStart w:id="58" w:name="_Toc90503780"/>
      <w:bookmarkStart w:id="59" w:name="_Toc12241"/>
      <w:bookmarkStart w:id="60" w:name="_Toc14676"/>
      <w:bookmarkStart w:id="61" w:name="_Toc15967"/>
      <w:bookmarkStart w:id="62" w:name="_Toc32402"/>
      <w:r>
        <w:rPr>
          <w:rFonts w:hint="eastAsia" w:ascii="仿宋" w:hAnsi="仿宋" w:eastAsia="仿宋" w:cs="仿宋"/>
          <w:b/>
          <w:kern w:val="0"/>
          <w:sz w:val="32"/>
          <w:szCs w:val="32"/>
        </w:rPr>
        <w:t>强化预算约束作用，</w:t>
      </w:r>
      <w:bookmarkEnd w:id="58"/>
      <w:bookmarkEnd w:id="59"/>
      <w:bookmarkEnd w:id="60"/>
      <w:bookmarkEnd w:id="61"/>
      <w:bookmarkEnd w:id="62"/>
      <w:r>
        <w:rPr>
          <w:rFonts w:hint="eastAsia" w:ascii="仿宋" w:hAnsi="仿宋" w:eastAsia="仿宋" w:cs="仿宋"/>
          <w:b/>
          <w:kern w:val="0"/>
          <w:sz w:val="32"/>
          <w:szCs w:val="32"/>
        </w:rPr>
        <w:t>提高资金管理水平</w:t>
      </w:r>
      <w:r>
        <w:rPr>
          <w:rFonts w:hint="eastAsia" w:ascii="仿宋" w:hAnsi="仿宋" w:eastAsia="仿宋" w:cs="仿宋"/>
          <w:b/>
          <w:kern w:val="0"/>
          <w:sz w:val="32"/>
          <w:szCs w:val="32"/>
          <w:lang w:eastAsia="zh-CN"/>
        </w:rPr>
        <w:t>。</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theme="majorBidi"/>
          <w:sz w:val="32"/>
          <w:szCs w:val="32"/>
        </w:rPr>
        <w:t>建议旗交通局从以下方面提高资金管理水平：</w:t>
      </w:r>
      <w:r>
        <w:rPr>
          <w:rFonts w:hint="eastAsia" w:ascii="仿宋" w:hAnsi="仿宋" w:eastAsia="仿宋" w:cstheme="majorBidi"/>
          <w:b/>
          <w:bCs/>
          <w:sz w:val="32"/>
          <w:szCs w:val="32"/>
        </w:rPr>
        <w:t>一是</w:t>
      </w:r>
      <w:r>
        <w:rPr>
          <w:rFonts w:hint="eastAsia" w:ascii="仿宋" w:hAnsi="仿宋" w:eastAsia="仿宋" w:cstheme="majorBidi"/>
          <w:bCs/>
          <w:sz w:val="32"/>
          <w:szCs w:val="32"/>
        </w:rPr>
        <w:t>根据当年分配下达的工作任务，合理分配项目资金，并严格按照预算批复分配资金，争取资金及时到位；</w:t>
      </w:r>
      <w:r>
        <w:rPr>
          <w:rFonts w:hint="eastAsia" w:ascii="仿宋" w:hAnsi="仿宋" w:eastAsia="仿宋" w:cstheme="majorBidi"/>
          <w:b/>
          <w:bCs/>
          <w:sz w:val="32"/>
          <w:szCs w:val="32"/>
        </w:rPr>
        <w:t>二是</w:t>
      </w:r>
      <w:r>
        <w:rPr>
          <w:rFonts w:hint="eastAsia" w:ascii="仿宋" w:hAnsi="仿宋" w:eastAsia="仿宋" w:cstheme="majorBidi"/>
          <w:bCs/>
          <w:sz w:val="32"/>
          <w:szCs w:val="32"/>
        </w:rPr>
        <w:t>加强项目资金使用审核，规范资金使用，严格按照合同约定条件付款。</w:t>
      </w:r>
    </w:p>
    <w:p>
      <w:pPr>
        <w:adjustRightInd w:val="0"/>
        <w:snapToGrid w:val="0"/>
        <w:spacing w:line="360" w:lineRule="auto"/>
        <w:ind w:firstLine="643" w:firstLineChars="200"/>
        <w:outlineLvl w:val="2"/>
        <w:rPr>
          <w:rFonts w:hint="eastAsia" w:ascii="仿宋" w:hAnsi="仿宋" w:eastAsia="仿宋" w:cs="仿宋"/>
          <w:b/>
          <w:bCs/>
          <w:kern w:val="0"/>
          <w:szCs w:val="32"/>
          <w:lang w:eastAsia="zh-CN"/>
        </w:rPr>
      </w:pPr>
      <w:bookmarkStart w:id="63" w:name="_Toc20866"/>
      <w:bookmarkStart w:id="64" w:name="_Toc19196"/>
      <w:bookmarkStart w:id="65" w:name="_Toc64792663"/>
      <w:bookmarkStart w:id="66" w:name="_Toc11079"/>
      <w:bookmarkStart w:id="67" w:name="_Toc90503779"/>
      <w:bookmarkStart w:id="68" w:name="_Toc1817"/>
      <w:bookmarkStart w:id="69" w:name="_Toc1725"/>
      <w:bookmarkStart w:id="70" w:name="_Toc28799"/>
      <w:r>
        <w:rPr>
          <w:rFonts w:ascii="仿宋" w:hAnsi="仿宋" w:eastAsia="仿宋" w:cs="仿宋"/>
          <w:b/>
          <w:bCs/>
          <w:kern w:val="0"/>
          <w:sz w:val="32"/>
          <w:szCs w:val="32"/>
        </w:rPr>
        <w:t>4.</w:t>
      </w:r>
      <w:r>
        <w:rPr>
          <w:rFonts w:hint="eastAsia" w:ascii="仿宋" w:hAnsi="仿宋" w:eastAsia="仿宋" w:cs="仿宋"/>
          <w:b/>
          <w:bCs/>
          <w:kern w:val="0"/>
          <w:sz w:val="32"/>
          <w:szCs w:val="32"/>
        </w:rPr>
        <w:t>及时履行调整审批程序</w:t>
      </w:r>
      <w:bookmarkEnd w:id="63"/>
      <w:bookmarkEnd w:id="64"/>
      <w:bookmarkEnd w:id="65"/>
      <w:bookmarkEnd w:id="66"/>
      <w:bookmarkEnd w:id="67"/>
      <w:bookmarkEnd w:id="68"/>
      <w:bookmarkEnd w:id="69"/>
      <w:bookmarkEnd w:id="70"/>
      <w:r>
        <w:rPr>
          <w:rFonts w:hint="eastAsia" w:ascii="仿宋" w:hAnsi="仿宋" w:eastAsia="仿宋" w:cs="仿宋"/>
          <w:b/>
          <w:kern w:val="0"/>
          <w:sz w:val="32"/>
          <w:szCs w:val="32"/>
        </w:rPr>
        <w:t>，提升项目管理水平</w:t>
      </w:r>
      <w:r>
        <w:rPr>
          <w:rFonts w:hint="eastAsia" w:ascii="仿宋" w:hAnsi="仿宋" w:eastAsia="仿宋" w:cs="仿宋"/>
          <w:b/>
          <w:kern w:val="0"/>
          <w:sz w:val="32"/>
          <w:szCs w:val="32"/>
          <w:lang w:eastAsia="zh-CN"/>
        </w:rPr>
        <w:t>。</w:t>
      </w:r>
    </w:p>
    <w:p>
      <w:pPr>
        <w:pStyle w:val="33"/>
        <w:adjustRightInd w:val="0"/>
        <w:snapToGrid w:val="0"/>
        <w:spacing w:line="360" w:lineRule="auto"/>
        <w:ind w:firstLine="640"/>
        <w:rPr>
          <w:rFonts w:ascii="仿宋" w:hAnsi="仿宋" w:cs="仿宋"/>
          <w:bCs/>
          <w:szCs w:val="32"/>
        </w:rPr>
      </w:pPr>
      <w:r>
        <w:rPr>
          <w:rFonts w:hint="eastAsia" w:ascii="仿宋" w:hAnsi="仿宋" w:cs="仿宋"/>
          <w:szCs w:val="32"/>
        </w:rPr>
        <w:t>建议旗交通局在项目实施过程中，严格按照人大批复的项目内容执行，若根据项目实际情况确需进行变更或调整的，应及时向人大提交项目变更调整申请，履行变更程序。同时，</w:t>
      </w:r>
      <w:r>
        <w:rPr>
          <w:rFonts w:hint="eastAsia" w:ascii="仿宋" w:hAnsi="仿宋" w:cs="仿宋"/>
          <w:bCs/>
          <w:szCs w:val="32"/>
        </w:rPr>
        <w:t>针对变更后工作任务调整项目预算，并及时与承担单位签订补充合同，强化对</w:t>
      </w:r>
      <w:r>
        <w:rPr>
          <w:rFonts w:hint="eastAsia" w:ascii="仿宋" w:hAnsi="仿宋"/>
          <w:szCs w:val="32"/>
        </w:rPr>
        <w:t>施工合同、开工报告等资料中基础信息的审核，保证关键信息完整，</w:t>
      </w:r>
      <w:r>
        <w:rPr>
          <w:rFonts w:hint="eastAsia" w:ascii="仿宋" w:hAnsi="仿宋" w:cs="仿宋"/>
          <w:bCs/>
          <w:szCs w:val="32"/>
        </w:rPr>
        <w:t>从而提升过程管理的规范性。</w:t>
      </w:r>
    </w:p>
    <w:p>
      <w:pPr>
        <w:widowControl/>
        <w:adjustRightInd w:val="0"/>
        <w:snapToGrid w:val="0"/>
        <w:spacing w:line="360" w:lineRule="auto"/>
        <w:ind w:firstLine="643" w:firstLineChars="200"/>
        <w:outlineLvl w:val="2"/>
        <w:rPr>
          <w:rFonts w:hint="eastAsia" w:ascii="仿宋" w:hAnsi="仿宋" w:eastAsia="仿宋" w:cs="仿宋"/>
          <w:bCs/>
          <w:sz w:val="32"/>
          <w:szCs w:val="32"/>
          <w:lang w:eastAsia="zh-CN"/>
        </w:rPr>
      </w:pPr>
      <w:r>
        <w:rPr>
          <w:rFonts w:hint="eastAsia" w:ascii="仿宋" w:hAnsi="仿宋" w:eastAsia="仿宋" w:cs="仿宋"/>
          <w:b/>
          <w:sz w:val="32"/>
          <w:szCs w:val="32"/>
        </w:rPr>
        <w:t>5.加强项目进度管理，提升项目整体效益</w:t>
      </w:r>
      <w:r>
        <w:rPr>
          <w:rFonts w:hint="eastAsia" w:ascii="仿宋" w:hAnsi="仿宋" w:eastAsia="仿宋" w:cs="仿宋"/>
          <w:b/>
          <w:sz w:val="32"/>
          <w:szCs w:val="32"/>
          <w:lang w:eastAsia="zh-CN"/>
        </w:rPr>
        <w:t>。</w:t>
      </w:r>
    </w:p>
    <w:p>
      <w:pPr>
        <w:pStyle w:val="18"/>
        <w:adjustRightInd w:val="0"/>
        <w:snapToGrid w:val="0"/>
        <w:spacing w:after="0" w:line="360" w:lineRule="auto"/>
        <w:ind w:left="0" w:leftChars="0" w:firstLine="640" w:firstLineChars="200"/>
        <w:rPr>
          <w:rFonts w:ascii="仿宋" w:hAnsi="仿宋" w:eastAsia="仿宋" w:cs="Arial"/>
          <w:sz w:val="32"/>
          <w:szCs w:val="32"/>
        </w:rPr>
      </w:pPr>
      <w:bookmarkStart w:id="71" w:name="_Toc124189335"/>
      <w:r>
        <w:rPr>
          <w:rFonts w:hint="eastAsia" w:ascii="仿宋" w:hAnsi="仿宋" w:eastAsia="仿宋" w:cs="Arial"/>
          <w:sz w:val="32"/>
          <w:szCs w:val="32"/>
        </w:rPr>
        <w:t>建议旗交通局</w:t>
      </w:r>
      <w:r>
        <w:rPr>
          <w:rFonts w:hint="eastAsia" w:ascii="仿宋" w:hAnsi="仿宋" w:eastAsia="仿宋" w:cs="Arial"/>
          <w:b/>
          <w:bCs/>
          <w:sz w:val="32"/>
          <w:szCs w:val="32"/>
        </w:rPr>
        <w:t>一是</w:t>
      </w:r>
      <w:r>
        <w:rPr>
          <w:rFonts w:hint="eastAsia" w:ascii="仿宋" w:hAnsi="仿宋" w:eastAsia="仿宋" w:cs="Arial"/>
          <w:sz w:val="32"/>
          <w:szCs w:val="32"/>
        </w:rPr>
        <w:t>进一步强化项目进度管理，严格按照项目工作进度开展各项工作，减少项目调整频率，以提升项目产出时效；</w:t>
      </w:r>
      <w:r>
        <w:rPr>
          <w:rFonts w:hint="eastAsia" w:ascii="仿宋" w:hAnsi="仿宋" w:eastAsia="仿宋" w:cs="Arial"/>
          <w:b/>
          <w:bCs/>
          <w:sz w:val="32"/>
          <w:szCs w:val="32"/>
        </w:rPr>
        <w:t>二是</w:t>
      </w:r>
      <w:r>
        <w:rPr>
          <w:rFonts w:hint="eastAsia" w:ascii="仿宋" w:hAnsi="仿宋" w:eastAsia="仿宋" w:cs="Arial"/>
          <w:sz w:val="32"/>
          <w:szCs w:val="32"/>
        </w:rPr>
        <w:t>结合项目情况开展系统的前期调研和论证，结合当地气候情况及项目实施内容，优化项目施工时间，从而保证项目整体实施效益的发挥。</w:t>
      </w:r>
      <w:bookmarkEnd w:id="57"/>
      <w:bookmarkEnd w:id="71"/>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rFonts w:ascii="仿宋" w:hAnsi="仿宋"/>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27950"/>
    </w:sdtPr>
    <w:sdtEndPr>
      <w:rPr>
        <w:rFonts w:ascii="宋体" w:hAnsi="宋体" w:eastAsia="宋体"/>
        <w:sz w:val="28"/>
        <w:szCs w:val="28"/>
      </w:rPr>
    </w:sdtEndPr>
    <w:sdtContent>
      <w:p>
        <w:pPr>
          <w:pStyle w:val="11"/>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p>
    </w:sdtContent>
  </w:sdt>
  <w:p>
    <w:pPr>
      <w:pStyle w:val="11"/>
      <w:ind w:firstLine="420"/>
      <w:rPr>
        <w:rFonts w:ascii="仿宋" w:hAnsi="仿宋"/>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pacing w:line="360" w:lineRule="auto"/>
      <w:jc w:val="right"/>
      <w:rPr>
        <w:rFonts w:asciiTheme="minorEastAsia" w:hAnsiTheme="minorEastAsia" w:cstheme="minorEastAsia"/>
        <w:bCs/>
        <w:sz w:val="18"/>
        <w:szCs w:val="18"/>
      </w:rPr>
    </w:pPr>
    <w:r>
      <w:rPr>
        <w:rFonts w:hint="eastAsia" w:ascii="宋体" w:hAnsi="宋体" w:eastAsia="宋体"/>
        <w:sz w:val="18"/>
        <w:szCs w:val="18"/>
      </w:rPr>
      <w:t>伊金霍洛旗交通运输局阿大线平交路口安全隐患整治项目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7FA2DCC"/>
    <w:rsid w:val="0000280C"/>
    <w:rsid w:val="00004BC1"/>
    <w:rsid w:val="0001472A"/>
    <w:rsid w:val="00021CDB"/>
    <w:rsid w:val="000245D0"/>
    <w:rsid w:val="00024803"/>
    <w:rsid w:val="00025A5C"/>
    <w:rsid w:val="00026796"/>
    <w:rsid w:val="00033319"/>
    <w:rsid w:val="00037C8D"/>
    <w:rsid w:val="00051D7A"/>
    <w:rsid w:val="0005434D"/>
    <w:rsid w:val="000567E2"/>
    <w:rsid w:val="0006486E"/>
    <w:rsid w:val="00067158"/>
    <w:rsid w:val="00077114"/>
    <w:rsid w:val="00081D97"/>
    <w:rsid w:val="00081E60"/>
    <w:rsid w:val="000847BA"/>
    <w:rsid w:val="00091F20"/>
    <w:rsid w:val="000965BF"/>
    <w:rsid w:val="00097114"/>
    <w:rsid w:val="000B06A5"/>
    <w:rsid w:val="000B167A"/>
    <w:rsid w:val="000B3C98"/>
    <w:rsid w:val="000B3D49"/>
    <w:rsid w:val="000C23A4"/>
    <w:rsid w:val="000D0E92"/>
    <w:rsid w:val="000D1486"/>
    <w:rsid w:val="000D1B03"/>
    <w:rsid w:val="000D686B"/>
    <w:rsid w:val="000E0E89"/>
    <w:rsid w:val="000E2C62"/>
    <w:rsid w:val="000E3A09"/>
    <w:rsid w:val="000F395D"/>
    <w:rsid w:val="000F3E81"/>
    <w:rsid w:val="00100CF2"/>
    <w:rsid w:val="00101CA6"/>
    <w:rsid w:val="00110C54"/>
    <w:rsid w:val="00114254"/>
    <w:rsid w:val="00120705"/>
    <w:rsid w:val="0012546D"/>
    <w:rsid w:val="0013478E"/>
    <w:rsid w:val="001365CD"/>
    <w:rsid w:val="00140069"/>
    <w:rsid w:val="0014405A"/>
    <w:rsid w:val="00153D38"/>
    <w:rsid w:val="00154B08"/>
    <w:rsid w:val="001600D3"/>
    <w:rsid w:val="00162AA0"/>
    <w:rsid w:val="00163FE7"/>
    <w:rsid w:val="001660EA"/>
    <w:rsid w:val="0016746C"/>
    <w:rsid w:val="0017107B"/>
    <w:rsid w:val="00172897"/>
    <w:rsid w:val="001749E1"/>
    <w:rsid w:val="00177211"/>
    <w:rsid w:val="001803BD"/>
    <w:rsid w:val="0019599B"/>
    <w:rsid w:val="001A036D"/>
    <w:rsid w:val="001A402B"/>
    <w:rsid w:val="001A514F"/>
    <w:rsid w:val="001B08EF"/>
    <w:rsid w:val="001B6284"/>
    <w:rsid w:val="001D57AF"/>
    <w:rsid w:val="001E408C"/>
    <w:rsid w:val="001F14D1"/>
    <w:rsid w:val="001F48B8"/>
    <w:rsid w:val="001F71A1"/>
    <w:rsid w:val="002129B1"/>
    <w:rsid w:val="00212B36"/>
    <w:rsid w:val="00224753"/>
    <w:rsid w:val="00230858"/>
    <w:rsid w:val="00232FEA"/>
    <w:rsid w:val="00235471"/>
    <w:rsid w:val="002356D3"/>
    <w:rsid w:val="00240BB1"/>
    <w:rsid w:val="00246945"/>
    <w:rsid w:val="00255B99"/>
    <w:rsid w:val="00255E6C"/>
    <w:rsid w:val="0026141E"/>
    <w:rsid w:val="00273F24"/>
    <w:rsid w:val="00277F9F"/>
    <w:rsid w:val="00282401"/>
    <w:rsid w:val="002840B6"/>
    <w:rsid w:val="00287CF6"/>
    <w:rsid w:val="002933A2"/>
    <w:rsid w:val="002A0CC2"/>
    <w:rsid w:val="002A2EE9"/>
    <w:rsid w:val="002C4DCD"/>
    <w:rsid w:val="002C5D2E"/>
    <w:rsid w:val="002C6017"/>
    <w:rsid w:val="002C76F0"/>
    <w:rsid w:val="002D39B6"/>
    <w:rsid w:val="002E3DCE"/>
    <w:rsid w:val="002E68B6"/>
    <w:rsid w:val="002F23B6"/>
    <w:rsid w:val="003021D1"/>
    <w:rsid w:val="00305972"/>
    <w:rsid w:val="00306825"/>
    <w:rsid w:val="0031742E"/>
    <w:rsid w:val="003440B9"/>
    <w:rsid w:val="00351FC8"/>
    <w:rsid w:val="0035216A"/>
    <w:rsid w:val="003537F9"/>
    <w:rsid w:val="00355623"/>
    <w:rsid w:val="00361050"/>
    <w:rsid w:val="00370511"/>
    <w:rsid w:val="00382412"/>
    <w:rsid w:val="00387997"/>
    <w:rsid w:val="0039284F"/>
    <w:rsid w:val="00394F62"/>
    <w:rsid w:val="003A08CF"/>
    <w:rsid w:val="003A245F"/>
    <w:rsid w:val="003B05B5"/>
    <w:rsid w:val="003B26CA"/>
    <w:rsid w:val="003B5379"/>
    <w:rsid w:val="003B643A"/>
    <w:rsid w:val="003B72D6"/>
    <w:rsid w:val="003B7700"/>
    <w:rsid w:val="003C22C4"/>
    <w:rsid w:val="003D08E1"/>
    <w:rsid w:val="003E1BFE"/>
    <w:rsid w:val="003E2C21"/>
    <w:rsid w:val="003F7C25"/>
    <w:rsid w:val="00404653"/>
    <w:rsid w:val="00407B5F"/>
    <w:rsid w:val="00410397"/>
    <w:rsid w:val="00413364"/>
    <w:rsid w:val="00413F61"/>
    <w:rsid w:val="00414884"/>
    <w:rsid w:val="00423684"/>
    <w:rsid w:val="00426F71"/>
    <w:rsid w:val="00431716"/>
    <w:rsid w:val="00435274"/>
    <w:rsid w:val="004370B5"/>
    <w:rsid w:val="00437292"/>
    <w:rsid w:val="0044593D"/>
    <w:rsid w:val="004501E3"/>
    <w:rsid w:val="0045217D"/>
    <w:rsid w:val="004523D1"/>
    <w:rsid w:val="00472EDB"/>
    <w:rsid w:val="00477220"/>
    <w:rsid w:val="00477304"/>
    <w:rsid w:val="004804BF"/>
    <w:rsid w:val="00482A86"/>
    <w:rsid w:val="0048487D"/>
    <w:rsid w:val="00484F49"/>
    <w:rsid w:val="00485793"/>
    <w:rsid w:val="00486A24"/>
    <w:rsid w:val="004874E2"/>
    <w:rsid w:val="00490B80"/>
    <w:rsid w:val="00497153"/>
    <w:rsid w:val="004A1443"/>
    <w:rsid w:val="004A24CD"/>
    <w:rsid w:val="004A4A8C"/>
    <w:rsid w:val="004A5DE6"/>
    <w:rsid w:val="004B0201"/>
    <w:rsid w:val="004B043B"/>
    <w:rsid w:val="004B2BD7"/>
    <w:rsid w:val="004B4C56"/>
    <w:rsid w:val="004C2A40"/>
    <w:rsid w:val="004D2D7E"/>
    <w:rsid w:val="004D578A"/>
    <w:rsid w:val="004E40D0"/>
    <w:rsid w:val="004E410C"/>
    <w:rsid w:val="004E6891"/>
    <w:rsid w:val="004F13E8"/>
    <w:rsid w:val="00512237"/>
    <w:rsid w:val="00516DA4"/>
    <w:rsid w:val="00520D0F"/>
    <w:rsid w:val="0052102E"/>
    <w:rsid w:val="005234C0"/>
    <w:rsid w:val="00531F5D"/>
    <w:rsid w:val="00531F84"/>
    <w:rsid w:val="00534D36"/>
    <w:rsid w:val="00542406"/>
    <w:rsid w:val="00544ED7"/>
    <w:rsid w:val="0055599D"/>
    <w:rsid w:val="0056254D"/>
    <w:rsid w:val="00563CC4"/>
    <w:rsid w:val="005655E4"/>
    <w:rsid w:val="00566383"/>
    <w:rsid w:val="00567DC8"/>
    <w:rsid w:val="0057154F"/>
    <w:rsid w:val="00581B23"/>
    <w:rsid w:val="0058342D"/>
    <w:rsid w:val="00583A62"/>
    <w:rsid w:val="005922F2"/>
    <w:rsid w:val="00593217"/>
    <w:rsid w:val="00594AF6"/>
    <w:rsid w:val="005B4A1F"/>
    <w:rsid w:val="005B6A5F"/>
    <w:rsid w:val="005C1FC1"/>
    <w:rsid w:val="005C4F75"/>
    <w:rsid w:val="005D3E8B"/>
    <w:rsid w:val="005D5A6C"/>
    <w:rsid w:val="005D5D76"/>
    <w:rsid w:val="005E385C"/>
    <w:rsid w:val="005E606D"/>
    <w:rsid w:val="005F1982"/>
    <w:rsid w:val="00601BD5"/>
    <w:rsid w:val="00610033"/>
    <w:rsid w:val="0061176A"/>
    <w:rsid w:val="00612F2F"/>
    <w:rsid w:val="00613211"/>
    <w:rsid w:val="00620871"/>
    <w:rsid w:val="00621EF3"/>
    <w:rsid w:val="00624669"/>
    <w:rsid w:val="00625764"/>
    <w:rsid w:val="00630A73"/>
    <w:rsid w:val="00634241"/>
    <w:rsid w:val="00643DAE"/>
    <w:rsid w:val="00647237"/>
    <w:rsid w:val="006472A6"/>
    <w:rsid w:val="0065268C"/>
    <w:rsid w:val="00653AB7"/>
    <w:rsid w:val="0066135E"/>
    <w:rsid w:val="00662F82"/>
    <w:rsid w:val="00665321"/>
    <w:rsid w:val="0066749E"/>
    <w:rsid w:val="006845F4"/>
    <w:rsid w:val="00687A64"/>
    <w:rsid w:val="0069072E"/>
    <w:rsid w:val="00694272"/>
    <w:rsid w:val="0069744B"/>
    <w:rsid w:val="0069758D"/>
    <w:rsid w:val="006A1AF4"/>
    <w:rsid w:val="006A7D94"/>
    <w:rsid w:val="006B4742"/>
    <w:rsid w:val="006C152E"/>
    <w:rsid w:val="006C182D"/>
    <w:rsid w:val="006C5487"/>
    <w:rsid w:val="006C6377"/>
    <w:rsid w:val="006E4306"/>
    <w:rsid w:val="006E61F6"/>
    <w:rsid w:val="006F2BD1"/>
    <w:rsid w:val="006F4E5F"/>
    <w:rsid w:val="006F70F5"/>
    <w:rsid w:val="00703006"/>
    <w:rsid w:val="007041D7"/>
    <w:rsid w:val="007076F8"/>
    <w:rsid w:val="00710D19"/>
    <w:rsid w:val="0071259B"/>
    <w:rsid w:val="00730E05"/>
    <w:rsid w:val="007312F6"/>
    <w:rsid w:val="00732205"/>
    <w:rsid w:val="007328D4"/>
    <w:rsid w:val="0073348E"/>
    <w:rsid w:val="00734175"/>
    <w:rsid w:val="00741F45"/>
    <w:rsid w:val="00745F15"/>
    <w:rsid w:val="00750FCB"/>
    <w:rsid w:val="00753EC9"/>
    <w:rsid w:val="007543AA"/>
    <w:rsid w:val="00755FA5"/>
    <w:rsid w:val="007739A2"/>
    <w:rsid w:val="00777909"/>
    <w:rsid w:val="00780E88"/>
    <w:rsid w:val="00783B01"/>
    <w:rsid w:val="00786A29"/>
    <w:rsid w:val="00790C1E"/>
    <w:rsid w:val="007952E1"/>
    <w:rsid w:val="007A4DD4"/>
    <w:rsid w:val="007A6579"/>
    <w:rsid w:val="007A7B18"/>
    <w:rsid w:val="007B3564"/>
    <w:rsid w:val="007C33A7"/>
    <w:rsid w:val="007C36A9"/>
    <w:rsid w:val="007C4951"/>
    <w:rsid w:val="007D4D1A"/>
    <w:rsid w:val="007E33A7"/>
    <w:rsid w:val="007F627E"/>
    <w:rsid w:val="00800053"/>
    <w:rsid w:val="008002D4"/>
    <w:rsid w:val="00801716"/>
    <w:rsid w:val="00804925"/>
    <w:rsid w:val="00805894"/>
    <w:rsid w:val="0081365E"/>
    <w:rsid w:val="008148BF"/>
    <w:rsid w:val="0081730B"/>
    <w:rsid w:val="00822F4E"/>
    <w:rsid w:val="0082374E"/>
    <w:rsid w:val="00827D2A"/>
    <w:rsid w:val="008303DA"/>
    <w:rsid w:val="00833CA8"/>
    <w:rsid w:val="00833CD1"/>
    <w:rsid w:val="00837892"/>
    <w:rsid w:val="00837CA0"/>
    <w:rsid w:val="008460E8"/>
    <w:rsid w:val="008514A0"/>
    <w:rsid w:val="00854D6F"/>
    <w:rsid w:val="00863CE1"/>
    <w:rsid w:val="00864C90"/>
    <w:rsid w:val="00864FF7"/>
    <w:rsid w:val="00866873"/>
    <w:rsid w:val="00875051"/>
    <w:rsid w:val="00875459"/>
    <w:rsid w:val="00881E8C"/>
    <w:rsid w:val="00881F83"/>
    <w:rsid w:val="00882AFE"/>
    <w:rsid w:val="008836DE"/>
    <w:rsid w:val="00887113"/>
    <w:rsid w:val="00887A7A"/>
    <w:rsid w:val="00895907"/>
    <w:rsid w:val="008A4EBD"/>
    <w:rsid w:val="008A7E59"/>
    <w:rsid w:val="008C04CC"/>
    <w:rsid w:val="008C3BDA"/>
    <w:rsid w:val="008C634D"/>
    <w:rsid w:val="008D1B1E"/>
    <w:rsid w:val="008D2549"/>
    <w:rsid w:val="008E045D"/>
    <w:rsid w:val="008F4104"/>
    <w:rsid w:val="009034ED"/>
    <w:rsid w:val="00907263"/>
    <w:rsid w:val="00922540"/>
    <w:rsid w:val="00923831"/>
    <w:rsid w:val="009370B7"/>
    <w:rsid w:val="0094305E"/>
    <w:rsid w:val="00945C86"/>
    <w:rsid w:val="00950E60"/>
    <w:rsid w:val="0095709C"/>
    <w:rsid w:val="00957651"/>
    <w:rsid w:val="009629E8"/>
    <w:rsid w:val="00962A9D"/>
    <w:rsid w:val="00963C27"/>
    <w:rsid w:val="00965872"/>
    <w:rsid w:val="00970BEC"/>
    <w:rsid w:val="00975612"/>
    <w:rsid w:val="00980B0D"/>
    <w:rsid w:val="00986D3A"/>
    <w:rsid w:val="009908DC"/>
    <w:rsid w:val="00990EC5"/>
    <w:rsid w:val="00993C75"/>
    <w:rsid w:val="00994128"/>
    <w:rsid w:val="009A2E3E"/>
    <w:rsid w:val="009A5573"/>
    <w:rsid w:val="009A5928"/>
    <w:rsid w:val="009A6F55"/>
    <w:rsid w:val="009A7CE9"/>
    <w:rsid w:val="009B65A0"/>
    <w:rsid w:val="009B7287"/>
    <w:rsid w:val="009C4A33"/>
    <w:rsid w:val="009C7BDD"/>
    <w:rsid w:val="009E06B9"/>
    <w:rsid w:val="009E1F44"/>
    <w:rsid w:val="009F260F"/>
    <w:rsid w:val="009F40CC"/>
    <w:rsid w:val="009F714F"/>
    <w:rsid w:val="009F7FA0"/>
    <w:rsid w:val="00A07C22"/>
    <w:rsid w:val="00A10B87"/>
    <w:rsid w:val="00A1135F"/>
    <w:rsid w:val="00A13B2F"/>
    <w:rsid w:val="00A20F28"/>
    <w:rsid w:val="00A23679"/>
    <w:rsid w:val="00A30BC8"/>
    <w:rsid w:val="00A47648"/>
    <w:rsid w:val="00A47654"/>
    <w:rsid w:val="00A4776E"/>
    <w:rsid w:val="00A5171B"/>
    <w:rsid w:val="00A51AC2"/>
    <w:rsid w:val="00A5208E"/>
    <w:rsid w:val="00A61A38"/>
    <w:rsid w:val="00A62FA8"/>
    <w:rsid w:val="00A633D0"/>
    <w:rsid w:val="00A70B80"/>
    <w:rsid w:val="00A74EB3"/>
    <w:rsid w:val="00A8144A"/>
    <w:rsid w:val="00A83870"/>
    <w:rsid w:val="00A87966"/>
    <w:rsid w:val="00A90279"/>
    <w:rsid w:val="00A9692A"/>
    <w:rsid w:val="00AA0455"/>
    <w:rsid w:val="00AA1119"/>
    <w:rsid w:val="00AA1534"/>
    <w:rsid w:val="00AA3811"/>
    <w:rsid w:val="00AC43EC"/>
    <w:rsid w:val="00AD114F"/>
    <w:rsid w:val="00AD171C"/>
    <w:rsid w:val="00AD23B1"/>
    <w:rsid w:val="00AD4216"/>
    <w:rsid w:val="00AE53F5"/>
    <w:rsid w:val="00AF4EED"/>
    <w:rsid w:val="00AF7443"/>
    <w:rsid w:val="00B137B2"/>
    <w:rsid w:val="00B2333D"/>
    <w:rsid w:val="00B32634"/>
    <w:rsid w:val="00B32641"/>
    <w:rsid w:val="00B32E06"/>
    <w:rsid w:val="00B4650C"/>
    <w:rsid w:val="00B572B2"/>
    <w:rsid w:val="00B654D6"/>
    <w:rsid w:val="00B6625C"/>
    <w:rsid w:val="00B722DF"/>
    <w:rsid w:val="00B75406"/>
    <w:rsid w:val="00B832D1"/>
    <w:rsid w:val="00B84445"/>
    <w:rsid w:val="00B9271A"/>
    <w:rsid w:val="00B97812"/>
    <w:rsid w:val="00BA520C"/>
    <w:rsid w:val="00BC04DC"/>
    <w:rsid w:val="00BC5DA5"/>
    <w:rsid w:val="00BC606E"/>
    <w:rsid w:val="00BC620A"/>
    <w:rsid w:val="00BF0328"/>
    <w:rsid w:val="00BF3605"/>
    <w:rsid w:val="00C1061C"/>
    <w:rsid w:val="00C15662"/>
    <w:rsid w:val="00C16916"/>
    <w:rsid w:val="00C200E8"/>
    <w:rsid w:val="00C2261E"/>
    <w:rsid w:val="00C37347"/>
    <w:rsid w:val="00C40DA2"/>
    <w:rsid w:val="00C4588C"/>
    <w:rsid w:val="00C4669F"/>
    <w:rsid w:val="00C6663B"/>
    <w:rsid w:val="00C67761"/>
    <w:rsid w:val="00C743B0"/>
    <w:rsid w:val="00C7513F"/>
    <w:rsid w:val="00C75FF4"/>
    <w:rsid w:val="00C90286"/>
    <w:rsid w:val="00C915FB"/>
    <w:rsid w:val="00C91E11"/>
    <w:rsid w:val="00C95CD5"/>
    <w:rsid w:val="00C975D1"/>
    <w:rsid w:val="00CB478D"/>
    <w:rsid w:val="00CB47B1"/>
    <w:rsid w:val="00CB6743"/>
    <w:rsid w:val="00CB7CC4"/>
    <w:rsid w:val="00CC0353"/>
    <w:rsid w:val="00CD1686"/>
    <w:rsid w:val="00CD2A1E"/>
    <w:rsid w:val="00CD5BDE"/>
    <w:rsid w:val="00CE490E"/>
    <w:rsid w:val="00CE5B8D"/>
    <w:rsid w:val="00CF49C0"/>
    <w:rsid w:val="00CF6FAE"/>
    <w:rsid w:val="00D04BDA"/>
    <w:rsid w:val="00D07741"/>
    <w:rsid w:val="00D11098"/>
    <w:rsid w:val="00D14B72"/>
    <w:rsid w:val="00D17320"/>
    <w:rsid w:val="00D32E77"/>
    <w:rsid w:val="00D3415D"/>
    <w:rsid w:val="00D37578"/>
    <w:rsid w:val="00D37761"/>
    <w:rsid w:val="00D448C8"/>
    <w:rsid w:val="00D4576B"/>
    <w:rsid w:val="00D52F43"/>
    <w:rsid w:val="00D6306A"/>
    <w:rsid w:val="00D66350"/>
    <w:rsid w:val="00D675C6"/>
    <w:rsid w:val="00D7229A"/>
    <w:rsid w:val="00D818F0"/>
    <w:rsid w:val="00D866D1"/>
    <w:rsid w:val="00D9003C"/>
    <w:rsid w:val="00D93592"/>
    <w:rsid w:val="00DA0F1A"/>
    <w:rsid w:val="00DA6B30"/>
    <w:rsid w:val="00DA7F6F"/>
    <w:rsid w:val="00DB2100"/>
    <w:rsid w:val="00DB4B9A"/>
    <w:rsid w:val="00DB4C16"/>
    <w:rsid w:val="00DB6EB9"/>
    <w:rsid w:val="00DD14B6"/>
    <w:rsid w:val="00DD5128"/>
    <w:rsid w:val="00DD723D"/>
    <w:rsid w:val="00DF0AAF"/>
    <w:rsid w:val="00DF1B4A"/>
    <w:rsid w:val="00DF1F1B"/>
    <w:rsid w:val="00DF33BD"/>
    <w:rsid w:val="00DF5B04"/>
    <w:rsid w:val="00E00A37"/>
    <w:rsid w:val="00E00CC0"/>
    <w:rsid w:val="00E06ADE"/>
    <w:rsid w:val="00E12043"/>
    <w:rsid w:val="00E14F09"/>
    <w:rsid w:val="00E41214"/>
    <w:rsid w:val="00E439E1"/>
    <w:rsid w:val="00E45222"/>
    <w:rsid w:val="00E45667"/>
    <w:rsid w:val="00E46E9A"/>
    <w:rsid w:val="00E47F18"/>
    <w:rsid w:val="00E6538B"/>
    <w:rsid w:val="00E70E34"/>
    <w:rsid w:val="00E71019"/>
    <w:rsid w:val="00E74C89"/>
    <w:rsid w:val="00E75A45"/>
    <w:rsid w:val="00E81B3B"/>
    <w:rsid w:val="00E84081"/>
    <w:rsid w:val="00E945DA"/>
    <w:rsid w:val="00EA255C"/>
    <w:rsid w:val="00EA636A"/>
    <w:rsid w:val="00EB0649"/>
    <w:rsid w:val="00EB0CBF"/>
    <w:rsid w:val="00EB1822"/>
    <w:rsid w:val="00EC16A1"/>
    <w:rsid w:val="00ED5608"/>
    <w:rsid w:val="00EF43E6"/>
    <w:rsid w:val="00EF5261"/>
    <w:rsid w:val="00EF5634"/>
    <w:rsid w:val="00EF5EE8"/>
    <w:rsid w:val="00F017FA"/>
    <w:rsid w:val="00F11ECF"/>
    <w:rsid w:val="00F2466F"/>
    <w:rsid w:val="00F25C2D"/>
    <w:rsid w:val="00F26AE5"/>
    <w:rsid w:val="00F32B70"/>
    <w:rsid w:val="00F3568C"/>
    <w:rsid w:val="00F36DA4"/>
    <w:rsid w:val="00F372FE"/>
    <w:rsid w:val="00F50DF1"/>
    <w:rsid w:val="00F5519E"/>
    <w:rsid w:val="00F64709"/>
    <w:rsid w:val="00F86F9B"/>
    <w:rsid w:val="00FA0931"/>
    <w:rsid w:val="00FA2820"/>
    <w:rsid w:val="00FA549F"/>
    <w:rsid w:val="00FB0665"/>
    <w:rsid w:val="00FC1541"/>
    <w:rsid w:val="00FC1DA9"/>
    <w:rsid w:val="00FC25FC"/>
    <w:rsid w:val="00FE5F3D"/>
    <w:rsid w:val="00FF2DB9"/>
    <w:rsid w:val="01080A12"/>
    <w:rsid w:val="013C05FF"/>
    <w:rsid w:val="01B876F6"/>
    <w:rsid w:val="01C076D1"/>
    <w:rsid w:val="01E275BE"/>
    <w:rsid w:val="01E74ACC"/>
    <w:rsid w:val="02071371"/>
    <w:rsid w:val="021337ED"/>
    <w:rsid w:val="02450B5D"/>
    <w:rsid w:val="02851E0A"/>
    <w:rsid w:val="029B4E8D"/>
    <w:rsid w:val="02BC1AB4"/>
    <w:rsid w:val="03514F25"/>
    <w:rsid w:val="036B4DA6"/>
    <w:rsid w:val="03817E44"/>
    <w:rsid w:val="042F3BF5"/>
    <w:rsid w:val="04425CFB"/>
    <w:rsid w:val="04A22F2C"/>
    <w:rsid w:val="04A820D7"/>
    <w:rsid w:val="04B55DBF"/>
    <w:rsid w:val="05087233"/>
    <w:rsid w:val="052A1A0C"/>
    <w:rsid w:val="057C552B"/>
    <w:rsid w:val="057D3EA1"/>
    <w:rsid w:val="05C75093"/>
    <w:rsid w:val="060E53C0"/>
    <w:rsid w:val="063F08D3"/>
    <w:rsid w:val="06475D18"/>
    <w:rsid w:val="0656038C"/>
    <w:rsid w:val="06562220"/>
    <w:rsid w:val="065A3BA0"/>
    <w:rsid w:val="06656A25"/>
    <w:rsid w:val="06745EBE"/>
    <w:rsid w:val="06854192"/>
    <w:rsid w:val="068B011B"/>
    <w:rsid w:val="06A967F3"/>
    <w:rsid w:val="06AA4B1D"/>
    <w:rsid w:val="06F10BD8"/>
    <w:rsid w:val="070B125C"/>
    <w:rsid w:val="077247AA"/>
    <w:rsid w:val="07A01290"/>
    <w:rsid w:val="07B94814"/>
    <w:rsid w:val="07C60FB5"/>
    <w:rsid w:val="07CC304E"/>
    <w:rsid w:val="07CD3F86"/>
    <w:rsid w:val="07E97C68"/>
    <w:rsid w:val="07FA2DCC"/>
    <w:rsid w:val="08036E4A"/>
    <w:rsid w:val="08111BA2"/>
    <w:rsid w:val="08381BDD"/>
    <w:rsid w:val="083B1323"/>
    <w:rsid w:val="08674270"/>
    <w:rsid w:val="086A3D60"/>
    <w:rsid w:val="086F1377"/>
    <w:rsid w:val="08917F4F"/>
    <w:rsid w:val="089D2481"/>
    <w:rsid w:val="08A54D99"/>
    <w:rsid w:val="08B17BE1"/>
    <w:rsid w:val="08D21A9C"/>
    <w:rsid w:val="08D4742C"/>
    <w:rsid w:val="09004D16"/>
    <w:rsid w:val="092F6318"/>
    <w:rsid w:val="095740C2"/>
    <w:rsid w:val="0989297D"/>
    <w:rsid w:val="09907B5F"/>
    <w:rsid w:val="09AD65FB"/>
    <w:rsid w:val="09E9287E"/>
    <w:rsid w:val="0A02173F"/>
    <w:rsid w:val="0A267B7E"/>
    <w:rsid w:val="0A2715C2"/>
    <w:rsid w:val="0A2C39C3"/>
    <w:rsid w:val="0A3E36F7"/>
    <w:rsid w:val="0AAC240E"/>
    <w:rsid w:val="0ADD081A"/>
    <w:rsid w:val="0AF53DB5"/>
    <w:rsid w:val="0B280612"/>
    <w:rsid w:val="0B2D4C6C"/>
    <w:rsid w:val="0B400EAE"/>
    <w:rsid w:val="0B5322FB"/>
    <w:rsid w:val="0BAD4690"/>
    <w:rsid w:val="0BBA6DAD"/>
    <w:rsid w:val="0BC639A4"/>
    <w:rsid w:val="0C2D3A23"/>
    <w:rsid w:val="0C6D175B"/>
    <w:rsid w:val="0CB17DDA"/>
    <w:rsid w:val="0D0013AE"/>
    <w:rsid w:val="0D0C53E6"/>
    <w:rsid w:val="0D0E5602"/>
    <w:rsid w:val="0D397095"/>
    <w:rsid w:val="0D4E5332"/>
    <w:rsid w:val="0D625F8D"/>
    <w:rsid w:val="0D7B2671"/>
    <w:rsid w:val="0D9378B6"/>
    <w:rsid w:val="0DB849C0"/>
    <w:rsid w:val="0DDE3227"/>
    <w:rsid w:val="0DEA1320"/>
    <w:rsid w:val="0E1A2709"/>
    <w:rsid w:val="0E25425F"/>
    <w:rsid w:val="0E35244F"/>
    <w:rsid w:val="0E5F43F8"/>
    <w:rsid w:val="0E651252"/>
    <w:rsid w:val="0E76345F"/>
    <w:rsid w:val="0EA474CB"/>
    <w:rsid w:val="0EB75826"/>
    <w:rsid w:val="0EC41FFC"/>
    <w:rsid w:val="0EEB0C89"/>
    <w:rsid w:val="0EF928D2"/>
    <w:rsid w:val="0F26498A"/>
    <w:rsid w:val="0F340C24"/>
    <w:rsid w:val="0F876D6B"/>
    <w:rsid w:val="0FB3423F"/>
    <w:rsid w:val="0FCA6F70"/>
    <w:rsid w:val="104E662A"/>
    <w:rsid w:val="10965C5D"/>
    <w:rsid w:val="1096763D"/>
    <w:rsid w:val="1098212D"/>
    <w:rsid w:val="10B169D0"/>
    <w:rsid w:val="10CB4EBC"/>
    <w:rsid w:val="10DF1CEA"/>
    <w:rsid w:val="111B71BC"/>
    <w:rsid w:val="11472E91"/>
    <w:rsid w:val="118174FE"/>
    <w:rsid w:val="11BC7183"/>
    <w:rsid w:val="122B73ED"/>
    <w:rsid w:val="12616AD8"/>
    <w:rsid w:val="129C5330"/>
    <w:rsid w:val="12B53FC9"/>
    <w:rsid w:val="12CD4B8E"/>
    <w:rsid w:val="13257202"/>
    <w:rsid w:val="13712CD8"/>
    <w:rsid w:val="13785584"/>
    <w:rsid w:val="139B74C4"/>
    <w:rsid w:val="140652DD"/>
    <w:rsid w:val="14711FF9"/>
    <w:rsid w:val="14B65F88"/>
    <w:rsid w:val="14C42B09"/>
    <w:rsid w:val="14C878A5"/>
    <w:rsid w:val="15673B02"/>
    <w:rsid w:val="15A765F4"/>
    <w:rsid w:val="160577F8"/>
    <w:rsid w:val="161377E5"/>
    <w:rsid w:val="1649432E"/>
    <w:rsid w:val="16713237"/>
    <w:rsid w:val="16955F1C"/>
    <w:rsid w:val="16AA711E"/>
    <w:rsid w:val="174C7453"/>
    <w:rsid w:val="1768590F"/>
    <w:rsid w:val="177540AD"/>
    <w:rsid w:val="17946704"/>
    <w:rsid w:val="17AC17AA"/>
    <w:rsid w:val="18C71D79"/>
    <w:rsid w:val="1903628A"/>
    <w:rsid w:val="19526BCC"/>
    <w:rsid w:val="198932F6"/>
    <w:rsid w:val="199C240D"/>
    <w:rsid w:val="19BB441C"/>
    <w:rsid w:val="19C37774"/>
    <w:rsid w:val="1A115BEE"/>
    <w:rsid w:val="1A8557E0"/>
    <w:rsid w:val="1A977CCC"/>
    <w:rsid w:val="1A9C0B82"/>
    <w:rsid w:val="1AB32372"/>
    <w:rsid w:val="1ADE24C7"/>
    <w:rsid w:val="1B0E0516"/>
    <w:rsid w:val="1B106F97"/>
    <w:rsid w:val="1B1A7868"/>
    <w:rsid w:val="1B1D36AE"/>
    <w:rsid w:val="1B356450"/>
    <w:rsid w:val="1B871442"/>
    <w:rsid w:val="1BA50EE0"/>
    <w:rsid w:val="1BBA6B7D"/>
    <w:rsid w:val="1BCA4A27"/>
    <w:rsid w:val="1C1D5511"/>
    <w:rsid w:val="1C414813"/>
    <w:rsid w:val="1C427076"/>
    <w:rsid w:val="1C8D5D25"/>
    <w:rsid w:val="1CB53D8C"/>
    <w:rsid w:val="1CFB6C5B"/>
    <w:rsid w:val="1CFE7FA7"/>
    <w:rsid w:val="1D036806"/>
    <w:rsid w:val="1D041C3B"/>
    <w:rsid w:val="1D080517"/>
    <w:rsid w:val="1D5C5247"/>
    <w:rsid w:val="1DA32615"/>
    <w:rsid w:val="1DB05D92"/>
    <w:rsid w:val="1DE94421"/>
    <w:rsid w:val="1E23280D"/>
    <w:rsid w:val="1E253C0C"/>
    <w:rsid w:val="1E287DDE"/>
    <w:rsid w:val="1E5357DC"/>
    <w:rsid w:val="1E5A4E6D"/>
    <w:rsid w:val="1E8257A9"/>
    <w:rsid w:val="1EAE00DE"/>
    <w:rsid w:val="1ED36A90"/>
    <w:rsid w:val="1EEE2B9E"/>
    <w:rsid w:val="1F3550D0"/>
    <w:rsid w:val="1F8D23B7"/>
    <w:rsid w:val="1F9810BC"/>
    <w:rsid w:val="1FAF7DB7"/>
    <w:rsid w:val="1FC42D50"/>
    <w:rsid w:val="1FDB75C6"/>
    <w:rsid w:val="1FF32C52"/>
    <w:rsid w:val="203E3276"/>
    <w:rsid w:val="207C47A5"/>
    <w:rsid w:val="20A82DDC"/>
    <w:rsid w:val="20AA7955"/>
    <w:rsid w:val="20B94EBA"/>
    <w:rsid w:val="20DB3A5B"/>
    <w:rsid w:val="20DC2F6A"/>
    <w:rsid w:val="20DE1343"/>
    <w:rsid w:val="20E97F0B"/>
    <w:rsid w:val="20F46465"/>
    <w:rsid w:val="21027150"/>
    <w:rsid w:val="215A4BDB"/>
    <w:rsid w:val="21631979"/>
    <w:rsid w:val="21773C8B"/>
    <w:rsid w:val="21784A78"/>
    <w:rsid w:val="217A696B"/>
    <w:rsid w:val="217C574A"/>
    <w:rsid w:val="21A60522"/>
    <w:rsid w:val="21D11CA2"/>
    <w:rsid w:val="22126480"/>
    <w:rsid w:val="22230DB0"/>
    <w:rsid w:val="222E014D"/>
    <w:rsid w:val="22403D8C"/>
    <w:rsid w:val="22715FC0"/>
    <w:rsid w:val="22AB2E62"/>
    <w:rsid w:val="22AD24F0"/>
    <w:rsid w:val="22EE3972"/>
    <w:rsid w:val="23092103"/>
    <w:rsid w:val="233B037C"/>
    <w:rsid w:val="234057AC"/>
    <w:rsid w:val="235C0A1E"/>
    <w:rsid w:val="23A75A11"/>
    <w:rsid w:val="23B03E52"/>
    <w:rsid w:val="23D02679"/>
    <w:rsid w:val="23D425CF"/>
    <w:rsid w:val="23D70C27"/>
    <w:rsid w:val="23DC1B5F"/>
    <w:rsid w:val="23E444EB"/>
    <w:rsid w:val="23F22127"/>
    <w:rsid w:val="24062738"/>
    <w:rsid w:val="24177E74"/>
    <w:rsid w:val="241C01AD"/>
    <w:rsid w:val="242E4B51"/>
    <w:rsid w:val="245C3574"/>
    <w:rsid w:val="246C04E8"/>
    <w:rsid w:val="2483647E"/>
    <w:rsid w:val="24862B57"/>
    <w:rsid w:val="249C23B7"/>
    <w:rsid w:val="24F7515C"/>
    <w:rsid w:val="25252AAD"/>
    <w:rsid w:val="252A382E"/>
    <w:rsid w:val="252E1FE6"/>
    <w:rsid w:val="253634F0"/>
    <w:rsid w:val="25CC154E"/>
    <w:rsid w:val="25E8465C"/>
    <w:rsid w:val="25FE6458"/>
    <w:rsid w:val="268D5392"/>
    <w:rsid w:val="26994A86"/>
    <w:rsid w:val="26A00C21"/>
    <w:rsid w:val="26BB1EFF"/>
    <w:rsid w:val="26CB1A16"/>
    <w:rsid w:val="27053726"/>
    <w:rsid w:val="271433BD"/>
    <w:rsid w:val="275A1578"/>
    <w:rsid w:val="27A0379B"/>
    <w:rsid w:val="27E65A4A"/>
    <w:rsid w:val="27E83EEB"/>
    <w:rsid w:val="27FE5A3E"/>
    <w:rsid w:val="284937EB"/>
    <w:rsid w:val="285B67E6"/>
    <w:rsid w:val="287352DA"/>
    <w:rsid w:val="288C24E9"/>
    <w:rsid w:val="28910FDA"/>
    <w:rsid w:val="28B409B4"/>
    <w:rsid w:val="28C1173F"/>
    <w:rsid w:val="28CF1C92"/>
    <w:rsid w:val="28D832AF"/>
    <w:rsid w:val="291853E7"/>
    <w:rsid w:val="291C47AB"/>
    <w:rsid w:val="292535BA"/>
    <w:rsid w:val="292C0E92"/>
    <w:rsid w:val="293E694C"/>
    <w:rsid w:val="295F48EA"/>
    <w:rsid w:val="29D11A3A"/>
    <w:rsid w:val="2A0140CD"/>
    <w:rsid w:val="2A1F4553"/>
    <w:rsid w:val="2A510485"/>
    <w:rsid w:val="2AAA5FBF"/>
    <w:rsid w:val="2AAD7DB1"/>
    <w:rsid w:val="2AD717BA"/>
    <w:rsid w:val="2B702BC3"/>
    <w:rsid w:val="2B986711"/>
    <w:rsid w:val="2B9A387E"/>
    <w:rsid w:val="2BB00F1C"/>
    <w:rsid w:val="2BB30A70"/>
    <w:rsid w:val="2BB34E4D"/>
    <w:rsid w:val="2BC57E9D"/>
    <w:rsid w:val="2BEF61A7"/>
    <w:rsid w:val="2C1B0D4A"/>
    <w:rsid w:val="2C1B766F"/>
    <w:rsid w:val="2C1D0F66"/>
    <w:rsid w:val="2C5524AE"/>
    <w:rsid w:val="2CB90C8F"/>
    <w:rsid w:val="2CE7184D"/>
    <w:rsid w:val="2CF359EA"/>
    <w:rsid w:val="2D1076B0"/>
    <w:rsid w:val="2D124F89"/>
    <w:rsid w:val="2D3F68C4"/>
    <w:rsid w:val="2D4D621B"/>
    <w:rsid w:val="2D502C75"/>
    <w:rsid w:val="2D8F7C42"/>
    <w:rsid w:val="2DD65871"/>
    <w:rsid w:val="2E0A4F33"/>
    <w:rsid w:val="2E1D7ABB"/>
    <w:rsid w:val="2E370FB3"/>
    <w:rsid w:val="2E3A3569"/>
    <w:rsid w:val="2E4427DA"/>
    <w:rsid w:val="2EBB3233"/>
    <w:rsid w:val="2EC9401F"/>
    <w:rsid w:val="2F1C72B3"/>
    <w:rsid w:val="2F5B0402"/>
    <w:rsid w:val="2F633FA7"/>
    <w:rsid w:val="2F726EB7"/>
    <w:rsid w:val="2FBC2604"/>
    <w:rsid w:val="2FC41802"/>
    <w:rsid w:val="2FCF0CBB"/>
    <w:rsid w:val="2FDF3281"/>
    <w:rsid w:val="2FE927E7"/>
    <w:rsid w:val="300F506A"/>
    <w:rsid w:val="30122320"/>
    <w:rsid w:val="30273EC0"/>
    <w:rsid w:val="30327EB1"/>
    <w:rsid w:val="304C5355"/>
    <w:rsid w:val="307849BD"/>
    <w:rsid w:val="30CF42D0"/>
    <w:rsid w:val="30E3216E"/>
    <w:rsid w:val="30EC402D"/>
    <w:rsid w:val="310149B3"/>
    <w:rsid w:val="31126BC0"/>
    <w:rsid w:val="31273DAC"/>
    <w:rsid w:val="312A5A89"/>
    <w:rsid w:val="3135465C"/>
    <w:rsid w:val="31617B81"/>
    <w:rsid w:val="31DB6D47"/>
    <w:rsid w:val="31FD52DE"/>
    <w:rsid w:val="32027F48"/>
    <w:rsid w:val="3216623C"/>
    <w:rsid w:val="3281196A"/>
    <w:rsid w:val="32923CFE"/>
    <w:rsid w:val="32943604"/>
    <w:rsid w:val="32A001FB"/>
    <w:rsid w:val="32A36E2E"/>
    <w:rsid w:val="32BC3287"/>
    <w:rsid w:val="33487CDB"/>
    <w:rsid w:val="334B601D"/>
    <w:rsid w:val="33995376"/>
    <w:rsid w:val="33F331D4"/>
    <w:rsid w:val="33FB393B"/>
    <w:rsid w:val="34206BA6"/>
    <w:rsid w:val="34641F04"/>
    <w:rsid w:val="34853B4C"/>
    <w:rsid w:val="357635A6"/>
    <w:rsid w:val="3593380B"/>
    <w:rsid w:val="35945904"/>
    <w:rsid w:val="35B41010"/>
    <w:rsid w:val="35FF58F7"/>
    <w:rsid w:val="36080591"/>
    <w:rsid w:val="36144799"/>
    <w:rsid w:val="36154A5C"/>
    <w:rsid w:val="36451685"/>
    <w:rsid w:val="36A00724"/>
    <w:rsid w:val="36B53552"/>
    <w:rsid w:val="36EB78AE"/>
    <w:rsid w:val="36F6663C"/>
    <w:rsid w:val="3727713D"/>
    <w:rsid w:val="37327C95"/>
    <w:rsid w:val="373D40D8"/>
    <w:rsid w:val="378C0D4E"/>
    <w:rsid w:val="37B87D95"/>
    <w:rsid w:val="37ED3EE3"/>
    <w:rsid w:val="382316B2"/>
    <w:rsid w:val="38314D5D"/>
    <w:rsid w:val="38465C5E"/>
    <w:rsid w:val="385E6B8E"/>
    <w:rsid w:val="38617C70"/>
    <w:rsid w:val="38C306DF"/>
    <w:rsid w:val="38CE5AC2"/>
    <w:rsid w:val="39004409"/>
    <w:rsid w:val="3905701B"/>
    <w:rsid w:val="39202096"/>
    <w:rsid w:val="392913AA"/>
    <w:rsid w:val="394A08A6"/>
    <w:rsid w:val="3977178B"/>
    <w:rsid w:val="39873EC3"/>
    <w:rsid w:val="39F257E0"/>
    <w:rsid w:val="3A02658C"/>
    <w:rsid w:val="3A06303A"/>
    <w:rsid w:val="3A287454"/>
    <w:rsid w:val="3A404478"/>
    <w:rsid w:val="3A44746D"/>
    <w:rsid w:val="3A900B55"/>
    <w:rsid w:val="3A9D7444"/>
    <w:rsid w:val="3AB60DF9"/>
    <w:rsid w:val="3B0D6767"/>
    <w:rsid w:val="3B3F571D"/>
    <w:rsid w:val="3B46795E"/>
    <w:rsid w:val="3B554279"/>
    <w:rsid w:val="3B714E2B"/>
    <w:rsid w:val="3BF21AC7"/>
    <w:rsid w:val="3C215F09"/>
    <w:rsid w:val="3C90340B"/>
    <w:rsid w:val="3CB24B66"/>
    <w:rsid w:val="3CED689D"/>
    <w:rsid w:val="3D0715A3"/>
    <w:rsid w:val="3D13199A"/>
    <w:rsid w:val="3D291D78"/>
    <w:rsid w:val="3D363C36"/>
    <w:rsid w:val="3D413873"/>
    <w:rsid w:val="3D610E5E"/>
    <w:rsid w:val="3D7E5238"/>
    <w:rsid w:val="3D814EF2"/>
    <w:rsid w:val="3DFD4754"/>
    <w:rsid w:val="3E154F4E"/>
    <w:rsid w:val="3E7B4E4C"/>
    <w:rsid w:val="3ECD2378"/>
    <w:rsid w:val="3EE55913"/>
    <w:rsid w:val="3EEE0C09"/>
    <w:rsid w:val="3EF832DD"/>
    <w:rsid w:val="3F0264C5"/>
    <w:rsid w:val="3F4C7741"/>
    <w:rsid w:val="3F826C3D"/>
    <w:rsid w:val="3FBB44E3"/>
    <w:rsid w:val="3FFB2F15"/>
    <w:rsid w:val="403542CB"/>
    <w:rsid w:val="40500F07"/>
    <w:rsid w:val="406F4D54"/>
    <w:rsid w:val="409C02A2"/>
    <w:rsid w:val="40AE1266"/>
    <w:rsid w:val="40E8793D"/>
    <w:rsid w:val="40FE2B4E"/>
    <w:rsid w:val="41D34149"/>
    <w:rsid w:val="41DF3DE9"/>
    <w:rsid w:val="41E5725E"/>
    <w:rsid w:val="42063F87"/>
    <w:rsid w:val="4214206C"/>
    <w:rsid w:val="423B07EC"/>
    <w:rsid w:val="42660B19"/>
    <w:rsid w:val="4267610D"/>
    <w:rsid w:val="42774E1E"/>
    <w:rsid w:val="428C72D2"/>
    <w:rsid w:val="42976F25"/>
    <w:rsid w:val="42B32E21"/>
    <w:rsid w:val="43C24BBE"/>
    <w:rsid w:val="440C56F0"/>
    <w:rsid w:val="44131036"/>
    <w:rsid w:val="44147E9F"/>
    <w:rsid w:val="44297C2F"/>
    <w:rsid w:val="443552D4"/>
    <w:rsid w:val="443D039E"/>
    <w:rsid w:val="44B71B00"/>
    <w:rsid w:val="44BE128F"/>
    <w:rsid w:val="45476DEF"/>
    <w:rsid w:val="45903F8B"/>
    <w:rsid w:val="459F585C"/>
    <w:rsid w:val="45A36DF6"/>
    <w:rsid w:val="45AA4FA0"/>
    <w:rsid w:val="45C4647E"/>
    <w:rsid w:val="46395381"/>
    <w:rsid w:val="463B160A"/>
    <w:rsid w:val="46A726A9"/>
    <w:rsid w:val="46F96400"/>
    <w:rsid w:val="4700612A"/>
    <w:rsid w:val="471825FE"/>
    <w:rsid w:val="47231EE6"/>
    <w:rsid w:val="47244353"/>
    <w:rsid w:val="473A6A61"/>
    <w:rsid w:val="47685334"/>
    <w:rsid w:val="476D68F3"/>
    <w:rsid w:val="47A078AC"/>
    <w:rsid w:val="47B51938"/>
    <w:rsid w:val="47C75808"/>
    <w:rsid w:val="48107FB3"/>
    <w:rsid w:val="482254E2"/>
    <w:rsid w:val="48474F49"/>
    <w:rsid w:val="48480CC1"/>
    <w:rsid w:val="48687E42"/>
    <w:rsid w:val="488F68F0"/>
    <w:rsid w:val="48C20A74"/>
    <w:rsid w:val="48F414A2"/>
    <w:rsid w:val="492D007B"/>
    <w:rsid w:val="49C02B77"/>
    <w:rsid w:val="49C51889"/>
    <w:rsid w:val="49D02A46"/>
    <w:rsid w:val="4A02381D"/>
    <w:rsid w:val="4A0D78D8"/>
    <w:rsid w:val="4A215C91"/>
    <w:rsid w:val="4A3E34AD"/>
    <w:rsid w:val="4A517356"/>
    <w:rsid w:val="4A830CDD"/>
    <w:rsid w:val="4B1134F5"/>
    <w:rsid w:val="4B3B3C03"/>
    <w:rsid w:val="4B536797"/>
    <w:rsid w:val="4B613A1B"/>
    <w:rsid w:val="4B83273C"/>
    <w:rsid w:val="4B940573"/>
    <w:rsid w:val="4B995CBB"/>
    <w:rsid w:val="4BD27220"/>
    <w:rsid w:val="4C03387D"/>
    <w:rsid w:val="4C377D59"/>
    <w:rsid w:val="4C5275E7"/>
    <w:rsid w:val="4C994A69"/>
    <w:rsid w:val="4CAA1F4A"/>
    <w:rsid w:val="4CC065C4"/>
    <w:rsid w:val="4CC21869"/>
    <w:rsid w:val="4CE27936"/>
    <w:rsid w:val="4CE46A23"/>
    <w:rsid w:val="4D3A1DE7"/>
    <w:rsid w:val="4D5A571F"/>
    <w:rsid w:val="4D6131E6"/>
    <w:rsid w:val="4D8602C2"/>
    <w:rsid w:val="4DB15289"/>
    <w:rsid w:val="4E1830BD"/>
    <w:rsid w:val="4E391C7E"/>
    <w:rsid w:val="4E524648"/>
    <w:rsid w:val="4E9772AA"/>
    <w:rsid w:val="4EB04191"/>
    <w:rsid w:val="4EFD45B3"/>
    <w:rsid w:val="4F0F39F1"/>
    <w:rsid w:val="4F3F4BCC"/>
    <w:rsid w:val="4F5F4962"/>
    <w:rsid w:val="4F713882"/>
    <w:rsid w:val="4F80604D"/>
    <w:rsid w:val="4FCE41A2"/>
    <w:rsid w:val="5023004A"/>
    <w:rsid w:val="504927D3"/>
    <w:rsid w:val="50612CA7"/>
    <w:rsid w:val="50761921"/>
    <w:rsid w:val="50E13B14"/>
    <w:rsid w:val="50E2388B"/>
    <w:rsid w:val="50FE2DA2"/>
    <w:rsid w:val="51021A8E"/>
    <w:rsid w:val="51276D2D"/>
    <w:rsid w:val="5153657F"/>
    <w:rsid w:val="51951BDA"/>
    <w:rsid w:val="51AF590D"/>
    <w:rsid w:val="52195B6B"/>
    <w:rsid w:val="52552958"/>
    <w:rsid w:val="527A5F1B"/>
    <w:rsid w:val="52B97B85"/>
    <w:rsid w:val="530C10F9"/>
    <w:rsid w:val="530C3017"/>
    <w:rsid w:val="53106C18"/>
    <w:rsid w:val="53247A18"/>
    <w:rsid w:val="53683CC5"/>
    <w:rsid w:val="53A019B1"/>
    <w:rsid w:val="53A20AD8"/>
    <w:rsid w:val="53F51CFD"/>
    <w:rsid w:val="544B02AB"/>
    <w:rsid w:val="5480428D"/>
    <w:rsid w:val="54A77A85"/>
    <w:rsid w:val="54DA7145"/>
    <w:rsid w:val="54FE2E33"/>
    <w:rsid w:val="560E3070"/>
    <w:rsid w:val="56173BE7"/>
    <w:rsid w:val="564C1CA1"/>
    <w:rsid w:val="566D64C3"/>
    <w:rsid w:val="56771DD5"/>
    <w:rsid w:val="568F66A7"/>
    <w:rsid w:val="56DB0E69"/>
    <w:rsid w:val="56EB5639"/>
    <w:rsid w:val="56F26301"/>
    <w:rsid w:val="56FC7846"/>
    <w:rsid w:val="571406EC"/>
    <w:rsid w:val="571B1178"/>
    <w:rsid w:val="57727B09"/>
    <w:rsid w:val="57D24E6C"/>
    <w:rsid w:val="580C1D0B"/>
    <w:rsid w:val="58247055"/>
    <w:rsid w:val="58411B59"/>
    <w:rsid w:val="586A6320"/>
    <w:rsid w:val="588F168E"/>
    <w:rsid w:val="58A829AE"/>
    <w:rsid w:val="58B0064A"/>
    <w:rsid w:val="58D771E6"/>
    <w:rsid w:val="58E81E30"/>
    <w:rsid w:val="58EA51A6"/>
    <w:rsid w:val="59057331"/>
    <w:rsid w:val="590C5A97"/>
    <w:rsid w:val="592D5B8C"/>
    <w:rsid w:val="5969003C"/>
    <w:rsid w:val="59BA0CDC"/>
    <w:rsid w:val="59BB7545"/>
    <w:rsid w:val="59E93963"/>
    <w:rsid w:val="5A053E9A"/>
    <w:rsid w:val="5A1E7C63"/>
    <w:rsid w:val="5A27004A"/>
    <w:rsid w:val="5A3345B3"/>
    <w:rsid w:val="5A416F69"/>
    <w:rsid w:val="5A6C6A91"/>
    <w:rsid w:val="5AA16660"/>
    <w:rsid w:val="5AA275A9"/>
    <w:rsid w:val="5AA86F2A"/>
    <w:rsid w:val="5AF1748C"/>
    <w:rsid w:val="5AF75567"/>
    <w:rsid w:val="5B41736A"/>
    <w:rsid w:val="5B7D0F0A"/>
    <w:rsid w:val="5B823A5B"/>
    <w:rsid w:val="5BC07AD9"/>
    <w:rsid w:val="5BCA4758"/>
    <w:rsid w:val="5BE9726C"/>
    <w:rsid w:val="5BEB03B0"/>
    <w:rsid w:val="5C01084E"/>
    <w:rsid w:val="5C2C0286"/>
    <w:rsid w:val="5C3B2BBF"/>
    <w:rsid w:val="5CCF747C"/>
    <w:rsid w:val="5CD02B95"/>
    <w:rsid w:val="5CD63519"/>
    <w:rsid w:val="5CDF3DB8"/>
    <w:rsid w:val="5D1F6922"/>
    <w:rsid w:val="5D25287B"/>
    <w:rsid w:val="5D465377"/>
    <w:rsid w:val="5D8F4F70"/>
    <w:rsid w:val="5DAB78D0"/>
    <w:rsid w:val="5DCD292C"/>
    <w:rsid w:val="5DE75469"/>
    <w:rsid w:val="5E1E00A2"/>
    <w:rsid w:val="5E3C09B7"/>
    <w:rsid w:val="5E3C4F2F"/>
    <w:rsid w:val="5E423642"/>
    <w:rsid w:val="5E447AB7"/>
    <w:rsid w:val="5E48511F"/>
    <w:rsid w:val="5E4F3618"/>
    <w:rsid w:val="5E986D14"/>
    <w:rsid w:val="5EB34C8F"/>
    <w:rsid w:val="5EC7073A"/>
    <w:rsid w:val="5EC80D2B"/>
    <w:rsid w:val="5ECA30F0"/>
    <w:rsid w:val="5EF629CC"/>
    <w:rsid w:val="5EFC72AE"/>
    <w:rsid w:val="5F1B78AF"/>
    <w:rsid w:val="5F5F3548"/>
    <w:rsid w:val="5F661D01"/>
    <w:rsid w:val="5F8C7086"/>
    <w:rsid w:val="5FB70F81"/>
    <w:rsid w:val="5FF94923"/>
    <w:rsid w:val="601D476B"/>
    <w:rsid w:val="60210E9A"/>
    <w:rsid w:val="60355FCE"/>
    <w:rsid w:val="604007A4"/>
    <w:rsid w:val="604F08B5"/>
    <w:rsid w:val="6071407C"/>
    <w:rsid w:val="60B942E5"/>
    <w:rsid w:val="61300818"/>
    <w:rsid w:val="61480CE1"/>
    <w:rsid w:val="61985FBD"/>
    <w:rsid w:val="61E73B01"/>
    <w:rsid w:val="622F148F"/>
    <w:rsid w:val="625642AF"/>
    <w:rsid w:val="62593D9F"/>
    <w:rsid w:val="628D57F7"/>
    <w:rsid w:val="631770CA"/>
    <w:rsid w:val="631F29D0"/>
    <w:rsid w:val="636C7B02"/>
    <w:rsid w:val="63CD7897"/>
    <w:rsid w:val="63EB47BF"/>
    <w:rsid w:val="640443F1"/>
    <w:rsid w:val="64131199"/>
    <w:rsid w:val="642D7291"/>
    <w:rsid w:val="64345882"/>
    <w:rsid w:val="645C1924"/>
    <w:rsid w:val="64600104"/>
    <w:rsid w:val="646D0503"/>
    <w:rsid w:val="64722EF6"/>
    <w:rsid w:val="6546372E"/>
    <w:rsid w:val="65806304"/>
    <w:rsid w:val="658A426F"/>
    <w:rsid w:val="65916FB5"/>
    <w:rsid w:val="65DF52AD"/>
    <w:rsid w:val="65F335D0"/>
    <w:rsid w:val="66047DC8"/>
    <w:rsid w:val="661078A4"/>
    <w:rsid w:val="661A5E8B"/>
    <w:rsid w:val="667F010D"/>
    <w:rsid w:val="669C425A"/>
    <w:rsid w:val="66A40009"/>
    <w:rsid w:val="66A46A08"/>
    <w:rsid w:val="66C94252"/>
    <w:rsid w:val="66F607E2"/>
    <w:rsid w:val="67514D9C"/>
    <w:rsid w:val="67527B0C"/>
    <w:rsid w:val="67782A23"/>
    <w:rsid w:val="678C0773"/>
    <w:rsid w:val="678D2017"/>
    <w:rsid w:val="67D14652"/>
    <w:rsid w:val="68013BB0"/>
    <w:rsid w:val="681C65E4"/>
    <w:rsid w:val="682D01BF"/>
    <w:rsid w:val="68646FFA"/>
    <w:rsid w:val="68830621"/>
    <w:rsid w:val="688440BE"/>
    <w:rsid w:val="688F27DB"/>
    <w:rsid w:val="68A67612"/>
    <w:rsid w:val="69134331"/>
    <w:rsid w:val="69734A2D"/>
    <w:rsid w:val="699640FF"/>
    <w:rsid w:val="6997205F"/>
    <w:rsid w:val="69B56E00"/>
    <w:rsid w:val="69BD6A7F"/>
    <w:rsid w:val="6A293F7E"/>
    <w:rsid w:val="6A2C3B47"/>
    <w:rsid w:val="6A574902"/>
    <w:rsid w:val="6A687A3E"/>
    <w:rsid w:val="6A7C0940"/>
    <w:rsid w:val="6A8F52C6"/>
    <w:rsid w:val="6AA45DD3"/>
    <w:rsid w:val="6AC1094B"/>
    <w:rsid w:val="6AD91608"/>
    <w:rsid w:val="6ADE61FC"/>
    <w:rsid w:val="6B0521DE"/>
    <w:rsid w:val="6B2F05AD"/>
    <w:rsid w:val="6B4A7A40"/>
    <w:rsid w:val="6B7559B3"/>
    <w:rsid w:val="6B9A3340"/>
    <w:rsid w:val="6BAF3D96"/>
    <w:rsid w:val="6BC20340"/>
    <w:rsid w:val="6BCA118D"/>
    <w:rsid w:val="6BF60863"/>
    <w:rsid w:val="6C461624"/>
    <w:rsid w:val="6C675135"/>
    <w:rsid w:val="6CA81F6A"/>
    <w:rsid w:val="6CDE4366"/>
    <w:rsid w:val="6CE63851"/>
    <w:rsid w:val="6CE8518C"/>
    <w:rsid w:val="6CFC3D64"/>
    <w:rsid w:val="6D4240DE"/>
    <w:rsid w:val="6D5A6856"/>
    <w:rsid w:val="6D966D4A"/>
    <w:rsid w:val="6D976FD2"/>
    <w:rsid w:val="6D9C76F1"/>
    <w:rsid w:val="6DAC6228"/>
    <w:rsid w:val="6DE2733E"/>
    <w:rsid w:val="6E217E67"/>
    <w:rsid w:val="6E25722B"/>
    <w:rsid w:val="6E533D98"/>
    <w:rsid w:val="6E5A0C83"/>
    <w:rsid w:val="6E750E09"/>
    <w:rsid w:val="6E843F52"/>
    <w:rsid w:val="6EC01908"/>
    <w:rsid w:val="6F125A01"/>
    <w:rsid w:val="6F1F1ECC"/>
    <w:rsid w:val="6F255867"/>
    <w:rsid w:val="6F4719AC"/>
    <w:rsid w:val="6F56248C"/>
    <w:rsid w:val="6F604D05"/>
    <w:rsid w:val="6F612AAF"/>
    <w:rsid w:val="6F620636"/>
    <w:rsid w:val="6FB46326"/>
    <w:rsid w:val="6FBA6FB4"/>
    <w:rsid w:val="6FBE3493"/>
    <w:rsid w:val="6FCB49CE"/>
    <w:rsid w:val="6FE13EFD"/>
    <w:rsid w:val="6FE314B1"/>
    <w:rsid w:val="702E2A6B"/>
    <w:rsid w:val="7036127C"/>
    <w:rsid w:val="7045295A"/>
    <w:rsid w:val="70606EE7"/>
    <w:rsid w:val="706674EE"/>
    <w:rsid w:val="707D3CDE"/>
    <w:rsid w:val="7083541E"/>
    <w:rsid w:val="70985347"/>
    <w:rsid w:val="70A5201F"/>
    <w:rsid w:val="70B62DAD"/>
    <w:rsid w:val="716A79EC"/>
    <w:rsid w:val="716D6F1F"/>
    <w:rsid w:val="71C56D5B"/>
    <w:rsid w:val="71CD5A5D"/>
    <w:rsid w:val="721F13CD"/>
    <w:rsid w:val="723E3B24"/>
    <w:rsid w:val="72CF1987"/>
    <w:rsid w:val="732B52E4"/>
    <w:rsid w:val="73652BD4"/>
    <w:rsid w:val="73746133"/>
    <w:rsid w:val="73875954"/>
    <w:rsid w:val="739339B0"/>
    <w:rsid w:val="73CB5BE9"/>
    <w:rsid w:val="73CC646A"/>
    <w:rsid w:val="740D2C3B"/>
    <w:rsid w:val="747E1443"/>
    <w:rsid w:val="74C32380"/>
    <w:rsid w:val="74D13C69"/>
    <w:rsid w:val="74D51888"/>
    <w:rsid w:val="74DF7565"/>
    <w:rsid w:val="74FC7348"/>
    <w:rsid w:val="751B4EE4"/>
    <w:rsid w:val="754232D5"/>
    <w:rsid w:val="754E4160"/>
    <w:rsid w:val="75610B49"/>
    <w:rsid w:val="756E4A81"/>
    <w:rsid w:val="756E7659"/>
    <w:rsid w:val="75736C86"/>
    <w:rsid w:val="758060F1"/>
    <w:rsid w:val="75AF5D58"/>
    <w:rsid w:val="75B70E72"/>
    <w:rsid w:val="75C320C3"/>
    <w:rsid w:val="75D34876"/>
    <w:rsid w:val="75E874BC"/>
    <w:rsid w:val="75FC6AC3"/>
    <w:rsid w:val="76061231"/>
    <w:rsid w:val="76367BB0"/>
    <w:rsid w:val="76505F53"/>
    <w:rsid w:val="76FF297C"/>
    <w:rsid w:val="772939C2"/>
    <w:rsid w:val="77346667"/>
    <w:rsid w:val="777D37D6"/>
    <w:rsid w:val="778A046E"/>
    <w:rsid w:val="778C46A5"/>
    <w:rsid w:val="77C12FAA"/>
    <w:rsid w:val="78225516"/>
    <w:rsid w:val="78381DDB"/>
    <w:rsid w:val="7842044B"/>
    <w:rsid w:val="7890335D"/>
    <w:rsid w:val="78A218EF"/>
    <w:rsid w:val="78C53AE4"/>
    <w:rsid w:val="79176E3D"/>
    <w:rsid w:val="7918112B"/>
    <w:rsid w:val="793E755A"/>
    <w:rsid w:val="79472DD7"/>
    <w:rsid w:val="794F2403"/>
    <w:rsid w:val="79712057"/>
    <w:rsid w:val="798C3E47"/>
    <w:rsid w:val="79927E6B"/>
    <w:rsid w:val="79A33B99"/>
    <w:rsid w:val="79DF3A4E"/>
    <w:rsid w:val="7A057EBE"/>
    <w:rsid w:val="7A301431"/>
    <w:rsid w:val="7A6F3D08"/>
    <w:rsid w:val="7A750E83"/>
    <w:rsid w:val="7ABE4C8F"/>
    <w:rsid w:val="7AD61FD9"/>
    <w:rsid w:val="7B0C5AFE"/>
    <w:rsid w:val="7B2A5E81"/>
    <w:rsid w:val="7B7B169E"/>
    <w:rsid w:val="7BD36EA5"/>
    <w:rsid w:val="7BF85262"/>
    <w:rsid w:val="7C104697"/>
    <w:rsid w:val="7C176405"/>
    <w:rsid w:val="7C3D3992"/>
    <w:rsid w:val="7C4966BF"/>
    <w:rsid w:val="7C5C58E8"/>
    <w:rsid w:val="7C613B24"/>
    <w:rsid w:val="7C804BF8"/>
    <w:rsid w:val="7C986B35"/>
    <w:rsid w:val="7CA55A84"/>
    <w:rsid w:val="7CC73677"/>
    <w:rsid w:val="7CD13FF9"/>
    <w:rsid w:val="7CE179B5"/>
    <w:rsid w:val="7D0050EB"/>
    <w:rsid w:val="7D6513F2"/>
    <w:rsid w:val="7E214107"/>
    <w:rsid w:val="7E303E73"/>
    <w:rsid w:val="7E513524"/>
    <w:rsid w:val="7E7F4FBB"/>
    <w:rsid w:val="7E867872"/>
    <w:rsid w:val="7E876B10"/>
    <w:rsid w:val="7EA07D6A"/>
    <w:rsid w:val="7EC74EBF"/>
    <w:rsid w:val="7F007624"/>
    <w:rsid w:val="7F016EF9"/>
    <w:rsid w:val="7F0910E3"/>
    <w:rsid w:val="7F322511"/>
    <w:rsid w:val="7F470546"/>
    <w:rsid w:val="7F932247"/>
    <w:rsid w:val="7FAF7FC6"/>
    <w:rsid w:val="7FF2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annotation text"/>
    <w:basedOn w:val="1"/>
    <w:link w:val="39"/>
    <w:qFormat/>
    <w:uiPriority w:val="0"/>
    <w:pPr>
      <w:jc w:val="left"/>
    </w:pPr>
  </w:style>
  <w:style w:type="paragraph" w:styleId="6">
    <w:name w:val="Body Text"/>
    <w:basedOn w:val="1"/>
    <w:next w:val="7"/>
    <w:qFormat/>
    <w:uiPriority w:val="0"/>
    <w:rPr>
      <w:sz w:val="28"/>
    </w:rPr>
  </w:style>
  <w:style w:type="paragraph" w:styleId="7">
    <w:name w:val="index 9"/>
    <w:basedOn w:val="1"/>
    <w:next w:val="1"/>
    <w:qFormat/>
    <w:uiPriority w:val="0"/>
    <w:pPr>
      <w:ind w:left="3360"/>
    </w:pPr>
  </w:style>
  <w:style w:type="paragraph" w:styleId="8">
    <w:name w:val="Body Text Indent"/>
    <w:basedOn w:val="1"/>
    <w:unhideWhenUsed/>
    <w:qFormat/>
    <w:uiPriority w:val="99"/>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Balloon Text"/>
    <w:basedOn w:val="1"/>
    <w:link w:val="28"/>
    <w:qFormat/>
    <w:uiPriority w:val="0"/>
    <w:rPr>
      <w:sz w:val="18"/>
      <w:szCs w:val="18"/>
    </w:rPr>
  </w:style>
  <w:style w:type="paragraph" w:styleId="11">
    <w:name w:val="footer"/>
    <w:basedOn w:val="1"/>
    <w:link w:val="48"/>
    <w:unhideWhenUsed/>
    <w:qFormat/>
    <w:uiPriority w:val="99"/>
    <w:pPr>
      <w:tabs>
        <w:tab w:val="center" w:pos="4153"/>
        <w:tab w:val="right" w:pos="8306"/>
      </w:tabs>
      <w:snapToGrid w:val="0"/>
      <w:ind w:firstLine="200" w:firstLineChars="200"/>
      <w:jc w:val="left"/>
    </w:pPr>
    <w:rPr>
      <w:rFonts w:ascii="Calibri" w:hAnsi="Calibri" w:eastAsia="仿宋" w:cs="Times New Roman"/>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302"/>
      </w:tabs>
    </w:pPr>
    <w:rPr>
      <w:rFonts w:ascii="仿宋" w:hAnsi="仿宋" w:eastAsia="仿宋" w:cs="Times New Roman"/>
      <w:b/>
      <w:sz w:val="28"/>
      <w:szCs w:val="28"/>
    </w:rPr>
  </w:style>
  <w:style w:type="paragraph" w:styleId="14">
    <w:name w:val="footnote text"/>
    <w:basedOn w:val="1"/>
    <w:link w:val="46"/>
    <w:qFormat/>
    <w:uiPriority w:val="99"/>
    <w:pPr>
      <w:snapToGrid w:val="0"/>
      <w:jc w:val="left"/>
    </w:pPr>
    <w:rPr>
      <w:sz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annotation subject"/>
    <w:basedOn w:val="5"/>
    <w:next w:val="5"/>
    <w:link w:val="40"/>
    <w:qFormat/>
    <w:uiPriority w:val="0"/>
    <w:rPr>
      <w:b/>
      <w:bCs/>
    </w:rPr>
  </w:style>
  <w:style w:type="paragraph" w:styleId="18">
    <w:name w:val="Body Text First Indent 2"/>
    <w:basedOn w:val="8"/>
    <w:qFormat/>
    <w:uiPriority w:val="6"/>
    <w:pPr>
      <w:ind w:firstLine="420"/>
    </w:pPr>
    <w:rPr>
      <w:rFonts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styleId="25">
    <w:name w:val="footnote reference"/>
    <w:basedOn w:val="21"/>
    <w:qFormat/>
    <w:uiPriority w:val="0"/>
    <w:rPr>
      <w:vertAlign w:val="superscript"/>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页眉 字符"/>
    <w:basedOn w:val="21"/>
    <w:link w:val="12"/>
    <w:qFormat/>
    <w:uiPriority w:val="0"/>
    <w:rPr>
      <w:rFonts w:asciiTheme="minorHAnsi" w:hAnsiTheme="minorHAnsi" w:eastAsiaTheme="minorEastAsia" w:cstheme="minorBidi"/>
      <w:kern w:val="2"/>
      <w:sz w:val="18"/>
      <w:szCs w:val="18"/>
    </w:rPr>
  </w:style>
  <w:style w:type="character" w:customStyle="1" w:styleId="28">
    <w:name w:val="批注框文本 字符"/>
    <w:basedOn w:val="21"/>
    <w:link w:val="10"/>
    <w:qFormat/>
    <w:uiPriority w:val="0"/>
    <w:rPr>
      <w:rFonts w:asciiTheme="minorHAnsi" w:hAnsiTheme="minorHAnsi" w:eastAsiaTheme="minorEastAsia" w:cstheme="minorBidi"/>
      <w:kern w:val="2"/>
      <w:sz w:val="18"/>
      <w:szCs w:val="18"/>
    </w:rPr>
  </w:style>
  <w:style w:type="paragraph" w:customStyle="1" w:styleId="29">
    <w:name w:val="_Style 21"/>
    <w:basedOn w:val="1"/>
    <w:next w:val="1"/>
    <w:qFormat/>
    <w:uiPriority w:val="0"/>
    <w:pPr>
      <w:pBdr>
        <w:bottom w:val="single" w:color="auto" w:sz="6" w:space="1"/>
      </w:pBdr>
      <w:jc w:val="center"/>
    </w:pPr>
    <w:rPr>
      <w:rFonts w:ascii="Arial" w:eastAsia="宋体"/>
      <w:vanish/>
      <w:sz w:val="16"/>
    </w:rPr>
  </w:style>
  <w:style w:type="paragraph" w:customStyle="1" w:styleId="30">
    <w:name w:val="_Style 22"/>
    <w:basedOn w:val="1"/>
    <w:next w:val="1"/>
    <w:qFormat/>
    <w:uiPriority w:val="0"/>
    <w:pPr>
      <w:pBdr>
        <w:top w:val="single" w:color="auto" w:sz="6" w:space="1"/>
      </w:pBdr>
      <w:jc w:val="center"/>
    </w:pPr>
    <w:rPr>
      <w:rFonts w:ascii="Arial" w:eastAsia="宋体"/>
      <w:vanish/>
      <w:sz w:val="16"/>
    </w:rPr>
  </w:style>
  <w:style w:type="character" w:customStyle="1" w:styleId="31">
    <w:name w:val="font41"/>
    <w:basedOn w:val="21"/>
    <w:qFormat/>
    <w:uiPriority w:val="0"/>
    <w:rPr>
      <w:rFonts w:hint="eastAsia" w:ascii="等线" w:hAnsi="等线" w:eastAsia="等线" w:cs="等线"/>
      <w:color w:val="FF0000"/>
      <w:sz w:val="22"/>
      <w:szCs w:val="22"/>
      <w:u w:val="none"/>
    </w:rPr>
  </w:style>
  <w:style w:type="character" w:customStyle="1" w:styleId="32">
    <w:name w:val="font11"/>
    <w:basedOn w:val="21"/>
    <w:qFormat/>
    <w:uiPriority w:val="0"/>
    <w:rPr>
      <w:rFonts w:hint="eastAsia" w:ascii="等线" w:hAnsi="等线" w:eastAsia="等线" w:cs="等线"/>
      <w:color w:val="000000"/>
      <w:sz w:val="22"/>
      <w:szCs w:val="22"/>
      <w:u w:val="none"/>
    </w:rPr>
  </w:style>
  <w:style w:type="paragraph" w:styleId="33">
    <w:name w:val="List Paragraph"/>
    <w:basedOn w:val="1"/>
    <w:qFormat/>
    <w:uiPriority w:val="34"/>
    <w:pPr>
      <w:ind w:firstLine="420" w:firstLineChars="200"/>
    </w:pPr>
    <w:rPr>
      <w:rFonts w:ascii="Calibri" w:hAnsi="Calibri" w:eastAsia="仿宋" w:cs="Times New Roman"/>
      <w:sz w:val="32"/>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7">
    <w:name w:val="font21"/>
    <w:basedOn w:val="21"/>
    <w:qFormat/>
    <w:uiPriority w:val="0"/>
    <w:rPr>
      <w:rFonts w:hint="eastAsia"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FF0000"/>
      <w:sz w:val="22"/>
      <w:szCs w:val="22"/>
      <w:u w:val="none"/>
    </w:rPr>
  </w:style>
  <w:style w:type="character" w:customStyle="1" w:styleId="39">
    <w:name w:val="批注文字 字符"/>
    <w:basedOn w:val="21"/>
    <w:link w:val="5"/>
    <w:qFormat/>
    <w:uiPriority w:val="0"/>
    <w:rPr>
      <w:rFonts w:asciiTheme="minorHAnsi" w:hAnsiTheme="minorHAnsi" w:eastAsiaTheme="minorEastAsia" w:cstheme="minorBidi"/>
      <w:kern w:val="2"/>
      <w:sz w:val="21"/>
      <w:szCs w:val="24"/>
    </w:rPr>
  </w:style>
  <w:style w:type="character" w:customStyle="1" w:styleId="40">
    <w:name w:val="批注主题 字符"/>
    <w:basedOn w:val="39"/>
    <w:link w:val="17"/>
    <w:qFormat/>
    <w:uiPriority w:val="0"/>
    <w:rPr>
      <w:rFonts w:asciiTheme="minorHAnsi" w:hAnsiTheme="minorHAnsi" w:eastAsiaTheme="minorEastAsia" w:cstheme="minorBidi"/>
      <w:b/>
      <w:bCs/>
      <w:kern w:val="2"/>
      <w:sz w:val="21"/>
      <w:szCs w:val="24"/>
    </w:rPr>
  </w:style>
  <w:style w:type="character" w:customStyle="1" w:styleId="41">
    <w:name w:val="font01"/>
    <w:basedOn w:val="21"/>
    <w:qFormat/>
    <w:uiPriority w:val="0"/>
    <w:rPr>
      <w:rFonts w:hint="eastAsia" w:ascii="宋体" w:hAnsi="宋体" w:eastAsia="宋体" w:cs="宋体"/>
      <w:color w:val="000000"/>
      <w:sz w:val="22"/>
      <w:szCs w:val="22"/>
      <w:u w:val="none"/>
    </w:rPr>
  </w:style>
  <w:style w:type="character" w:customStyle="1" w:styleId="42">
    <w:name w:val="标题 1 字符"/>
    <w:link w:val="3"/>
    <w:qFormat/>
    <w:uiPriority w:val="9"/>
    <w:rPr>
      <w:rFonts w:ascii="Times New Roman" w:hAnsi="Times New Roman" w:eastAsia="宋体" w:cs="Times New Roman"/>
      <w:b/>
      <w:bCs/>
      <w:kern w:val="44"/>
      <w:sz w:val="44"/>
      <w:szCs w:val="44"/>
    </w:rPr>
  </w:style>
  <w:style w:type="character" w:customStyle="1" w:styleId="43">
    <w:name w:val="font31"/>
    <w:basedOn w:val="21"/>
    <w:qFormat/>
    <w:uiPriority w:val="0"/>
    <w:rPr>
      <w:rFonts w:hint="eastAsia" w:ascii="宋体" w:hAnsi="宋体" w:eastAsia="宋体" w:cs="宋体"/>
      <w:color w:val="000000"/>
      <w:sz w:val="18"/>
      <w:szCs w:val="18"/>
      <w:u w:val="none"/>
    </w:rPr>
  </w:style>
  <w:style w:type="paragraph" w:customStyle="1" w:styleId="4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脚注文本 字符"/>
    <w:basedOn w:val="21"/>
    <w:link w:val="14"/>
    <w:qFormat/>
    <w:uiPriority w:val="99"/>
    <w:rPr>
      <w:rFonts w:asciiTheme="minorHAnsi" w:hAnsiTheme="minorHAnsi" w:eastAsiaTheme="minorEastAsia" w:cstheme="minorBidi"/>
      <w:kern w:val="2"/>
      <w:sz w:val="18"/>
      <w:szCs w:val="24"/>
    </w:rPr>
  </w:style>
  <w:style w:type="character" w:customStyle="1" w:styleId="47">
    <w:name w:val="UserStyle_1"/>
    <w:qFormat/>
    <w:uiPriority w:val="0"/>
    <w:rPr>
      <w:rFonts w:ascii="Calibri" w:hAnsi="Calibri" w:eastAsia="宋体" w:cs="宋体"/>
      <w:kern w:val="2"/>
      <w:sz w:val="21"/>
      <w:szCs w:val="24"/>
      <w:lang w:val="en-US" w:eastAsia="zh-CN" w:bidi="ar-SA"/>
    </w:rPr>
  </w:style>
  <w:style w:type="character" w:customStyle="1" w:styleId="48">
    <w:name w:val="页脚 字符"/>
    <w:basedOn w:val="21"/>
    <w:link w:val="11"/>
    <w:qFormat/>
    <w:uiPriority w:val="99"/>
    <w:rPr>
      <w:rFonts w:ascii="Calibri" w:hAnsi="Calibri" w:eastAsia="仿宋"/>
      <w:kern w:val="2"/>
      <w:sz w:val="18"/>
      <w:szCs w:val="18"/>
    </w:rPr>
  </w:style>
  <w:style w:type="paragraph" w:customStyle="1" w:styleId="49">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0">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7359-4972-4CD2-B0EE-D2D11C663854}">
  <ds:schemaRefs/>
</ds:datastoreItem>
</file>

<file path=docProps/app.xml><?xml version="1.0" encoding="utf-8"?>
<Properties xmlns="http://schemas.openxmlformats.org/officeDocument/2006/extended-properties" xmlns:vt="http://schemas.openxmlformats.org/officeDocument/2006/docPropsVTypes">
  <Template>Normal</Template>
  <Pages>7</Pages>
  <Words>2850</Words>
  <Characters>3012</Characters>
  <Lines>139</Lines>
  <Paragraphs>39</Paragraphs>
  <TotalTime>5</TotalTime>
  <ScaleCrop>false</ScaleCrop>
  <LinksUpToDate>false</LinksUpToDate>
  <CharactersWithSpaces>3012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2023-01-11T01:59:00Z</dcterms:created>
  <dc:creator>Q.H.</dc:creator>
  <cp:lastModifiedBy>杨勇</cp:lastModifiedBy>
  <cp:lastPrinted>2022-12-03T05:50:00Z</cp:lastPrinted>
  <dcterms:modified xsi:type="dcterms:W3CDTF">2023-01-23T00:52:35Z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ED61B5F84A394B9EA35880D7F8C66B14</vt:lpwstr>
  </property>
</Properties>
</file>