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rPr>
        <w:sectPr>
          <w:footerReference r:id="rId5" w:type="default"/>
          <w:pgSz w:w="11906" w:h="16838"/>
          <w:pgMar w:top="1440" w:right="1800" w:bottom="1440" w:left="1800" w:header="851" w:footer="1077" w:gutter="0"/>
          <w:pgNumType w:fmt="numberInDash" w:start="3"/>
          <w:cols w:space="720" w:num="1"/>
          <w:docGrid w:linePitch="312" w:charSpace="0"/>
        </w:sectPr>
      </w:pPr>
      <w:r>
        <w:drawing>
          <wp:inline distT="0" distB="0" distL="114300" distR="114300">
            <wp:extent cx="5269865" cy="7475855"/>
            <wp:effectExtent l="0" t="0" r="6985" b="10795"/>
            <wp:docPr id="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
                    <pic:cNvPicPr>
                      <a:picLocks noChangeAspect="1"/>
                    </pic:cNvPicPr>
                  </pic:nvPicPr>
                  <pic:blipFill>
                    <a:blip r:embed="rId11"/>
                    <a:stretch>
                      <a:fillRect/>
                    </a:stretch>
                  </pic:blipFill>
                  <pic:spPr>
                    <a:xfrm>
                      <a:off x="0" y="0"/>
                      <a:ext cx="5269865" cy="7475855"/>
                    </a:xfrm>
                    <a:prstGeom prst="rect">
                      <a:avLst/>
                    </a:prstGeom>
                    <a:noFill/>
                    <a:ln>
                      <a:noFill/>
                    </a:ln>
                  </pic:spPr>
                </pic:pic>
              </a:graphicData>
            </a:graphic>
          </wp:inline>
        </w:drawing>
      </w:r>
    </w:p>
    <w:p>
      <w:pPr>
        <w:pStyle w:val="8"/>
        <w:jc w:val="center"/>
        <w:outlineLvl w:val="0"/>
        <w:rPr>
          <w:rFonts w:hint="default" w:ascii="Times New Roman" w:hAnsi="Times New Roman" w:eastAsia="黑体" w:cs="Times New Roman"/>
          <w:snapToGrid w:val="0"/>
          <w:sz w:val="30"/>
          <w:szCs w:val="30"/>
        </w:rPr>
      </w:pPr>
      <w:r>
        <w:rPr>
          <w:rFonts w:hint="default" w:ascii="Times New Roman" w:hAnsi="Times New Roman" w:eastAsia="黑体" w:cs="Times New Roman"/>
          <w:snapToGrid w:val="0"/>
          <w:sz w:val="30"/>
          <w:szCs w:val="30"/>
        </w:rPr>
        <w:t>一、建设项目基本情况</w:t>
      </w:r>
    </w:p>
    <w:tbl>
      <w:tblPr>
        <w:tblStyle w:val="9"/>
        <w:tblW w:w="88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500"/>
        <w:gridCol w:w="882"/>
        <w:gridCol w:w="1637"/>
        <w:gridCol w:w="2212"/>
        <w:gridCol w:w="26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gridSpan w:val="2"/>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建设项目名称</w:t>
            </w:r>
          </w:p>
        </w:tc>
        <w:tc>
          <w:tcPr>
            <w:tcW w:w="6488" w:type="dxa"/>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内蒙古繁荣商贸有限公司混凝土搅拌站项目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gridSpan w:val="2"/>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项目代码</w:t>
            </w:r>
          </w:p>
        </w:tc>
        <w:tc>
          <w:tcPr>
            <w:tcW w:w="6488" w:type="dxa"/>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2404-150627-04-01-223648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gridSpan w:val="2"/>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建设单位联系人</w:t>
            </w:r>
          </w:p>
        </w:tc>
        <w:tc>
          <w:tcPr>
            <w:tcW w:w="163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lang w:val="en-US" w:eastAsia="zh-CN"/>
              </w:rPr>
              <w:t>张海波</w:t>
            </w:r>
          </w:p>
        </w:tc>
        <w:tc>
          <w:tcPr>
            <w:tcW w:w="2212"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联系方式</w:t>
            </w:r>
          </w:p>
        </w:tc>
        <w:tc>
          <w:tcPr>
            <w:tcW w:w="2639"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lang w:val="en-US" w:eastAsia="zh-CN"/>
              </w:rPr>
              <w:t>18104770789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2382" w:type="dxa"/>
            <w:gridSpan w:val="2"/>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建设地点</w:t>
            </w:r>
          </w:p>
        </w:tc>
        <w:tc>
          <w:tcPr>
            <w:tcW w:w="6488" w:type="dxa"/>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内蒙古自治区鄂尔多斯市伊金霍洛旗苏布尔嘎镇敏盖村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gridSpan w:val="2"/>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地理坐标</w:t>
            </w:r>
          </w:p>
        </w:tc>
        <w:tc>
          <w:tcPr>
            <w:tcW w:w="6488" w:type="dxa"/>
            <w:gridSpan w:val="3"/>
            <w:vAlign w:val="center"/>
          </w:tcPr>
          <w:p>
            <w:pPr>
              <w:keepNext w:val="0"/>
              <w:keepLines w:val="0"/>
              <w:pageBreakBefore w:val="0"/>
              <w:widowControl w:val="0"/>
              <w:kinsoku/>
              <w:wordWrap/>
              <w:overflowPunct/>
              <w:topLinePunct w:val="0"/>
              <w:autoSpaceDE w:val="0"/>
              <w:autoSpaceDN w:val="0"/>
              <w:bidi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w:t>
            </w:r>
            <w:r>
              <w:rPr>
                <w:rFonts w:hint="eastAsia" w:ascii="Times New Roman" w:hAnsi="Times New Roman" w:cs="Times New Roman"/>
                <w:szCs w:val="21"/>
                <w:u w:val="single"/>
                <w:lang w:val="en-US" w:eastAsia="zh-CN"/>
              </w:rPr>
              <w:t>109</w:t>
            </w:r>
            <w:r>
              <w:rPr>
                <w:rFonts w:hint="default" w:ascii="Times New Roman" w:hAnsi="Times New Roman" w:cs="Times New Roman"/>
                <w:szCs w:val="21"/>
              </w:rPr>
              <w:t>度</w:t>
            </w:r>
            <w:r>
              <w:rPr>
                <w:rFonts w:hint="eastAsia" w:ascii="Times New Roman" w:hAnsi="Times New Roman" w:cs="Times New Roman"/>
                <w:szCs w:val="21"/>
                <w:u w:val="single"/>
                <w:lang w:val="en-US" w:eastAsia="zh-CN"/>
              </w:rPr>
              <w:t>22</w:t>
            </w:r>
            <w:r>
              <w:rPr>
                <w:rFonts w:hint="default" w:ascii="Times New Roman" w:hAnsi="Times New Roman" w:cs="Times New Roman"/>
                <w:szCs w:val="21"/>
              </w:rPr>
              <w:t>分</w:t>
            </w:r>
            <w:r>
              <w:rPr>
                <w:rFonts w:hint="eastAsia" w:ascii="Times New Roman" w:hAnsi="Times New Roman" w:cs="Times New Roman"/>
                <w:szCs w:val="21"/>
                <w:u w:val="single"/>
                <w:lang w:val="en-US" w:eastAsia="zh-CN"/>
              </w:rPr>
              <w:t>55.851</w:t>
            </w:r>
            <w:r>
              <w:rPr>
                <w:rFonts w:hint="default" w:ascii="Times New Roman" w:hAnsi="Times New Roman" w:cs="Times New Roman"/>
                <w:szCs w:val="21"/>
              </w:rPr>
              <w:t>秒，</w:t>
            </w:r>
            <w:r>
              <w:rPr>
                <w:rFonts w:hint="eastAsia" w:ascii="Times New Roman" w:hAnsi="Times New Roman" w:cs="Times New Roman"/>
                <w:szCs w:val="21"/>
                <w:u w:val="single"/>
                <w:lang w:val="en-US" w:eastAsia="zh-CN"/>
              </w:rPr>
              <w:t>39</w:t>
            </w:r>
            <w:r>
              <w:rPr>
                <w:rFonts w:hint="default" w:ascii="Times New Roman" w:hAnsi="Times New Roman" w:cs="Times New Roman"/>
                <w:szCs w:val="21"/>
              </w:rPr>
              <w:t>度</w:t>
            </w:r>
            <w:r>
              <w:rPr>
                <w:rFonts w:hint="eastAsia" w:ascii="Times New Roman" w:hAnsi="Times New Roman" w:cs="Times New Roman"/>
                <w:szCs w:val="21"/>
                <w:u w:val="single"/>
                <w:lang w:val="en-US" w:eastAsia="zh-CN"/>
              </w:rPr>
              <w:t>31</w:t>
            </w:r>
            <w:r>
              <w:rPr>
                <w:rFonts w:hint="default" w:ascii="Times New Roman" w:hAnsi="Times New Roman" w:cs="Times New Roman"/>
                <w:szCs w:val="21"/>
              </w:rPr>
              <w:t>分</w:t>
            </w:r>
            <w:r>
              <w:rPr>
                <w:rFonts w:hint="eastAsia" w:ascii="Times New Roman" w:hAnsi="Times New Roman" w:cs="Times New Roman"/>
                <w:szCs w:val="21"/>
                <w:u w:val="single"/>
                <w:lang w:val="en-US" w:eastAsia="zh-CN"/>
              </w:rPr>
              <w:t>50.737</w:t>
            </w:r>
            <w:r>
              <w:rPr>
                <w:rFonts w:hint="default" w:ascii="Times New Roman" w:hAnsi="Times New Roman" w:cs="Times New Roman"/>
                <w:szCs w:val="21"/>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2" w:hRule="atLeast"/>
          <w:jc w:val="center"/>
        </w:trPr>
        <w:tc>
          <w:tcPr>
            <w:tcW w:w="2382" w:type="dxa"/>
            <w:gridSpan w:val="2"/>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国民经济</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行业类别</w:t>
            </w:r>
          </w:p>
        </w:tc>
        <w:tc>
          <w:tcPr>
            <w:tcW w:w="163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C3021水泥制品制造</w:t>
            </w:r>
          </w:p>
        </w:tc>
        <w:tc>
          <w:tcPr>
            <w:tcW w:w="2212"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bookmarkStart w:id="0" w:name="_Hlk49843745"/>
            <w:r>
              <w:rPr>
                <w:rFonts w:hint="default" w:ascii="Times New Roman" w:hAnsi="Times New Roman" w:cs="Times New Roman"/>
                <w:szCs w:val="21"/>
              </w:rPr>
              <w:t>建设项目</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行业类别</w:t>
            </w:r>
            <w:bookmarkEnd w:id="0"/>
          </w:p>
        </w:tc>
        <w:tc>
          <w:tcPr>
            <w:tcW w:w="2639"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cs="Times New Roman"/>
                <w:szCs w:val="21"/>
              </w:rPr>
            </w:pPr>
            <w:r>
              <w:rPr>
                <w:rFonts w:hint="default" w:ascii="Times New Roman" w:hAnsi="Times New Roman" w:cs="Times New Roman"/>
                <w:szCs w:val="21"/>
              </w:rPr>
              <w:t>二十七、非金属矿物制品业-55石膏、水泥制品及类似制品制造-商品混凝土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2382" w:type="dxa"/>
            <w:gridSpan w:val="2"/>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建设性质</w:t>
            </w:r>
          </w:p>
        </w:tc>
        <w:tc>
          <w:tcPr>
            <w:tcW w:w="1637" w:type="dxa"/>
            <w:vAlign w:val="center"/>
          </w:tcPr>
          <w:p>
            <w:pPr>
              <w:keepNext w:val="0"/>
              <w:keepLines w:val="0"/>
              <w:pageBreakBefore w:val="0"/>
              <w:widowControl w:val="0"/>
              <w:kinsoku/>
              <w:wordWrap/>
              <w:overflowPunct/>
              <w:topLinePunct w:val="0"/>
              <w:autoSpaceDE w:val="0"/>
              <w:autoSpaceDN w:val="0"/>
              <w:bidi w:val="0"/>
              <w:spacing w:line="240" w:lineRule="auto"/>
              <w:ind w:firstLine="0" w:firstLineChars="0"/>
              <w:jc w:val="left"/>
              <w:textAlignment w:val="auto"/>
              <w:rPr>
                <w:rFonts w:hint="default" w:ascii="Times New Roman" w:hAnsi="Times New Roman" w:cs="Times New Roman"/>
                <w:szCs w:val="21"/>
              </w:rPr>
            </w:pPr>
            <w:r>
              <w:rPr>
                <w:rFonts w:hint="eastAsia" w:ascii="Times New Roman" w:hAnsi="Times New Roman" w:cs="Times New Roman"/>
                <w:szCs w:val="21"/>
                <w:lang w:eastAsia="zh-CN"/>
              </w:rPr>
              <w:t>☑</w:t>
            </w:r>
            <w:r>
              <w:rPr>
                <w:rFonts w:hint="default" w:ascii="Times New Roman" w:hAnsi="Times New Roman" w:cs="Times New Roman"/>
                <w:szCs w:val="21"/>
              </w:rPr>
              <w:t>新建（迁建）</w:t>
            </w:r>
          </w:p>
          <w:p>
            <w:pPr>
              <w:keepNext w:val="0"/>
              <w:keepLines w:val="0"/>
              <w:pageBreakBefore w:val="0"/>
              <w:widowControl w:val="0"/>
              <w:kinsoku/>
              <w:wordWrap/>
              <w:overflowPunct/>
              <w:topLinePunct w:val="0"/>
              <w:autoSpaceDE w:val="0"/>
              <w:autoSpaceDN w:val="0"/>
              <w:bidi w:val="0"/>
              <w:spacing w:line="240" w:lineRule="auto"/>
              <w:ind w:firstLine="0" w:firstLineChars="0"/>
              <w:jc w:val="left"/>
              <w:textAlignment w:val="auto"/>
              <w:rPr>
                <w:rFonts w:hint="default" w:ascii="Times New Roman" w:hAnsi="Times New Roman" w:cs="Times New Roman"/>
                <w:szCs w:val="21"/>
              </w:rPr>
            </w:pPr>
            <w:r>
              <w:rPr>
                <w:rFonts w:hint="eastAsia" w:ascii="Times New Roman" w:hAnsi="Times New Roman" w:cs="Times New Roman"/>
                <w:szCs w:val="21"/>
                <w:lang w:eastAsia="zh-CN"/>
              </w:rPr>
              <w:t>□</w:t>
            </w:r>
            <w:r>
              <w:rPr>
                <w:rFonts w:hint="default" w:ascii="Times New Roman" w:hAnsi="Times New Roman" w:cs="Times New Roman"/>
                <w:szCs w:val="21"/>
              </w:rPr>
              <w:t>改建</w:t>
            </w:r>
          </w:p>
          <w:p>
            <w:pPr>
              <w:keepNext w:val="0"/>
              <w:keepLines w:val="0"/>
              <w:pageBreakBefore w:val="0"/>
              <w:widowControl w:val="0"/>
              <w:kinsoku/>
              <w:wordWrap/>
              <w:overflowPunct/>
              <w:topLinePunct w:val="0"/>
              <w:autoSpaceDE w:val="0"/>
              <w:autoSpaceDN w:val="0"/>
              <w:bidi w:val="0"/>
              <w:spacing w:line="240" w:lineRule="auto"/>
              <w:ind w:firstLine="0" w:firstLineChars="0"/>
              <w:jc w:val="left"/>
              <w:textAlignment w:val="auto"/>
              <w:rPr>
                <w:rFonts w:hint="default" w:ascii="Times New Roman" w:hAnsi="Times New Roman" w:cs="Times New Roman"/>
                <w:szCs w:val="21"/>
              </w:rPr>
            </w:pPr>
            <w:r>
              <w:rPr>
                <w:rFonts w:hint="eastAsia" w:ascii="Times New Roman" w:hAnsi="Times New Roman" w:cs="Times New Roman"/>
                <w:szCs w:val="21"/>
                <w:lang w:eastAsia="zh-CN"/>
              </w:rPr>
              <w:t>□</w:t>
            </w:r>
            <w:r>
              <w:rPr>
                <w:rFonts w:hint="default" w:ascii="Times New Roman" w:hAnsi="Times New Roman" w:cs="Times New Roman"/>
                <w:szCs w:val="21"/>
              </w:rPr>
              <w:t>扩建</w:t>
            </w:r>
          </w:p>
          <w:p>
            <w:pPr>
              <w:keepNext w:val="0"/>
              <w:keepLines w:val="0"/>
              <w:pageBreakBefore w:val="0"/>
              <w:widowControl w:val="0"/>
              <w:kinsoku/>
              <w:wordWrap/>
              <w:overflowPunct/>
              <w:topLinePunct w:val="0"/>
              <w:autoSpaceDE w:val="0"/>
              <w:autoSpaceDN w:val="0"/>
              <w:bidi w:val="0"/>
              <w:spacing w:line="240" w:lineRule="auto"/>
              <w:ind w:firstLine="0" w:firstLineChars="0"/>
              <w:jc w:val="left"/>
              <w:textAlignment w:val="auto"/>
              <w:rPr>
                <w:rFonts w:hint="default" w:ascii="Times New Roman" w:hAnsi="Times New Roman" w:cs="Times New Roman"/>
                <w:szCs w:val="21"/>
              </w:rPr>
            </w:pPr>
            <w:r>
              <w:rPr>
                <w:rFonts w:hint="eastAsia" w:ascii="Times New Roman" w:hAnsi="Times New Roman" w:cs="Times New Roman"/>
                <w:szCs w:val="21"/>
                <w:lang w:eastAsia="zh-CN"/>
              </w:rPr>
              <w:t>□</w:t>
            </w:r>
            <w:r>
              <w:rPr>
                <w:rFonts w:hint="default" w:ascii="Times New Roman" w:hAnsi="Times New Roman" w:cs="Times New Roman"/>
                <w:szCs w:val="21"/>
              </w:rPr>
              <w:t>技术改造</w:t>
            </w:r>
          </w:p>
        </w:tc>
        <w:tc>
          <w:tcPr>
            <w:tcW w:w="2212"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建设项目</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申报情形</w:t>
            </w:r>
          </w:p>
        </w:tc>
        <w:tc>
          <w:tcPr>
            <w:tcW w:w="2639" w:type="dxa"/>
            <w:vAlign w:val="center"/>
          </w:tcPr>
          <w:p>
            <w:pPr>
              <w:keepNext w:val="0"/>
              <w:keepLines w:val="0"/>
              <w:pageBreakBefore w:val="0"/>
              <w:widowControl w:val="0"/>
              <w:kinsoku/>
              <w:wordWrap/>
              <w:overflowPunct/>
              <w:topLinePunct w:val="0"/>
              <w:autoSpaceDE w:val="0"/>
              <w:autoSpaceDN w:val="0"/>
              <w:bidi w:val="0"/>
              <w:spacing w:line="240" w:lineRule="auto"/>
              <w:ind w:firstLine="0" w:firstLineChars="0"/>
              <w:jc w:val="left"/>
              <w:textAlignment w:val="auto"/>
              <w:rPr>
                <w:rFonts w:hint="eastAsia" w:ascii="Times New Roman" w:hAnsi="Times New Roman" w:eastAsia="宋体" w:cs="Times New Roman"/>
                <w:szCs w:val="21"/>
                <w:lang w:eastAsia="zh-CN"/>
              </w:rPr>
            </w:pPr>
            <w:r>
              <w:rPr>
                <w:rFonts w:hint="eastAsia" w:ascii="Times New Roman" w:hAnsi="Times New Roman" w:cs="Times New Roman"/>
                <w:szCs w:val="21"/>
                <w:lang w:eastAsia="zh-CN"/>
              </w:rPr>
              <w:t>☑</w:t>
            </w:r>
            <w:r>
              <w:rPr>
                <w:rFonts w:hint="default" w:ascii="Times New Roman" w:hAnsi="Times New Roman" w:cs="Times New Roman"/>
                <w:szCs w:val="21"/>
              </w:rPr>
              <w:t>首次申报项目</w:t>
            </w:r>
          </w:p>
          <w:p>
            <w:pPr>
              <w:keepNext w:val="0"/>
              <w:keepLines w:val="0"/>
              <w:pageBreakBefore w:val="0"/>
              <w:widowControl w:val="0"/>
              <w:kinsoku/>
              <w:wordWrap/>
              <w:overflowPunct/>
              <w:topLinePunct w:val="0"/>
              <w:autoSpaceDE w:val="0"/>
              <w:autoSpaceDN w:val="0"/>
              <w:bidi w:val="0"/>
              <w:spacing w:line="240" w:lineRule="auto"/>
              <w:ind w:firstLine="0" w:firstLineChars="0"/>
              <w:jc w:val="left"/>
              <w:textAlignment w:val="auto"/>
              <w:rPr>
                <w:rFonts w:hint="default" w:ascii="Times New Roman" w:hAnsi="Times New Roman" w:cs="Times New Roman"/>
                <w:szCs w:val="21"/>
              </w:rPr>
            </w:pPr>
            <w:r>
              <w:rPr>
                <w:rFonts w:hint="eastAsia" w:ascii="Times New Roman" w:hAnsi="Times New Roman" w:cs="Times New Roman"/>
                <w:szCs w:val="21"/>
                <w:lang w:eastAsia="zh-CN"/>
              </w:rPr>
              <w:t>□</w:t>
            </w:r>
            <w:r>
              <w:rPr>
                <w:rFonts w:hint="default" w:ascii="Times New Roman" w:hAnsi="Times New Roman" w:cs="Times New Roman"/>
                <w:szCs w:val="21"/>
              </w:rPr>
              <w:t>不予批准后再次申报项目</w:t>
            </w:r>
          </w:p>
          <w:p>
            <w:pPr>
              <w:keepNext w:val="0"/>
              <w:keepLines w:val="0"/>
              <w:pageBreakBefore w:val="0"/>
              <w:widowControl w:val="0"/>
              <w:kinsoku/>
              <w:wordWrap/>
              <w:overflowPunct/>
              <w:topLinePunct w:val="0"/>
              <w:autoSpaceDE w:val="0"/>
              <w:autoSpaceDN w:val="0"/>
              <w:bidi w:val="0"/>
              <w:spacing w:line="240" w:lineRule="auto"/>
              <w:ind w:firstLine="0" w:firstLineChars="0"/>
              <w:jc w:val="left"/>
              <w:textAlignment w:val="auto"/>
              <w:rPr>
                <w:rFonts w:hint="eastAsia" w:ascii="Times New Roman" w:hAnsi="Times New Roman" w:eastAsia="宋体" w:cs="Times New Roman"/>
                <w:szCs w:val="21"/>
                <w:lang w:eastAsia="zh-CN"/>
              </w:rPr>
            </w:pPr>
            <w:r>
              <w:rPr>
                <w:rFonts w:hint="default" w:ascii="Times New Roman" w:hAnsi="Times New Roman" w:cs="Times New Roman"/>
                <w:szCs w:val="21"/>
              </w:rPr>
              <w:sym w:font="Wingdings 2" w:char="00A3"/>
            </w:r>
            <w:r>
              <w:rPr>
                <w:rFonts w:hint="default" w:ascii="Times New Roman" w:hAnsi="Times New Roman" w:cs="Times New Roman"/>
                <w:szCs w:val="21"/>
              </w:rPr>
              <w:t>超五年重新审核项目</w:t>
            </w:r>
          </w:p>
          <w:p>
            <w:pPr>
              <w:keepNext w:val="0"/>
              <w:keepLines w:val="0"/>
              <w:pageBreakBefore w:val="0"/>
              <w:widowControl w:val="0"/>
              <w:kinsoku/>
              <w:wordWrap/>
              <w:overflowPunct/>
              <w:topLinePunct w:val="0"/>
              <w:autoSpaceDE w:val="0"/>
              <w:autoSpaceDN w:val="0"/>
              <w:bidi w:val="0"/>
              <w:spacing w:line="240" w:lineRule="auto"/>
              <w:ind w:firstLine="0" w:firstLineChars="0"/>
              <w:jc w:val="left"/>
              <w:textAlignment w:val="auto"/>
              <w:rPr>
                <w:rFonts w:hint="default" w:ascii="Times New Roman" w:hAnsi="Times New Roman" w:cs="Times New Roman"/>
                <w:szCs w:val="21"/>
              </w:rPr>
            </w:pPr>
            <w:r>
              <w:rPr>
                <w:rFonts w:hint="eastAsia" w:ascii="Times New Roman" w:hAnsi="Times New Roman" w:cs="Times New Roman"/>
                <w:szCs w:val="21"/>
                <w:lang w:eastAsia="zh-CN"/>
              </w:rPr>
              <w:t>□</w:t>
            </w:r>
            <w:r>
              <w:rPr>
                <w:rFonts w:hint="default" w:ascii="Times New Roman" w:hAnsi="Times New Roman" w:cs="Times New Roman"/>
                <w:szCs w:val="21"/>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382" w:type="dxa"/>
            <w:gridSpan w:val="2"/>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项目审批（核准/</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备案）部门（选填）</w:t>
            </w:r>
          </w:p>
        </w:tc>
        <w:tc>
          <w:tcPr>
            <w:tcW w:w="163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szCs w:val="21"/>
                <w:lang w:val="en-US" w:eastAsia="zh-CN"/>
              </w:rPr>
            </w:pPr>
            <w:r>
              <w:rPr>
                <w:rFonts w:hint="eastAsia" w:cs="Times New Roman"/>
                <w:szCs w:val="21"/>
                <w:lang w:val="en-US" w:eastAsia="zh-CN"/>
              </w:rPr>
              <w:t>伊金霍洛旗发展和改革委员会</w:t>
            </w:r>
          </w:p>
        </w:tc>
        <w:tc>
          <w:tcPr>
            <w:tcW w:w="2212"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项目审批（核准/</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备案）文号（选填）</w:t>
            </w:r>
          </w:p>
        </w:tc>
        <w:tc>
          <w:tcPr>
            <w:tcW w:w="2639"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eastAsia" w:ascii="Times New Roman" w:hAnsi="Times New Roman" w:cs="Times New Roman"/>
                <w:szCs w:val="21"/>
                <w:lang w:val="en-US" w:eastAsia="zh-CN"/>
              </w:rPr>
              <w:t>2404-150627-04-01-223648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gridSpan w:val="2"/>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总投资（万元）</w:t>
            </w:r>
          </w:p>
        </w:tc>
        <w:tc>
          <w:tcPr>
            <w:tcW w:w="163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980</w:t>
            </w:r>
          </w:p>
        </w:tc>
        <w:tc>
          <w:tcPr>
            <w:tcW w:w="2212" w:type="dxa"/>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highlight w:val="none"/>
              </w:rPr>
            </w:pPr>
            <w:r>
              <w:rPr>
                <w:rFonts w:hint="default" w:ascii="Times New Roman" w:hAnsi="Times New Roman" w:cs="Times New Roman"/>
                <w:szCs w:val="21"/>
                <w:highlight w:val="none"/>
              </w:rPr>
              <w:t>环保投资（万元）</w:t>
            </w:r>
          </w:p>
        </w:tc>
        <w:tc>
          <w:tcPr>
            <w:tcW w:w="2639"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140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3" w:hRule="atLeast"/>
          <w:jc w:val="center"/>
        </w:trPr>
        <w:tc>
          <w:tcPr>
            <w:tcW w:w="2382" w:type="dxa"/>
            <w:gridSpan w:val="2"/>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highlight w:val="none"/>
              </w:rPr>
            </w:pPr>
            <w:r>
              <w:rPr>
                <w:rFonts w:hint="default" w:ascii="Times New Roman" w:hAnsi="Times New Roman" w:cs="Times New Roman"/>
                <w:szCs w:val="21"/>
                <w:highlight w:val="none"/>
              </w:rPr>
              <w:t>环保投资占比（%）</w:t>
            </w:r>
          </w:p>
        </w:tc>
        <w:tc>
          <w:tcPr>
            <w:tcW w:w="163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14.29</w:t>
            </w:r>
          </w:p>
        </w:tc>
        <w:tc>
          <w:tcPr>
            <w:tcW w:w="2212" w:type="dxa"/>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highlight w:val="none"/>
              </w:rPr>
            </w:pPr>
            <w:r>
              <w:rPr>
                <w:rFonts w:hint="default" w:ascii="Times New Roman" w:hAnsi="Times New Roman" w:cs="Times New Roman"/>
                <w:szCs w:val="21"/>
                <w:highlight w:val="none"/>
              </w:rPr>
              <w:t>施工工期</w:t>
            </w:r>
          </w:p>
        </w:tc>
        <w:tc>
          <w:tcPr>
            <w:tcW w:w="2639"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szCs w:val="21"/>
                <w:highlight w:val="none"/>
                <w:lang w:val="en-US" w:eastAsia="zh-CN"/>
              </w:rPr>
            </w:pPr>
            <w:r>
              <w:rPr>
                <w:rFonts w:hint="eastAsia" w:cs="Times New Roman"/>
                <w:szCs w:val="21"/>
                <w:highlight w:val="none"/>
                <w:lang w:val="en-US" w:eastAsia="zh-CN"/>
              </w:rPr>
              <w:t>6个月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5" w:hRule="atLeast"/>
          <w:jc w:val="center"/>
        </w:trPr>
        <w:tc>
          <w:tcPr>
            <w:tcW w:w="2382" w:type="dxa"/>
            <w:gridSpan w:val="2"/>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是否开工建设</w:t>
            </w:r>
          </w:p>
        </w:tc>
        <w:tc>
          <w:tcPr>
            <w:tcW w:w="163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cs="Times New Roman"/>
                <w:szCs w:val="21"/>
              </w:rPr>
            </w:pPr>
            <w:r>
              <w:rPr>
                <w:rFonts w:hint="eastAsia" w:ascii="Times New Roman" w:hAnsi="Times New Roman" w:cs="Times New Roman"/>
                <w:szCs w:val="21"/>
                <w:lang w:eastAsia="zh-CN"/>
              </w:rPr>
              <w:t>☑</w:t>
            </w:r>
            <w:r>
              <w:rPr>
                <w:rFonts w:hint="default" w:ascii="Times New Roman" w:hAnsi="Times New Roman" w:cs="Times New Roman"/>
                <w:szCs w:val="21"/>
              </w:rPr>
              <w:t>否</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textAlignment w:val="auto"/>
              <w:rPr>
                <w:rFonts w:hint="eastAsia" w:ascii="Times New Roman" w:hAnsi="Times New Roman" w:eastAsia="宋体" w:cs="Times New Roman"/>
                <w:szCs w:val="21"/>
                <w:lang w:eastAsia="zh-CN"/>
              </w:rPr>
            </w:pPr>
            <w:r>
              <w:rPr>
                <w:rFonts w:hint="default" w:ascii="Times New Roman" w:hAnsi="Times New Roman" w:cs="Times New Roman"/>
                <w:szCs w:val="21"/>
              </w:rPr>
              <w:sym w:font="Wingdings 2" w:char="00A3"/>
            </w:r>
            <w:r>
              <w:rPr>
                <w:rFonts w:hint="default" w:ascii="Times New Roman" w:hAnsi="Times New Roman" w:cs="Times New Roman"/>
                <w:szCs w:val="21"/>
              </w:rPr>
              <w:t>是：</w:t>
            </w:r>
          </w:p>
        </w:tc>
        <w:tc>
          <w:tcPr>
            <w:tcW w:w="2212" w:type="dxa"/>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pacing w:val="-6"/>
                <w:szCs w:val="21"/>
              </w:rPr>
              <w:t>用地面积（</w:t>
            </w:r>
            <w:r>
              <w:rPr>
                <w:rFonts w:hint="eastAsia" w:cs="Times New Roman"/>
                <w:spacing w:val="-6"/>
                <w:szCs w:val="21"/>
                <w:lang w:eastAsia="zh-CN"/>
              </w:rPr>
              <w:t>㎡</w:t>
            </w:r>
            <w:r>
              <w:rPr>
                <w:rFonts w:hint="default" w:ascii="Times New Roman" w:hAnsi="Times New Roman" w:cs="Times New Roman"/>
                <w:spacing w:val="-6"/>
                <w:szCs w:val="21"/>
              </w:rPr>
              <w:t>）</w:t>
            </w:r>
          </w:p>
        </w:tc>
        <w:tc>
          <w:tcPr>
            <w:tcW w:w="2639"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100443.8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50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专项评价设置情况</w:t>
            </w:r>
          </w:p>
        </w:tc>
        <w:tc>
          <w:tcPr>
            <w:tcW w:w="7370" w:type="dxa"/>
            <w:gridSpan w:val="4"/>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eastAsia="宋体" w:cs="Times New Roman"/>
                <w:kern w:val="0"/>
                <w:szCs w:val="21"/>
                <w:lang w:val="en-US" w:eastAsia="zh-CN"/>
              </w:rPr>
            </w:pPr>
            <w:r>
              <w:rPr>
                <w:rFonts w:hint="eastAsia" w:ascii="Times New Roman" w:hAnsi="Times New Roman" w:cs="Times New Roman"/>
                <w:kern w:val="0"/>
                <w:szCs w:val="21"/>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50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szCs w:val="21"/>
              </w:rPr>
              <w:t>规划情况</w:t>
            </w:r>
          </w:p>
        </w:tc>
        <w:tc>
          <w:tcPr>
            <w:tcW w:w="7370" w:type="dxa"/>
            <w:gridSpan w:val="4"/>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eastAsia="宋体" w:cs="Times New Roman"/>
                <w:kern w:val="0"/>
                <w:szCs w:val="21"/>
                <w:lang w:val="en-US" w:eastAsia="zh-CN"/>
              </w:rPr>
            </w:pPr>
            <w:r>
              <w:rPr>
                <w:rFonts w:hint="eastAsia" w:ascii="Times New Roman" w:hAnsi="Times New Roman" w:cs="Times New Roman"/>
                <w:kern w:val="0"/>
                <w:szCs w:val="21"/>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50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规划环境影响</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szCs w:val="21"/>
              </w:rPr>
              <w:t>评价情况</w:t>
            </w:r>
          </w:p>
        </w:tc>
        <w:tc>
          <w:tcPr>
            <w:tcW w:w="7370" w:type="dxa"/>
            <w:gridSpan w:val="4"/>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eastAsia="宋体" w:cs="Times New Roman"/>
                <w:kern w:val="0"/>
                <w:szCs w:val="21"/>
                <w:lang w:val="en-US" w:eastAsia="zh-CN"/>
              </w:rPr>
            </w:pPr>
            <w:r>
              <w:rPr>
                <w:rFonts w:hint="eastAsia" w:ascii="Times New Roman" w:hAnsi="Times New Roman" w:cs="Times New Roman"/>
                <w:kern w:val="0"/>
                <w:szCs w:val="21"/>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150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规划及规划环境影响评价符合性分析</w:t>
            </w:r>
          </w:p>
        </w:tc>
        <w:tc>
          <w:tcPr>
            <w:tcW w:w="7370" w:type="dxa"/>
            <w:gridSpan w:val="4"/>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eastAsia="宋体" w:cs="Times New Roman"/>
                <w:kern w:val="0"/>
                <w:szCs w:val="21"/>
                <w:lang w:val="en-US" w:eastAsia="zh-CN"/>
              </w:rPr>
            </w:pPr>
            <w:r>
              <w:rPr>
                <w:rFonts w:hint="eastAsia" w:ascii="Times New Roman" w:hAnsi="Times New Roman" w:cs="Times New Roman"/>
                <w:kern w:val="0"/>
                <w:szCs w:val="21"/>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500" w:type="dxa"/>
            <w:vAlign w:val="center"/>
          </w:tcPr>
          <w:p>
            <w:pPr>
              <w:autoSpaceDE w:val="0"/>
              <w:autoSpaceDN w:val="0"/>
              <w:adjustRightInd w:val="0"/>
              <w:snapToGrid w:val="0"/>
              <w:ind w:left="0" w:leftChars="0" w:firstLine="0" w:firstLineChars="0"/>
              <w:jc w:val="center"/>
              <w:rPr>
                <w:rFonts w:hint="default" w:ascii="Times New Roman" w:hAnsi="Times New Roman" w:cs="Times New Roman"/>
                <w:kern w:val="0"/>
                <w:szCs w:val="21"/>
              </w:rPr>
            </w:pPr>
            <w:r>
              <w:rPr>
                <w:rFonts w:hint="default" w:ascii="Times New Roman" w:hAnsi="Times New Roman" w:cs="Times New Roman"/>
                <w:kern w:val="0"/>
                <w:szCs w:val="21"/>
              </w:rPr>
              <w:t>其他符合性分析</w:t>
            </w:r>
          </w:p>
        </w:tc>
        <w:tc>
          <w:tcPr>
            <w:tcW w:w="7370" w:type="dxa"/>
            <w:gridSpan w:val="4"/>
            <w:vAlign w:val="center"/>
          </w:tcPr>
          <w:p>
            <w:pPr>
              <w:bidi w:val="0"/>
              <w:rPr>
                <w:b/>
                <w:bCs/>
                <w:lang w:val="en-US"/>
              </w:rPr>
            </w:pPr>
            <w:r>
              <w:rPr>
                <w:rFonts w:hint="eastAsia"/>
                <w:b/>
                <w:bCs/>
                <w:lang w:val="en-US"/>
              </w:rPr>
              <w:t>1、</w:t>
            </w:r>
            <w:r>
              <w:rPr>
                <w:rFonts w:hint="eastAsia"/>
                <w:b/>
                <w:bCs/>
              </w:rPr>
              <w:t>产业</w:t>
            </w:r>
            <w:r>
              <w:rPr>
                <w:rFonts w:hint="eastAsia"/>
                <w:b/>
                <w:bCs/>
                <w:lang w:val="en-US"/>
              </w:rPr>
              <w:t>政策</w:t>
            </w:r>
            <w:r>
              <w:rPr>
                <w:rFonts w:hint="eastAsia"/>
                <w:b/>
                <w:bCs/>
              </w:rPr>
              <w:t>符合性</w:t>
            </w:r>
            <w:r>
              <w:rPr>
                <w:rFonts w:hint="eastAsia"/>
                <w:b/>
                <w:bCs/>
                <w:lang w:val="en-US"/>
              </w:rPr>
              <w:t>分析</w:t>
            </w:r>
          </w:p>
          <w:p>
            <w:pPr>
              <w:bidi w:val="0"/>
              <w:rPr>
                <w:rFonts w:hint="default"/>
              </w:rPr>
            </w:pPr>
            <w:r>
              <w:t>根据《产业结构调整指导目录（</w:t>
            </w:r>
            <w:r>
              <w:rPr>
                <w:rFonts w:hint="eastAsia"/>
                <w:lang w:val="en-US" w:eastAsia="zh-CN"/>
              </w:rPr>
              <w:t>2024</w:t>
            </w:r>
            <w:r>
              <w:t>年本）》相关要求，</w:t>
            </w:r>
            <w:r>
              <w:rPr>
                <w:rFonts w:hint="default"/>
              </w:rPr>
              <w:t>经对照</w:t>
            </w:r>
            <w:r>
              <w:rPr>
                <w:rFonts w:hint="eastAsia"/>
                <w:lang w:val="en-US" w:eastAsia="zh-CN"/>
              </w:rPr>
              <w:t>分析</w:t>
            </w:r>
            <w:r>
              <w:rPr>
                <w:rFonts w:hint="default"/>
              </w:rPr>
              <w:t>，本项目不在限制类和淘汰类之列，属于允许类；同时</w:t>
            </w:r>
            <w:r>
              <w:rPr>
                <w:rFonts w:hint="default"/>
                <w:lang w:eastAsia="zh-CN"/>
              </w:rPr>
              <w:t>也</w:t>
            </w:r>
            <w:r>
              <w:rPr>
                <w:rFonts w:hint="default"/>
              </w:rPr>
              <w:t>不属于《内蒙古自治区限制开发区域限制类和禁止类产业指导目录（2016年本）》中限制和禁止产业，符合国家及地方现行产业政策。</w:t>
            </w:r>
          </w:p>
          <w:p>
            <w:pPr>
              <w:bidi w:val="0"/>
              <w:rPr>
                <w:b/>
                <w:bCs/>
              </w:rPr>
            </w:pPr>
            <w:r>
              <w:rPr>
                <w:rFonts w:hint="eastAsia"/>
                <w:b/>
                <w:bCs/>
                <w:lang w:val="en-US" w:eastAsia="zh-CN"/>
              </w:rPr>
              <w:t>2、</w:t>
            </w:r>
            <w:r>
              <w:rPr>
                <w:rFonts w:hint="eastAsia"/>
                <w:b/>
                <w:bCs/>
              </w:rPr>
              <w:t>“</w:t>
            </w:r>
            <w:r>
              <w:rPr>
                <w:b/>
                <w:bCs/>
              </w:rPr>
              <w:t>三线一单</w:t>
            </w:r>
            <w:r>
              <w:rPr>
                <w:rFonts w:hint="eastAsia"/>
                <w:b/>
                <w:bCs/>
              </w:rPr>
              <w:t>”</w:t>
            </w:r>
            <w:r>
              <w:rPr>
                <w:b/>
                <w:bCs/>
              </w:rPr>
              <w:t>符合性分析</w:t>
            </w:r>
          </w:p>
          <w:p>
            <w:pPr>
              <w:bidi w:val="0"/>
              <w:rPr>
                <w:b/>
                <w:bCs/>
              </w:rPr>
            </w:pPr>
            <w:r>
              <w:rPr>
                <w:rFonts w:hint="eastAsia"/>
                <w:b/>
                <w:bCs/>
              </w:rPr>
              <w:t>（1）生态保护红线</w:t>
            </w:r>
          </w:p>
          <w:p>
            <w:pPr>
              <w:bidi w:val="0"/>
            </w:pPr>
            <w:r>
              <w:t>根据《</w:t>
            </w:r>
            <w:r>
              <w:rPr>
                <w:rFonts w:hint="eastAsia"/>
              </w:rPr>
              <w:t>鄂尔多斯市人民政府关于“三线一单”生态环境分区管控的实施意见</w:t>
            </w:r>
            <w:r>
              <w:t>》（</w:t>
            </w:r>
            <w:r>
              <w:rPr>
                <w:rFonts w:hint="eastAsia"/>
              </w:rPr>
              <w:t>鄂府发〔2021〕218号</w:t>
            </w:r>
            <w:r>
              <w:t>）</w:t>
            </w:r>
            <w:r>
              <w:rPr>
                <w:rFonts w:hint="eastAsia"/>
              </w:rPr>
              <w:t>（以下简称实施意见）</w:t>
            </w:r>
            <w:r>
              <w:t>，</w:t>
            </w:r>
            <w:r>
              <w:rPr>
                <w:rFonts w:hint="eastAsia"/>
              </w:rPr>
              <w:t>全市共划定环境管控单元163个，包括优先保护单元、重点管控单元、一般管控单元三类</w:t>
            </w:r>
            <w:r>
              <w:t>，实施分类管控。</w:t>
            </w:r>
            <w:r>
              <w:rPr>
                <w:rFonts w:hint="eastAsia"/>
              </w:rPr>
              <w:t>基于生态保护红线、环境质量底线、资源利用上线，充分吸纳整合已有相关规划、功能区划、行动计划等要求，从空间布局约束、污染物排放管控、环境风险防控和资源利用效率等方面明确生态环境准入要求，建立两级生态环境准入清单管控体系（即1个鄂尔多斯市总体准入清单、163个环境管控单元准入清单）</w:t>
            </w:r>
            <w:r>
              <w:t>。</w:t>
            </w:r>
          </w:p>
          <w:p>
            <w:pPr>
              <w:bidi w:val="0"/>
            </w:pPr>
            <w:r>
              <w:t>本项目</w:t>
            </w:r>
            <w:r>
              <w:rPr>
                <w:rFonts w:hint="eastAsia"/>
              </w:rPr>
              <w:t>所在地为重点管控单元，</w:t>
            </w:r>
            <w:r>
              <w:t>项目不在名胜古迹、风景名胜区、自然保护区、饮用水源保护区范围内</w:t>
            </w:r>
            <w:r>
              <w:rPr>
                <w:rFonts w:hint="eastAsia"/>
              </w:rPr>
              <w:t>（水源地）</w:t>
            </w:r>
            <w:r>
              <w:t>；依据生态保护红线规划分区，项目不在生态</w:t>
            </w:r>
            <w:r>
              <w:rPr>
                <w:rFonts w:hint="eastAsia"/>
              </w:rPr>
              <w:t>保护</w:t>
            </w:r>
            <w:r>
              <w:rPr>
                <w:rFonts w:hint="eastAsia"/>
                <w:lang w:val="en-US" w:eastAsia="zh-CN"/>
              </w:rPr>
              <w:t>红</w:t>
            </w:r>
            <w:r>
              <w:t>线区范围内，符合生态保护红线要求。</w:t>
            </w:r>
          </w:p>
          <w:p>
            <w:pPr>
              <w:bidi w:val="0"/>
              <w:rPr>
                <w:b/>
                <w:bCs/>
              </w:rPr>
            </w:pPr>
            <w:r>
              <w:rPr>
                <w:b/>
                <w:bCs/>
              </w:rPr>
              <w:t>（2）环境质量底线</w:t>
            </w:r>
          </w:p>
          <w:p>
            <w:pPr>
              <w:bidi w:val="0"/>
              <w:rPr>
                <w:rFonts w:hint="eastAsia"/>
              </w:rPr>
            </w:pPr>
            <w:r>
              <w:rPr>
                <w:rFonts w:hint="eastAsia"/>
              </w:rPr>
              <w:t>根据内蒙古自治区生态环境厅202</w:t>
            </w:r>
            <w:r>
              <w:rPr>
                <w:rFonts w:hint="eastAsia"/>
                <w:lang w:val="en-US" w:eastAsia="zh-CN"/>
              </w:rPr>
              <w:t>3</w:t>
            </w:r>
            <w:r>
              <w:rPr>
                <w:rFonts w:hint="eastAsia"/>
              </w:rPr>
              <w:t>年6月公布的《202</w:t>
            </w:r>
            <w:r>
              <w:rPr>
                <w:rFonts w:hint="eastAsia"/>
                <w:lang w:val="en-US" w:eastAsia="zh-CN"/>
              </w:rPr>
              <w:t>2</w:t>
            </w:r>
            <w:r>
              <w:rPr>
                <w:rFonts w:hint="eastAsia"/>
              </w:rPr>
              <w:t>年内蒙古自治区生态环境状况公报》中的数据，鄂尔多斯市中心城区各污染物平均浓度均低于《环境空气质量标准》（GB3095-2012）二级标准及其修改单限值要求，项目所在区域为达标区；根据现状监测数据可知，评价范围内环境空气现状监测指标满足环境空气质量标准》（GB3095-2012）二级标准及其修改单限值要求。总体环境现状符合环境功能区划要求。本项目运营后会产生一定的污染物，但在采取相应的污染防治措施后，各类污染物的排放不会对周边环境造成不良影响，即不会改变区域环境功能区质量要求，能维持环境功能区质量现状。</w:t>
            </w:r>
          </w:p>
          <w:p>
            <w:pPr>
              <w:bidi w:val="0"/>
              <w:rPr>
                <w:b/>
                <w:bCs/>
              </w:rPr>
            </w:pPr>
            <w:r>
              <w:rPr>
                <w:b/>
                <w:bCs/>
              </w:rPr>
              <w:t>（3）资源利用上线</w:t>
            </w:r>
          </w:p>
          <w:p>
            <w:pPr>
              <w:bidi w:val="0"/>
              <w:rPr>
                <w:rFonts w:hint="eastAsia" w:ascii="Times New Roman" w:hAnsi="Times New Roman" w:cs="Times New Roman"/>
                <w:color w:val="auto"/>
                <w:sz w:val="21"/>
                <w:szCs w:val="21"/>
                <w:vertAlign w:val="baseline"/>
              </w:rPr>
            </w:pPr>
            <w:r>
              <w:rPr>
                <w:rFonts w:ascii="Times New Roman" w:hAnsi="Times New Roman" w:cs="Times New Roman"/>
                <w:color w:val="auto"/>
                <w:sz w:val="21"/>
                <w:szCs w:val="21"/>
                <w:vertAlign w:val="baseline"/>
              </w:rPr>
              <w:t>本项目运营过程主要资源消耗为</w:t>
            </w:r>
            <w:r>
              <w:rPr>
                <w:rFonts w:hint="eastAsia" w:ascii="Times New Roman" w:hAnsi="Times New Roman" w:cs="Times New Roman"/>
                <w:color w:val="auto"/>
                <w:sz w:val="21"/>
                <w:szCs w:val="21"/>
                <w:vertAlign w:val="baseline"/>
                <w:lang w:eastAsia="zh-CN"/>
              </w:rPr>
              <w:t>水</w:t>
            </w:r>
            <w:r>
              <w:rPr>
                <w:rFonts w:ascii="Times New Roman" w:hAnsi="Times New Roman" w:cs="Times New Roman"/>
                <w:color w:val="auto"/>
                <w:sz w:val="21"/>
                <w:szCs w:val="21"/>
                <w:vertAlign w:val="baseline"/>
              </w:rPr>
              <w:t>电；本</w:t>
            </w:r>
            <w:r>
              <w:rPr>
                <w:rFonts w:ascii="Times New Roman" w:hAnsi="Times New Roman" w:cs="Times New Roman"/>
                <w:color w:val="auto"/>
                <w:sz w:val="21"/>
                <w:szCs w:val="21"/>
                <w:vertAlign w:val="baseline"/>
                <w:lang w:val="en-US"/>
              </w:rPr>
              <w:t>项目用电引自</w:t>
            </w:r>
            <w:r>
              <w:rPr>
                <w:rFonts w:hint="eastAsia" w:ascii="Times New Roman" w:hAnsi="Times New Roman" w:cs="Times New Roman"/>
                <w:color w:val="auto"/>
                <w:sz w:val="21"/>
                <w:szCs w:val="21"/>
                <w:vertAlign w:val="baseline"/>
                <w:lang w:val="en-US" w:eastAsia="zh-CN"/>
              </w:rPr>
              <w:t>苏布尔嘎镇敏盖村</w:t>
            </w:r>
            <w:r>
              <w:rPr>
                <w:rFonts w:ascii="Times New Roman" w:hAnsi="Times New Roman" w:cs="Times New Roman"/>
                <w:color w:val="auto"/>
                <w:sz w:val="21"/>
                <w:szCs w:val="21"/>
                <w:vertAlign w:val="baseline"/>
                <w:lang w:val="en-US"/>
              </w:rPr>
              <w:t>电网</w:t>
            </w:r>
            <w:r>
              <w:rPr>
                <w:rFonts w:hint="eastAsia" w:ascii="Times New Roman" w:hAnsi="Times New Roman" w:cs="Times New Roman"/>
                <w:color w:val="auto"/>
                <w:sz w:val="21"/>
                <w:szCs w:val="21"/>
                <w:vertAlign w:val="baseline"/>
                <w:lang w:val="en-US" w:eastAsia="zh-CN"/>
              </w:rPr>
              <w:t>；</w:t>
            </w:r>
            <w:r>
              <w:rPr>
                <w:rFonts w:hint="eastAsia" w:ascii="Times New Roman" w:hAnsi="Times New Roman" w:cs="Times New Roman"/>
                <w:color w:val="auto"/>
                <w:sz w:val="21"/>
                <w:szCs w:val="21"/>
                <w:highlight w:val="none"/>
                <w:vertAlign w:val="baseline"/>
                <w:lang w:val="en-US" w:eastAsia="zh-CN"/>
              </w:rPr>
              <w:t>本项目生产用</w:t>
            </w:r>
            <w:r>
              <w:rPr>
                <w:rFonts w:hint="eastAsia" w:cs="Times New Roman"/>
                <w:color w:val="auto"/>
                <w:sz w:val="21"/>
                <w:szCs w:val="21"/>
                <w:highlight w:val="none"/>
                <w:vertAlign w:val="baseline"/>
                <w:lang w:val="en-US" w:eastAsia="zh-CN"/>
              </w:rPr>
              <w:t>及</w:t>
            </w:r>
            <w:r>
              <w:rPr>
                <w:rFonts w:ascii="Times New Roman" w:hAnsi="Times New Roman" w:cs="Times New Roman"/>
                <w:color w:val="auto"/>
                <w:sz w:val="21"/>
                <w:szCs w:val="21"/>
                <w:highlight w:val="none"/>
                <w:vertAlign w:val="baseline"/>
              </w:rPr>
              <w:t>生活用水</w:t>
            </w:r>
            <w:r>
              <w:rPr>
                <w:rFonts w:hint="eastAsia" w:cs="Times New Roman"/>
                <w:color w:val="auto"/>
                <w:sz w:val="21"/>
                <w:szCs w:val="21"/>
                <w:highlight w:val="none"/>
                <w:vertAlign w:val="baseline"/>
                <w:lang w:val="en-US" w:eastAsia="zh-CN"/>
              </w:rPr>
              <w:t>均为市政供水管网提供</w:t>
            </w:r>
            <w:r>
              <w:rPr>
                <w:rFonts w:ascii="Times New Roman" w:hAnsi="Times New Roman" w:cs="Times New Roman"/>
                <w:color w:val="auto"/>
                <w:sz w:val="21"/>
                <w:szCs w:val="21"/>
                <w:highlight w:val="none"/>
                <w:vertAlign w:val="baseline"/>
              </w:rPr>
              <w:t>。</w:t>
            </w:r>
            <w:r>
              <w:rPr>
                <w:rFonts w:ascii="Times New Roman" w:hAnsi="Times New Roman" w:cs="Times New Roman"/>
                <w:color w:val="auto"/>
                <w:sz w:val="21"/>
                <w:szCs w:val="21"/>
                <w:vertAlign w:val="baseline"/>
              </w:rPr>
              <w:t>运行中消耗一定量电、水，</w:t>
            </w:r>
            <w:r>
              <w:rPr>
                <w:rFonts w:hint="eastAsia" w:ascii="Times New Roman" w:hAnsi="Times New Roman" w:cs="Times New Roman"/>
                <w:color w:val="auto"/>
                <w:sz w:val="21"/>
                <w:szCs w:val="21"/>
                <w:vertAlign w:val="baseline"/>
              </w:rPr>
              <w:t>项目资源消耗量较小，项目运营过程中加强节能建设，能源利用率高，本项目不会突破当地资源利用上线。</w:t>
            </w:r>
          </w:p>
          <w:p>
            <w:pPr>
              <w:bidi w:val="0"/>
              <w:rPr>
                <w:b/>
                <w:bCs/>
              </w:rPr>
            </w:pPr>
            <w:r>
              <w:rPr>
                <w:b/>
                <w:bCs/>
              </w:rPr>
              <w:t>（4）生态环境准入清单</w:t>
            </w:r>
          </w:p>
          <w:p>
            <w:pPr>
              <w:bidi w:val="0"/>
              <w:jc w:val="both"/>
            </w:pPr>
            <w:r>
              <w:rPr>
                <w:rFonts w:hint="eastAsia"/>
              </w:rPr>
              <w:t>对照《鄂尔多斯市环境准入清单》，本项目位于鄂尔多斯市伊金霍洛旗</w:t>
            </w:r>
            <w:r>
              <w:rPr>
                <w:rFonts w:hint="eastAsia"/>
                <w:lang w:eastAsia="zh-CN"/>
              </w:rPr>
              <w:t>苏布尔嘎镇敏盖村</w:t>
            </w:r>
            <w:r>
              <w:t>，</w:t>
            </w:r>
            <w:r>
              <w:rPr>
                <w:highlight w:val="none"/>
              </w:rPr>
              <w:t>属于重点管控单元，</w:t>
            </w:r>
            <w:r>
              <w:t>环境管控单元名</w:t>
            </w:r>
            <w:r>
              <w:rPr>
                <w:highlight w:val="none"/>
              </w:rPr>
              <w:t>称为</w:t>
            </w:r>
            <w:r>
              <w:rPr>
                <w:highlight w:val="none"/>
                <w:lang w:val="en-US" w:eastAsia="zh-CN"/>
              </w:rPr>
              <w:t>伊金霍洛</w:t>
            </w:r>
            <w:r>
              <w:rPr>
                <w:rFonts w:hint="eastAsia"/>
                <w:highlight w:val="none"/>
                <w:lang w:val="en-US" w:eastAsia="zh-CN"/>
              </w:rPr>
              <w:t>旗城镇边界</w:t>
            </w:r>
            <w:r>
              <w:rPr>
                <w:highlight w:val="none"/>
              </w:rPr>
              <w:t>，环境</w:t>
            </w:r>
            <w:r>
              <w:t>管控</w:t>
            </w:r>
            <w:r>
              <w:rPr>
                <w:highlight w:val="none"/>
              </w:rPr>
              <w:t>单元编码为ZH150627200</w:t>
            </w:r>
            <w:r>
              <w:rPr>
                <w:rFonts w:hint="eastAsia"/>
                <w:highlight w:val="none"/>
                <w:lang w:val="en-US" w:eastAsia="zh-CN"/>
              </w:rPr>
              <w:t>13</w:t>
            </w:r>
            <w:r>
              <w:rPr>
                <w:highlight w:val="none"/>
              </w:rPr>
              <w:t>。本项</w:t>
            </w:r>
            <w:r>
              <w:t>目与该单元的管控要求符合性见下表</w:t>
            </w:r>
          </w:p>
          <w:p>
            <w:pPr>
              <w:bidi w:val="0"/>
              <w:jc w:val="center"/>
              <w:rPr>
                <w:rFonts w:hint="eastAsia"/>
                <w:b/>
                <w:bCs/>
                <w:lang w:val="en-US" w:eastAsia="zh-CN"/>
              </w:rPr>
            </w:pPr>
            <w:r>
              <w:rPr>
                <w:rFonts w:hint="eastAsia"/>
                <w:b/>
                <w:bCs/>
                <w:lang w:val="en-US" w:eastAsia="zh-CN"/>
              </w:rPr>
              <w:t>表1-1生态环境准入管控单元管控要求符合性分析</w:t>
            </w:r>
          </w:p>
          <w:tbl>
            <w:tblPr>
              <w:tblStyle w:val="9"/>
              <w:tblW w:w="6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1472"/>
              <w:gridCol w:w="846"/>
              <w:gridCol w:w="964"/>
              <w:gridCol w:w="354"/>
              <w:gridCol w:w="1285"/>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02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cs="宋体"/>
                      <w:kern w:val="0"/>
                      <w:szCs w:val="24"/>
                      <w:highlight w:val="none"/>
                      <w:lang w:val="en-US" w:eastAsia="zh-CN"/>
                    </w:rPr>
                  </w:pPr>
                  <w:r>
                    <w:rPr>
                      <w:rFonts w:hint="eastAsia" w:ascii="宋体" w:hAnsi="宋体" w:cs="宋体"/>
                      <w:kern w:val="0"/>
                      <w:szCs w:val="24"/>
                      <w:highlight w:val="none"/>
                      <w:lang w:val="en-US" w:eastAsia="zh-CN"/>
                    </w:rPr>
                    <w:t>环境管控单元编码</w:t>
                  </w:r>
                </w:p>
              </w:tc>
              <w:tc>
                <w:tcPr>
                  <w:tcW w:w="1472"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cs="宋体"/>
                      <w:kern w:val="0"/>
                      <w:szCs w:val="24"/>
                      <w:highlight w:val="none"/>
                      <w:lang w:val="en-US" w:eastAsia="zh-CN"/>
                    </w:rPr>
                  </w:pPr>
                  <w:r>
                    <w:rPr>
                      <w:rFonts w:hint="eastAsia" w:ascii="宋体" w:hAnsi="宋体" w:cs="宋体"/>
                      <w:kern w:val="0"/>
                      <w:szCs w:val="24"/>
                      <w:highlight w:val="none"/>
                      <w:lang w:val="en-US" w:eastAsia="zh-CN"/>
                    </w:rPr>
                    <w:t>环境管控单元名称</w:t>
                  </w:r>
                </w:p>
              </w:tc>
              <w:tc>
                <w:tcPr>
                  <w:tcW w:w="3449"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cs="宋体"/>
                      <w:kern w:val="0"/>
                      <w:szCs w:val="24"/>
                      <w:highlight w:val="none"/>
                      <w:lang w:val="en-US" w:eastAsia="zh-CN"/>
                    </w:rPr>
                  </w:pPr>
                  <w:r>
                    <w:rPr>
                      <w:rFonts w:hint="eastAsia" w:ascii="宋体" w:hAnsi="宋体" w:cs="宋体"/>
                      <w:kern w:val="0"/>
                      <w:szCs w:val="24"/>
                      <w:highlight w:val="none"/>
                      <w:lang w:val="en-US" w:eastAsia="zh-CN"/>
                    </w:rPr>
                    <w:t>行政区划</w:t>
                  </w:r>
                </w:p>
              </w:tc>
              <w:tc>
                <w:tcPr>
                  <w:tcW w:w="95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cs="宋体"/>
                      <w:kern w:val="0"/>
                      <w:szCs w:val="24"/>
                      <w:highlight w:val="none"/>
                      <w:lang w:val="en-US" w:eastAsia="zh-CN"/>
                    </w:rPr>
                  </w:pPr>
                  <w:r>
                    <w:rPr>
                      <w:rFonts w:hint="eastAsia" w:ascii="宋体" w:hAnsi="宋体" w:cs="宋体"/>
                      <w:kern w:val="0"/>
                      <w:szCs w:val="24"/>
                      <w:highlight w:val="none"/>
                      <w:lang w:val="en-US" w:eastAsia="zh-CN"/>
                    </w:rPr>
                    <w:t>管控单元分类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cs="宋体"/>
                      <w:kern w:val="0"/>
                      <w:szCs w:val="24"/>
                      <w:highlight w:val="none"/>
                      <w:lang w:val="en-US" w:eastAsia="zh-CN"/>
                    </w:rPr>
                  </w:pPr>
                </w:p>
              </w:tc>
              <w:tc>
                <w:tcPr>
                  <w:tcW w:w="147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cs="宋体"/>
                      <w:kern w:val="0"/>
                      <w:szCs w:val="24"/>
                      <w:highlight w:val="none"/>
                      <w:lang w:val="en-US" w:eastAsia="zh-CN"/>
                    </w:rPr>
                  </w:pPr>
                </w:p>
              </w:tc>
              <w:tc>
                <w:tcPr>
                  <w:tcW w:w="8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cs="宋体"/>
                      <w:kern w:val="0"/>
                      <w:szCs w:val="24"/>
                      <w:highlight w:val="none"/>
                      <w:lang w:val="en-US" w:eastAsia="zh-CN"/>
                    </w:rPr>
                  </w:pPr>
                  <w:r>
                    <w:rPr>
                      <w:rFonts w:hint="eastAsia" w:ascii="宋体" w:hAnsi="宋体" w:cs="宋体"/>
                      <w:kern w:val="0"/>
                      <w:szCs w:val="24"/>
                      <w:highlight w:val="none"/>
                      <w:lang w:val="en-US" w:eastAsia="zh-CN"/>
                    </w:rPr>
                    <w:t>省</w:t>
                  </w:r>
                </w:p>
              </w:tc>
              <w:tc>
                <w:tcPr>
                  <w:tcW w:w="131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cs="宋体"/>
                      <w:kern w:val="0"/>
                      <w:szCs w:val="24"/>
                      <w:highlight w:val="none"/>
                      <w:lang w:val="en-US" w:eastAsia="zh-CN"/>
                    </w:rPr>
                  </w:pPr>
                  <w:r>
                    <w:rPr>
                      <w:rFonts w:hint="eastAsia" w:ascii="宋体" w:hAnsi="宋体" w:cs="宋体"/>
                      <w:kern w:val="0"/>
                      <w:szCs w:val="24"/>
                      <w:highlight w:val="none"/>
                      <w:lang w:val="en-US" w:eastAsia="zh-CN"/>
                    </w:rPr>
                    <w:t>市</w:t>
                  </w:r>
                </w:p>
              </w:tc>
              <w:tc>
                <w:tcPr>
                  <w:tcW w:w="12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cs="宋体"/>
                      <w:kern w:val="0"/>
                      <w:szCs w:val="24"/>
                      <w:highlight w:val="none"/>
                      <w:lang w:val="en-US" w:eastAsia="zh-CN"/>
                    </w:rPr>
                  </w:pPr>
                  <w:r>
                    <w:rPr>
                      <w:rFonts w:hint="eastAsia" w:ascii="宋体" w:hAnsi="宋体" w:cs="宋体"/>
                      <w:kern w:val="0"/>
                      <w:szCs w:val="24"/>
                      <w:highlight w:val="none"/>
                      <w:lang w:val="en-US" w:eastAsia="zh-CN"/>
                    </w:rPr>
                    <w:t>区</w:t>
                  </w:r>
                </w:p>
              </w:tc>
              <w:tc>
                <w:tcPr>
                  <w:tcW w:w="95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cs="宋体"/>
                      <w:kern w:val="0"/>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cs="宋体"/>
                      <w:kern w:val="0"/>
                      <w:szCs w:val="24"/>
                      <w:highlight w:val="none"/>
                      <w:lang w:val="en-US" w:eastAsia="zh-CN"/>
                    </w:rPr>
                  </w:pPr>
                  <w:r>
                    <w:rPr>
                      <w:rFonts w:hint="eastAsia" w:ascii="宋体" w:hAnsi="宋体" w:cs="宋体"/>
                      <w:kern w:val="0"/>
                      <w:szCs w:val="24"/>
                      <w:highlight w:val="none"/>
                      <w:lang w:val="en-US" w:eastAsia="zh-CN"/>
                    </w:rPr>
                    <w:t>ZH15062720013</w:t>
                  </w:r>
                </w:p>
              </w:tc>
              <w:tc>
                <w:tcPr>
                  <w:tcW w:w="147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cs="宋体"/>
                      <w:kern w:val="0"/>
                      <w:szCs w:val="24"/>
                      <w:highlight w:val="none"/>
                      <w:lang w:val="en-US" w:eastAsia="zh-CN"/>
                    </w:rPr>
                  </w:pPr>
                  <w:r>
                    <w:rPr>
                      <w:rFonts w:hint="eastAsia" w:ascii="宋体" w:hAnsi="宋体" w:cs="宋体"/>
                      <w:kern w:val="0"/>
                      <w:szCs w:val="24"/>
                      <w:highlight w:val="none"/>
                      <w:lang w:val="en-US" w:eastAsia="zh-CN"/>
                    </w:rPr>
                    <w:t>伊金霍洛旗城镇边界</w:t>
                  </w:r>
                </w:p>
              </w:tc>
              <w:tc>
                <w:tcPr>
                  <w:tcW w:w="8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宋体" w:hAnsi="宋体" w:cs="宋体"/>
                      <w:kern w:val="0"/>
                      <w:szCs w:val="24"/>
                      <w:highlight w:val="none"/>
                      <w:lang w:val="en-US" w:eastAsia="zh-CN"/>
                    </w:rPr>
                  </w:pPr>
                  <w:r>
                    <w:rPr>
                      <w:rFonts w:hint="eastAsia" w:ascii="宋体" w:hAnsi="宋体" w:cs="宋体"/>
                      <w:kern w:val="0"/>
                      <w:szCs w:val="24"/>
                      <w:highlight w:val="none"/>
                      <w:lang w:val="en-US" w:eastAsia="zh-CN"/>
                    </w:rPr>
                    <w:t>内蒙古自治区</w:t>
                  </w:r>
                </w:p>
              </w:tc>
              <w:tc>
                <w:tcPr>
                  <w:tcW w:w="131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宋体" w:hAnsi="宋体" w:cs="宋体"/>
                      <w:kern w:val="0"/>
                      <w:szCs w:val="24"/>
                      <w:highlight w:val="none"/>
                      <w:lang w:val="en-US" w:eastAsia="zh-CN"/>
                    </w:rPr>
                  </w:pPr>
                  <w:r>
                    <w:rPr>
                      <w:rFonts w:hint="eastAsia" w:ascii="宋体" w:hAnsi="宋体" w:cs="宋体"/>
                      <w:kern w:val="0"/>
                      <w:szCs w:val="24"/>
                      <w:highlight w:val="none"/>
                      <w:lang w:val="en-US" w:eastAsia="zh-CN"/>
                    </w:rPr>
                    <w:t>鄂尔多斯市</w:t>
                  </w:r>
                </w:p>
              </w:tc>
              <w:tc>
                <w:tcPr>
                  <w:tcW w:w="12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宋体" w:hAnsi="宋体" w:cs="宋体"/>
                      <w:kern w:val="0"/>
                      <w:szCs w:val="24"/>
                      <w:highlight w:val="none"/>
                      <w:lang w:val="en-US" w:eastAsia="zh-CN"/>
                    </w:rPr>
                  </w:pPr>
                  <w:r>
                    <w:rPr>
                      <w:rFonts w:hint="eastAsia" w:ascii="宋体" w:hAnsi="宋体" w:cs="宋体"/>
                      <w:kern w:val="0"/>
                      <w:szCs w:val="24"/>
                      <w:highlight w:val="none"/>
                      <w:lang w:val="en-US" w:eastAsia="zh-CN"/>
                    </w:rPr>
                    <w:t>伊金霍洛旗</w:t>
                  </w:r>
                </w:p>
              </w:tc>
              <w:tc>
                <w:tcPr>
                  <w:tcW w:w="9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宋体" w:hAnsi="宋体" w:cs="宋体"/>
                      <w:kern w:val="0"/>
                      <w:szCs w:val="24"/>
                      <w:highlight w:val="none"/>
                      <w:lang w:val="en-US" w:eastAsia="zh-CN"/>
                    </w:rPr>
                  </w:pPr>
                  <w:r>
                    <w:rPr>
                      <w:rFonts w:hint="eastAsia" w:ascii="宋体" w:hAnsi="宋体" w:cs="宋体"/>
                      <w:kern w:val="0"/>
                      <w:szCs w:val="24"/>
                      <w:highlight w:val="none"/>
                      <w:lang w:val="en-US" w:eastAsia="zh-CN"/>
                    </w:rPr>
                    <w:t>重点管控单元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cs="宋体"/>
                      <w:kern w:val="0"/>
                      <w:szCs w:val="24"/>
                      <w:highlight w:val="none"/>
                      <w:lang w:val="en-US" w:eastAsia="zh-CN"/>
                    </w:rPr>
                  </w:pPr>
                  <w:r>
                    <w:rPr>
                      <w:rFonts w:hint="eastAsia" w:ascii="宋体" w:hAnsi="宋体" w:cs="宋体"/>
                      <w:kern w:val="0"/>
                      <w:szCs w:val="24"/>
                      <w:highlight w:val="none"/>
                      <w:lang w:val="en-US" w:eastAsia="zh-CN"/>
                    </w:rPr>
                    <w:t>管控维度</w:t>
                  </w:r>
                </w:p>
              </w:tc>
              <w:tc>
                <w:tcPr>
                  <w:tcW w:w="3282"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cs="宋体"/>
                      <w:kern w:val="0"/>
                      <w:szCs w:val="24"/>
                      <w:highlight w:val="none"/>
                      <w:lang w:val="en-US" w:eastAsia="zh-CN"/>
                    </w:rPr>
                  </w:pPr>
                  <w:r>
                    <w:rPr>
                      <w:rFonts w:hint="eastAsia" w:ascii="宋体" w:hAnsi="宋体" w:cs="宋体"/>
                      <w:kern w:val="0"/>
                      <w:szCs w:val="24"/>
                      <w:highlight w:val="none"/>
                      <w:lang w:val="en-US" w:eastAsia="zh-CN"/>
                    </w:rPr>
                    <w:t>管控要求</w:t>
                  </w:r>
                </w:p>
              </w:tc>
              <w:tc>
                <w:tcPr>
                  <w:tcW w:w="2593"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cs="宋体"/>
                      <w:kern w:val="0"/>
                      <w:szCs w:val="24"/>
                      <w:highlight w:val="none"/>
                      <w:lang w:val="en-US" w:eastAsia="zh-CN"/>
                    </w:rPr>
                  </w:pPr>
                  <w:r>
                    <w:rPr>
                      <w:rFonts w:hint="eastAsia" w:ascii="宋体" w:hAnsi="宋体" w:cs="宋体"/>
                      <w:kern w:val="0"/>
                      <w:szCs w:val="24"/>
                      <w:highlight w:val="none"/>
                      <w:lang w:val="en-US" w:eastAsia="zh-CN"/>
                    </w:rPr>
                    <w:t>符合性分析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0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cs="宋体"/>
                      <w:kern w:val="0"/>
                      <w:szCs w:val="24"/>
                      <w:highlight w:val="none"/>
                      <w:lang w:val="en-US" w:eastAsia="zh-CN"/>
                    </w:rPr>
                  </w:pPr>
                  <w:r>
                    <w:rPr>
                      <w:rFonts w:hint="eastAsia" w:ascii="宋体" w:hAnsi="宋体" w:cs="宋体"/>
                      <w:kern w:val="0"/>
                      <w:szCs w:val="24"/>
                      <w:highlight w:val="none"/>
                      <w:lang w:val="en-US" w:eastAsia="zh-CN"/>
                    </w:rPr>
                    <w:t>空间布局约束</w:t>
                  </w:r>
                </w:p>
              </w:tc>
              <w:tc>
                <w:tcPr>
                  <w:tcW w:w="3282"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cs="宋体"/>
                      <w:kern w:val="0"/>
                      <w:szCs w:val="24"/>
                      <w:highlight w:val="none"/>
                      <w:lang w:val="en-US" w:eastAsia="zh-CN"/>
                    </w:rPr>
                  </w:pPr>
                  <w:r>
                    <w:rPr>
                      <w:rFonts w:hint="eastAsia" w:ascii="宋体" w:hAnsi="宋体" w:cs="宋体"/>
                      <w:kern w:val="0"/>
                      <w:szCs w:val="24"/>
                      <w:highlight w:val="none"/>
                      <w:lang w:val="en-US" w:eastAsia="zh-CN"/>
                    </w:rPr>
                    <w:t>1.严控新建、扩建高污染、高耗水、高耗能项目。</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cs="宋体"/>
                      <w:kern w:val="0"/>
                      <w:szCs w:val="24"/>
                      <w:highlight w:val="none"/>
                      <w:lang w:val="en-US" w:eastAsia="zh-CN"/>
                    </w:rPr>
                  </w:pPr>
                  <w:r>
                    <w:rPr>
                      <w:rFonts w:hint="eastAsia" w:ascii="宋体" w:hAnsi="宋体" w:cs="宋体"/>
                      <w:kern w:val="0"/>
                      <w:szCs w:val="24"/>
                      <w:highlight w:val="none"/>
                      <w:lang w:val="en-US" w:eastAsia="zh-CN"/>
                    </w:rPr>
                    <w:t>2.城市建成区禁止新建35蒸吨/小时以下燃煤锅炉；</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cs="宋体"/>
                      <w:kern w:val="0"/>
                      <w:szCs w:val="24"/>
                      <w:highlight w:val="none"/>
                      <w:lang w:val="en-US" w:eastAsia="zh-CN"/>
                    </w:rPr>
                  </w:pPr>
                  <w:r>
                    <w:rPr>
                      <w:rFonts w:hint="eastAsia" w:ascii="宋体" w:hAnsi="宋体" w:cs="宋体"/>
                      <w:kern w:val="0"/>
                      <w:szCs w:val="24"/>
                      <w:highlight w:val="none"/>
                      <w:lang w:val="en-US" w:eastAsia="zh-CN"/>
                    </w:rPr>
                    <w:t>3.禁止在居民区和学校、医院、疗养院、养老院等单位周边新建、改建、扩建可能造成土壤污染的建设项目。禁止在人口聚居区域内新（改、扩）建涉重金属及恶臭气体排放企业。</w:t>
                  </w:r>
                </w:p>
              </w:tc>
              <w:tc>
                <w:tcPr>
                  <w:tcW w:w="2593"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cs="宋体"/>
                      <w:kern w:val="0"/>
                      <w:szCs w:val="24"/>
                      <w:highlight w:val="none"/>
                      <w:lang w:val="en-US" w:eastAsia="zh-CN"/>
                    </w:rPr>
                  </w:pPr>
                  <w:r>
                    <w:rPr>
                      <w:rFonts w:hint="eastAsia" w:ascii="宋体" w:hAnsi="宋体" w:cs="宋体"/>
                      <w:kern w:val="0"/>
                      <w:szCs w:val="24"/>
                      <w:highlight w:val="none"/>
                      <w:lang w:val="en-US" w:eastAsia="zh-CN"/>
                    </w:rPr>
                    <w:t>1.本项目为混凝土生产项目，不属于高污染、高耗水、高耗能项目。</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宋体" w:hAnsi="宋体" w:eastAsia="宋体" w:cs="宋体"/>
                      <w:kern w:val="0"/>
                      <w:szCs w:val="24"/>
                      <w:highlight w:val="none"/>
                      <w:lang w:val="en-US" w:eastAsia="zh-CN"/>
                    </w:rPr>
                  </w:pPr>
                  <w:r>
                    <w:rPr>
                      <w:rFonts w:hint="eastAsia" w:ascii="宋体" w:hAnsi="宋体" w:cs="宋体"/>
                      <w:kern w:val="0"/>
                      <w:szCs w:val="24"/>
                      <w:highlight w:val="none"/>
                      <w:lang w:val="en-US" w:eastAsia="zh-CN"/>
                    </w:rPr>
                    <w:t>2.本项目不新建燃煤锅炉3.本项目500m范围内无居民和学校、医院、疗养院、养老院等单位，本项目不属于涉及重金属及恶臭气体排放的企业。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cs="宋体"/>
                      <w:kern w:val="0"/>
                      <w:szCs w:val="24"/>
                      <w:highlight w:val="none"/>
                      <w:lang w:val="en-US" w:eastAsia="zh-CN"/>
                    </w:rPr>
                  </w:pPr>
                  <w:r>
                    <w:rPr>
                      <w:rFonts w:hint="eastAsia" w:ascii="宋体" w:hAnsi="宋体" w:cs="宋体"/>
                      <w:kern w:val="0"/>
                      <w:szCs w:val="24"/>
                      <w:highlight w:val="none"/>
                      <w:lang w:val="en-US" w:eastAsia="zh-CN"/>
                    </w:rPr>
                    <w:t>污染物排放管控</w:t>
                  </w:r>
                </w:p>
              </w:tc>
              <w:tc>
                <w:tcPr>
                  <w:tcW w:w="3282"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cs="宋体"/>
                      <w:kern w:val="0"/>
                      <w:szCs w:val="24"/>
                      <w:highlight w:val="none"/>
                      <w:lang w:val="en-US" w:eastAsia="zh-CN"/>
                    </w:rPr>
                  </w:pPr>
                  <w:r>
                    <w:rPr>
                      <w:rFonts w:hint="eastAsia" w:ascii="宋体" w:hAnsi="宋体" w:cs="宋体"/>
                      <w:kern w:val="0"/>
                      <w:szCs w:val="24"/>
                      <w:highlight w:val="none"/>
                      <w:lang w:val="en-US" w:eastAsia="zh-CN"/>
                    </w:rPr>
                    <w:t>1.提升城镇生活污水收集管网覆盖率，逐步实施雨污管网分流改造、管网更新、破损修复改、中水回用等工程。城镇生活污水实现“应收尽收、应处尽处”。</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cs="宋体"/>
                      <w:kern w:val="0"/>
                      <w:szCs w:val="24"/>
                      <w:highlight w:val="none"/>
                      <w:lang w:val="en-US" w:eastAsia="zh-CN"/>
                    </w:rPr>
                  </w:pPr>
                  <w:r>
                    <w:rPr>
                      <w:rFonts w:hint="eastAsia" w:ascii="宋体" w:hAnsi="宋体" w:cs="宋体"/>
                      <w:kern w:val="0"/>
                      <w:szCs w:val="24"/>
                      <w:highlight w:val="none"/>
                      <w:lang w:val="en-US" w:eastAsia="zh-CN"/>
                    </w:rPr>
                    <w:t>2.禁止在人口集中地区熔化或者焚烧沥青、油毡、橡胶、塑料、皮革以及其他产生有毒有害烟尘和恶臭气体的物质。</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cs="宋体"/>
                      <w:kern w:val="0"/>
                      <w:szCs w:val="24"/>
                      <w:highlight w:val="none"/>
                      <w:lang w:val="en-US" w:eastAsia="zh-CN"/>
                    </w:rPr>
                  </w:pPr>
                  <w:r>
                    <w:rPr>
                      <w:rFonts w:hint="eastAsia" w:ascii="宋体" w:hAnsi="宋体" w:cs="宋体"/>
                      <w:kern w:val="0"/>
                      <w:szCs w:val="24"/>
                      <w:highlight w:val="none"/>
                      <w:lang w:val="en-US" w:eastAsia="zh-CN"/>
                    </w:rPr>
                    <w:t>3.65蒸吨及以上燃煤锅炉要执行大气污染物特别排放限值。</w:t>
                  </w:r>
                </w:p>
              </w:tc>
              <w:tc>
                <w:tcPr>
                  <w:tcW w:w="2593"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cs="宋体"/>
                      <w:kern w:val="0"/>
                      <w:szCs w:val="24"/>
                      <w:highlight w:val="none"/>
                      <w:lang w:val="en-US" w:eastAsia="zh-CN"/>
                    </w:rPr>
                  </w:pPr>
                  <w:r>
                    <w:rPr>
                      <w:rFonts w:hint="eastAsia" w:ascii="宋体" w:hAnsi="宋体" w:cs="宋体"/>
                      <w:kern w:val="0"/>
                      <w:szCs w:val="24"/>
                      <w:highlight w:val="none"/>
                      <w:lang w:val="en-US" w:eastAsia="zh-CN"/>
                    </w:rPr>
                    <w:t>1.本项目雨污分流，生产废水全部回用，生活污水由内蒙古蓝天碧水环境科技工程有限公司拉运进行处理。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cs="宋体"/>
                      <w:kern w:val="0"/>
                      <w:szCs w:val="24"/>
                      <w:highlight w:val="none"/>
                      <w:lang w:val="en-US" w:eastAsia="zh-CN"/>
                    </w:rPr>
                  </w:pPr>
                  <w:r>
                    <w:rPr>
                      <w:rFonts w:hint="eastAsia" w:ascii="宋体" w:hAnsi="宋体" w:cs="宋体"/>
                      <w:kern w:val="0"/>
                      <w:szCs w:val="24"/>
                      <w:highlight w:val="none"/>
                      <w:lang w:val="en-US" w:eastAsia="zh-CN"/>
                    </w:rPr>
                    <w:t>2.本项目不涉及。</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宋体" w:hAnsi="宋体" w:eastAsia="宋体" w:cs="宋体"/>
                      <w:kern w:val="0"/>
                      <w:szCs w:val="24"/>
                      <w:highlight w:val="none"/>
                      <w:lang w:val="en-US" w:eastAsia="zh-CN"/>
                    </w:rPr>
                  </w:pPr>
                  <w:r>
                    <w:rPr>
                      <w:rFonts w:hint="eastAsia" w:ascii="宋体" w:hAnsi="宋体" w:cs="宋体"/>
                      <w:kern w:val="0"/>
                      <w:szCs w:val="24"/>
                      <w:highlight w:val="none"/>
                      <w:lang w:val="en-US" w:eastAsia="zh-CN"/>
                    </w:rPr>
                    <w:t>3.本项目不涉及。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2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cs="宋体"/>
                      <w:kern w:val="0"/>
                      <w:szCs w:val="24"/>
                      <w:highlight w:val="none"/>
                      <w:lang w:val="en-US" w:eastAsia="zh-CN"/>
                    </w:rPr>
                  </w:pPr>
                  <w:r>
                    <w:rPr>
                      <w:rFonts w:hint="eastAsia" w:ascii="宋体" w:hAnsi="宋体" w:cs="宋体"/>
                      <w:kern w:val="0"/>
                      <w:szCs w:val="24"/>
                      <w:highlight w:val="none"/>
                      <w:lang w:val="en-US" w:eastAsia="zh-CN"/>
                    </w:rPr>
                    <w:t>资源利用效率要求</w:t>
                  </w:r>
                </w:p>
              </w:tc>
              <w:tc>
                <w:tcPr>
                  <w:tcW w:w="3282"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cs="宋体"/>
                      <w:kern w:val="0"/>
                      <w:szCs w:val="24"/>
                      <w:highlight w:val="none"/>
                      <w:lang w:val="en-US" w:eastAsia="zh-CN"/>
                    </w:rPr>
                  </w:pPr>
                  <w:r>
                    <w:rPr>
                      <w:rFonts w:hint="eastAsia" w:ascii="宋体" w:hAnsi="宋体" w:cs="宋体"/>
                      <w:kern w:val="0"/>
                      <w:szCs w:val="24"/>
                      <w:highlight w:val="none"/>
                      <w:lang w:val="en-US" w:eastAsia="zh-CN"/>
                    </w:rPr>
                    <w:t>1.电力、钢铁、纺织、造纸、石油化工、食品发酵等高耗水行业达到先进定额标准。水资源节约和循环利用达到国内先进水平。</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cs="宋体"/>
                      <w:b/>
                      <w:bCs/>
                      <w:kern w:val="0"/>
                      <w:szCs w:val="24"/>
                      <w:highlight w:val="none"/>
                      <w:lang w:val="en-US" w:eastAsia="zh-CN"/>
                    </w:rPr>
                  </w:pPr>
                  <w:r>
                    <w:rPr>
                      <w:rFonts w:hint="eastAsia" w:ascii="宋体" w:hAnsi="宋体" w:cs="宋体"/>
                      <w:kern w:val="0"/>
                      <w:szCs w:val="24"/>
                      <w:highlight w:val="none"/>
                      <w:lang w:val="en-US" w:eastAsia="zh-CN"/>
                    </w:rPr>
                    <w:t>2.强化水资源论证管理，优化水源配置，鼓励优先配置利用非常规水源。</w:t>
                  </w:r>
                </w:p>
              </w:tc>
              <w:tc>
                <w:tcPr>
                  <w:tcW w:w="2593"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cs="宋体"/>
                      <w:kern w:val="0"/>
                      <w:szCs w:val="24"/>
                      <w:highlight w:val="none"/>
                      <w:lang w:val="en-US" w:eastAsia="zh-CN"/>
                    </w:rPr>
                  </w:pPr>
                  <w:r>
                    <w:rPr>
                      <w:rFonts w:hint="eastAsia" w:ascii="宋体" w:hAnsi="宋体" w:cs="宋体"/>
                      <w:kern w:val="0"/>
                      <w:szCs w:val="24"/>
                      <w:highlight w:val="none"/>
                      <w:lang w:val="en-US" w:eastAsia="zh-CN"/>
                    </w:rPr>
                    <w:t>1.本项目不涉及。</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宋体" w:hAnsi="宋体" w:cs="宋体"/>
                      <w:kern w:val="0"/>
                      <w:szCs w:val="24"/>
                      <w:highlight w:val="none"/>
                      <w:lang w:val="en-US" w:eastAsia="zh-CN"/>
                    </w:rPr>
                  </w:pPr>
                  <w:r>
                    <w:rPr>
                      <w:rFonts w:hint="eastAsia" w:ascii="宋体" w:hAnsi="宋体" w:cs="宋体"/>
                      <w:kern w:val="0"/>
                      <w:szCs w:val="24"/>
                      <w:highlight w:val="none"/>
                      <w:lang w:val="en-US" w:eastAsia="zh-CN"/>
                    </w:rPr>
                    <w:t>2.本项目生活用水及生产用水均为市政供水，生产用水全部回用，不外排；生活污水化粪池收集后，定期交由内蒙古蓝天碧水环境科技工程有限公司拉运处理。</w:t>
                  </w:r>
                </w:p>
              </w:tc>
            </w:tr>
          </w:tbl>
          <w:p>
            <w:pPr>
              <w:bidi w:val="0"/>
              <w:rPr>
                <w:rFonts w:hint="eastAsia"/>
                <w:highlight w:val="none"/>
                <w:lang w:val="en-US" w:eastAsia="zh-CN"/>
              </w:rPr>
            </w:pPr>
            <w:r>
              <w:rPr>
                <w:rFonts w:hint="eastAsia"/>
                <w:highlight w:val="none"/>
                <w:lang w:val="en-US" w:eastAsia="zh-CN"/>
              </w:rPr>
              <w:t>根据上述分析，符合鄂尔多斯市生态环境准入清单要求，综上所述，本项目符合国家和地方“三线一单”的相关要求。</w:t>
            </w:r>
          </w:p>
          <w:p>
            <w:pPr>
              <w:bidi w:val="0"/>
              <w:ind w:left="0" w:leftChars="0" w:firstLine="0" w:firstLineChars="0"/>
              <w:rPr>
                <w:rFonts w:hint="eastAsia"/>
                <w:highlight w:val="yellow"/>
                <w:lang w:val="en-US" w:eastAsia="zh-CN"/>
              </w:rPr>
            </w:pPr>
            <w:r>
              <w:drawing>
                <wp:inline distT="0" distB="0" distL="114300" distR="114300">
                  <wp:extent cx="4538345" cy="3054985"/>
                  <wp:effectExtent l="0" t="0" r="14605" b="12065"/>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pic:cNvPicPr>
                        </pic:nvPicPr>
                        <pic:blipFill>
                          <a:blip r:embed="rId12"/>
                          <a:stretch>
                            <a:fillRect/>
                          </a:stretch>
                        </pic:blipFill>
                        <pic:spPr>
                          <a:xfrm>
                            <a:off x="0" y="0"/>
                            <a:ext cx="4538345" cy="3054985"/>
                          </a:xfrm>
                          <a:prstGeom prst="rect">
                            <a:avLst/>
                          </a:prstGeom>
                          <a:noFill/>
                          <a:ln>
                            <a:noFill/>
                          </a:ln>
                        </pic:spPr>
                      </pic:pic>
                    </a:graphicData>
                  </a:graphic>
                </wp:inline>
              </w:drawing>
            </w:r>
          </w:p>
          <w:p>
            <w:pPr>
              <w:bidi w:val="0"/>
              <w:ind w:left="0" w:leftChars="0" w:firstLine="0" w:firstLineChars="0"/>
              <w:jc w:val="center"/>
              <w:rPr>
                <w:rFonts w:hint="default" w:ascii="宋体" w:hAnsi="宋体" w:cs="宋体"/>
                <w:b/>
                <w:bCs/>
                <w:kern w:val="0"/>
                <w:szCs w:val="24"/>
                <w:highlight w:val="none"/>
                <w:lang w:val="en-US" w:eastAsia="zh-CN"/>
              </w:rPr>
            </w:pPr>
            <w:r>
              <w:rPr>
                <w:rFonts w:hint="eastAsia" w:ascii="宋体" w:hAnsi="宋体" w:cs="宋体"/>
                <w:b/>
                <w:bCs/>
                <w:kern w:val="0"/>
                <w:szCs w:val="24"/>
                <w:highlight w:val="none"/>
                <w:lang w:val="en-US" w:eastAsia="zh-CN"/>
              </w:rPr>
              <w:t>图1-1鄂尔多斯市环境管控单元图</w:t>
            </w:r>
          </w:p>
          <w:p>
            <w:pPr>
              <w:bidi w:val="0"/>
              <w:rPr>
                <w:rFonts w:hint="eastAsia" w:eastAsia="宋体"/>
                <w:b/>
                <w:bCs/>
                <w:lang w:val="en-US" w:eastAsia="zh-CN"/>
              </w:rPr>
            </w:pPr>
            <w:r>
              <w:rPr>
                <w:rFonts w:hint="eastAsia" w:eastAsia="宋体"/>
                <w:b/>
                <w:bCs/>
                <w:lang w:val="en-US" w:eastAsia="zh-CN"/>
              </w:rPr>
              <w:t>三、选址合理性分析</w:t>
            </w:r>
          </w:p>
          <w:p>
            <w:pPr>
              <w:bidi w:val="0"/>
              <w:rPr>
                <w:rFonts w:hint="eastAsia" w:eastAsia="宋体"/>
                <w:lang w:val="en-US" w:eastAsia="zh-CN"/>
              </w:rPr>
            </w:pPr>
            <w:r>
              <w:rPr>
                <w:rFonts w:hint="eastAsia"/>
                <w:lang w:val="en-US" w:eastAsia="zh-CN"/>
              </w:rPr>
              <w:t>本项目位于内蒙古自治区鄂尔多斯市伊金霍洛旗苏布尔嘎镇敏盖村，</w:t>
            </w:r>
            <w:r>
              <w:rPr>
                <w:rFonts w:hint="eastAsia"/>
              </w:rPr>
              <w:t>当地道路、供电、供水、电讯等基础设施条件良好，配套齐全，社会协作条件较优越；项目</w:t>
            </w:r>
            <w:r>
              <w:rPr>
                <w:rFonts w:hint="eastAsia"/>
                <w:lang w:val="en-US"/>
              </w:rPr>
              <w:t>用地</w:t>
            </w:r>
            <w:r>
              <w:rPr>
                <w:rFonts w:hint="eastAsia"/>
                <w:lang w:val="en-US" w:eastAsia="zh-CN"/>
              </w:rPr>
              <w:t>为工业用地，2024年4月2日伊金霍洛旗苏布尔嘎查人民政府出具了本项目建设意见的函</w:t>
            </w:r>
            <w:r>
              <w:rPr>
                <w:rFonts w:hint="eastAsia"/>
                <w:lang w:val="en-US"/>
              </w:rPr>
              <w:t>，</w:t>
            </w:r>
            <w:r>
              <w:rPr>
                <w:rFonts w:hint="eastAsia"/>
                <w:lang w:val="en-US" w:eastAsia="zh-CN"/>
              </w:rPr>
              <w:t>同意本项目的建设。</w:t>
            </w:r>
            <w:r>
              <w:rPr>
                <w:rFonts w:hint="eastAsia"/>
              </w:rPr>
              <w:t>本项目所在地不属于自然保护区、世界文化自然遗产、风景名胜区、森林公园、地质公园，集中式饮用水水源保护地等，</w:t>
            </w:r>
            <w:r>
              <w:rPr>
                <w:lang w:val="en-US" w:eastAsia="zh-CN"/>
              </w:rPr>
              <w:t>项目选址不涉及生态保护红线，周围500m范围内无自然保护地、集中式饮用水水源保护区等生态功能重要区和生态环境敏感区，也无居民区及农村地区居民集中聚居区，且有相关用地手续，项目废水不外排，大气污染物通过采取治理措施后可达标排放，通过采取噪声防治措施后厂界噪声也可达标，对周围环境影响较小，</w:t>
            </w:r>
            <w:r>
              <w:rPr>
                <w:rFonts w:hint="eastAsia"/>
                <w:lang w:val="en-US" w:eastAsia="zh-CN"/>
              </w:rPr>
              <w:t>从环境保护方面厂址选择是合理的。</w:t>
            </w:r>
          </w:p>
        </w:tc>
      </w:tr>
    </w:tbl>
    <w:p>
      <w:pPr>
        <w:spacing w:line="360" w:lineRule="auto"/>
        <w:outlineLvl w:val="0"/>
        <w:rPr>
          <w:rFonts w:hint="default" w:ascii="Times New Roman" w:hAnsi="Times New Roman" w:eastAsia="黑体" w:cs="Times New Roman"/>
          <w:sz w:val="30"/>
        </w:rPr>
        <w:sectPr>
          <w:footerReference r:id="rId6" w:type="default"/>
          <w:pgSz w:w="11906" w:h="16838"/>
          <w:pgMar w:top="1440" w:right="1800" w:bottom="1440" w:left="1800" w:header="851" w:footer="1077" w:gutter="0"/>
          <w:pgNumType w:fmt="numberInDash" w:start="1"/>
          <w:cols w:space="720" w:num="1"/>
          <w:docGrid w:linePitch="312" w:charSpace="0"/>
        </w:sectPr>
      </w:pPr>
    </w:p>
    <w:p>
      <w:pPr>
        <w:pStyle w:val="8"/>
        <w:jc w:val="center"/>
        <w:outlineLvl w:val="0"/>
        <w:rPr>
          <w:rFonts w:hint="default" w:ascii="Times New Roman" w:hAnsi="Times New Roman" w:eastAsia="黑体" w:cs="Times New Roman"/>
          <w:snapToGrid w:val="0"/>
          <w:sz w:val="30"/>
          <w:szCs w:val="30"/>
        </w:rPr>
      </w:pPr>
      <w:r>
        <w:rPr>
          <w:rFonts w:hint="default" w:ascii="Times New Roman" w:hAnsi="Times New Roman" w:eastAsia="黑体" w:cs="Times New Roman"/>
          <w:snapToGrid w:val="0"/>
          <w:sz w:val="30"/>
          <w:szCs w:val="30"/>
        </w:rPr>
        <w:t>二、建设项目工程分析</w:t>
      </w:r>
    </w:p>
    <w:tbl>
      <w:tblPr>
        <w:tblStyle w:val="9"/>
        <w:tblW w:w="898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840"/>
        <w:gridCol w:w="6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3"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建设内容</w:t>
            </w:r>
          </w:p>
        </w:tc>
        <w:tc>
          <w:tcPr>
            <w:tcW w:w="8161" w:type="dxa"/>
            <w:gridSpan w:val="2"/>
            <w:vAlign w:val="top"/>
          </w:tcPr>
          <w:p>
            <w:pPr>
              <w:bidi w:val="0"/>
              <w:rPr>
                <w:rFonts w:hint="eastAsia"/>
                <w:b/>
                <w:bCs/>
                <w:lang w:val="en-US" w:eastAsia="zh-CN"/>
              </w:rPr>
            </w:pPr>
            <w:r>
              <w:rPr>
                <w:rFonts w:hint="eastAsia"/>
                <w:b/>
                <w:bCs/>
                <w:lang w:val="en-US" w:eastAsia="zh-CN"/>
              </w:rPr>
              <w:t>1、项目基本情况</w:t>
            </w:r>
          </w:p>
          <w:p>
            <w:pPr>
              <w:bidi w:val="0"/>
              <w:rPr>
                <w:rFonts w:hint="default" w:ascii="Times New Roman" w:hAnsi="Times New Roman" w:cs="Times New Roman"/>
                <w:szCs w:val="21"/>
              </w:rPr>
            </w:pPr>
            <w:r>
              <w:rPr>
                <w:rFonts w:hint="eastAsia"/>
                <w:lang w:val="en-US" w:eastAsia="zh-CN"/>
              </w:rPr>
              <w:t>项目名称：</w:t>
            </w:r>
            <w:r>
              <w:rPr>
                <w:rFonts w:hint="default" w:ascii="Times New Roman" w:hAnsi="Times New Roman" w:cs="Times New Roman"/>
                <w:szCs w:val="21"/>
              </w:rPr>
              <w:t>内蒙古繁荣商贸有限公司混凝土搅拌站项目</w:t>
            </w:r>
          </w:p>
          <w:p>
            <w:pPr>
              <w:bidi w:val="0"/>
              <w:rPr>
                <w:rFonts w:hint="default" w:ascii="Times New Roman" w:hAnsi="Times New Roman" w:cs="Times New Roman"/>
                <w:szCs w:val="21"/>
              </w:rPr>
            </w:pPr>
            <w:r>
              <w:rPr>
                <w:rFonts w:hint="eastAsia" w:ascii="Times New Roman" w:hAnsi="Times New Roman" w:cs="Times New Roman"/>
                <w:szCs w:val="21"/>
                <w:lang w:val="en-US" w:eastAsia="zh-CN"/>
              </w:rPr>
              <w:t>建设单位：</w:t>
            </w:r>
            <w:r>
              <w:rPr>
                <w:rFonts w:hint="default" w:ascii="Times New Roman" w:hAnsi="Times New Roman" w:cs="Times New Roman"/>
                <w:szCs w:val="21"/>
              </w:rPr>
              <w:t>内蒙古繁荣商贸有限公司</w:t>
            </w:r>
          </w:p>
          <w:p>
            <w:pPr>
              <w:bidi w:val="0"/>
              <w:rPr>
                <w:rFonts w:hint="eastAsia" w:ascii="Times New Roman" w:hAnsi="Times New Roman" w:cs="Times New Roman"/>
                <w:szCs w:val="21"/>
                <w:highlight w:val="none"/>
                <w:lang w:val="en-US" w:eastAsia="zh-CN"/>
              </w:rPr>
            </w:pPr>
            <w:r>
              <w:rPr>
                <w:rFonts w:hint="eastAsia" w:ascii="Times New Roman" w:hAnsi="Times New Roman" w:cs="Times New Roman"/>
                <w:szCs w:val="21"/>
                <w:lang w:val="en-US" w:eastAsia="zh-CN"/>
              </w:rPr>
              <w:t>建设性质：新建</w:t>
            </w:r>
          </w:p>
          <w:p>
            <w:pPr>
              <w:bidi w:val="0"/>
              <w:rPr>
                <w:rFonts w:hint="default" w:ascii="Times New Roman" w:hAnsi="Times New Roman" w:cs="Times New Roman"/>
                <w:szCs w:val="21"/>
                <w:highlight w:val="none"/>
                <w:lang w:val="en-US" w:eastAsia="zh-CN"/>
              </w:rPr>
            </w:pPr>
            <w:r>
              <w:rPr>
                <w:rFonts w:hint="eastAsia" w:ascii="Times New Roman" w:hAnsi="Times New Roman" w:cs="Times New Roman"/>
                <w:szCs w:val="21"/>
                <w:highlight w:val="none"/>
                <w:lang w:val="en-US" w:eastAsia="zh-CN"/>
              </w:rPr>
              <w:t>项目投资：本项目总投金额为980万元，其中环保投资金额为1</w:t>
            </w:r>
            <w:r>
              <w:rPr>
                <w:rFonts w:hint="eastAsia" w:cs="Times New Roman"/>
                <w:szCs w:val="21"/>
                <w:highlight w:val="none"/>
                <w:lang w:val="en-US" w:eastAsia="zh-CN"/>
              </w:rPr>
              <w:t>40</w:t>
            </w:r>
            <w:r>
              <w:rPr>
                <w:rFonts w:hint="eastAsia" w:ascii="Times New Roman" w:hAnsi="Times New Roman" w:cs="Times New Roman"/>
                <w:szCs w:val="21"/>
                <w:highlight w:val="none"/>
                <w:lang w:val="en-US" w:eastAsia="zh-CN"/>
              </w:rPr>
              <w:t>万元，占总投金额的</w:t>
            </w:r>
            <w:r>
              <w:rPr>
                <w:rFonts w:hint="eastAsia" w:cs="Times New Roman"/>
                <w:szCs w:val="21"/>
                <w:highlight w:val="none"/>
                <w:lang w:val="en-US" w:eastAsia="zh-CN"/>
              </w:rPr>
              <w:t>14.29</w:t>
            </w:r>
            <w:r>
              <w:rPr>
                <w:rFonts w:hint="eastAsia" w:ascii="Times New Roman" w:hAnsi="Times New Roman" w:cs="Times New Roman"/>
                <w:szCs w:val="21"/>
                <w:highlight w:val="none"/>
                <w:lang w:val="en-US" w:eastAsia="zh-CN"/>
              </w:rPr>
              <w:t>%。</w:t>
            </w:r>
          </w:p>
          <w:p>
            <w:pPr>
              <w:bidi w:val="0"/>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建设地点：位于内蒙古自治区鄂尔多斯市伊金霍洛旗苏布尔嘎镇敏盖村，厂址中心坐标为E109°22′55.851″，N39°31′50.737″。项目地理位置图见附图1。</w:t>
            </w:r>
          </w:p>
          <w:p>
            <w:pPr>
              <w:bidi w:val="0"/>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建设内容及规模：本项目采用2</w:t>
            </w:r>
            <w:r>
              <w:rPr>
                <w:rFonts w:hint="eastAsia" w:cs="Times New Roman"/>
                <w:szCs w:val="21"/>
                <w:lang w:val="en-US" w:eastAsia="zh-CN"/>
              </w:rPr>
              <w:t>×</w:t>
            </w:r>
            <w:r>
              <w:rPr>
                <w:rFonts w:hint="eastAsia" w:ascii="Times New Roman" w:hAnsi="Times New Roman" w:cs="Times New Roman"/>
                <w:szCs w:val="21"/>
                <w:lang w:val="en-US" w:eastAsia="zh-CN"/>
              </w:rPr>
              <w:t>HZS120型水泥混凝土搅拌站设计年产能360万m³混凝土。主要建设内容：包括配料站、皮带机、搅拌主机、搅拌主楼、成品砼卸料斗、主楼脉冲除尘、骨料过渡仓、水计量系统、外加剂计量系统、水泥计量系统、粉灰计量系统、矿粉计量系统、主机监控门、气动系统、电控系统设备。同时建设办公室、实验室、排水系统、供电系统、照明系统、消防系统、场地硬化配套基础设施。</w:t>
            </w:r>
          </w:p>
          <w:p>
            <w:pPr>
              <w:bidi w:val="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本项目工程具体组成见表2-1。</w:t>
            </w:r>
          </w:p>
          <w:p>
            <w:pPr>
              <w:bidi w:val="0"/>
              <w:ind w:left="0" w:leftChars="0" w:firstLine="0" w:firstLineChars="0"/>
              <w:jc w:val="center"/>
              <w:rPr>
                <w:rFonts w:hint="default" w:eastAsia="宋体"/>
                <w:b/>
                <w:bCs/>
                <w:lang w:val="en-US" w:eastAsia="zh-CN"/>
              </w:rPr>
            </w:pPr>
            <w:r>
              <w:rPr>
                <w:rFonts w:hint="eastAsia" w:ascii="Times New Roman" w:hAnsi="Times New Roman" w:eastAsia="宋体" w:cs="Times New Roman"/>
                <w:b/>
                <w:bCs/>
                <w:szCs w:val="21"/>
                <w:lang w:val="en-US" w:eastAsia="zh-CN"/>
              </w:rPr>
              <w:t>表2-1项目组成一览表</w:t>
            </w:r>
          </w:p>
          <w:tbl>
            <w:tblPr>
              <w:tblStyle w:val="9"/>
              <w:tblW w:w="7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414"/>
              <w:gridCol w:w="5166"/>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0"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r>
                    <w:rPr>
                      <w:szCs w:val="21"/>
                      <w:highlight w:val="none"/>
                    </w:rPr>
                    <w:t>类别</w:t>
                  </w:r>
                </w:p>
              </w:tc>
              <w:tc>
                <w:tcPr>
                  <w:tcW w:w="1414"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r>
                    <w:rPr>
                      <w:szCs w:val="21"/>
                      <w:highlight w:val="none"/>
                    </w:rPr>
                    <w:t>工程名称</w:t>
                  </w:r>
                </w:p>
              </w:tc>
              <w:tc>
                <w:tcPr>
                  <w:tcW w:w="5166"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r>
                    <w:rPr>
                      <w:szCs w:val="21"/>
                      <w:highlight w:val="none"/>
                    </w:rPr>
                    <w:t>建设内容及规模</w:t>
                  </w:r>
                </w:p>
              </w:tc>
              <w:tc>
                <w:tcPr>
                  <w:tcW w:w="715"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r>
                    <w:rPr>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640"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r>
                    <w:rPr>
                      <w:szCs w:val="21"/>
                      <w:highlight w:val="none"/>
                    </w:rPr>
                    <w:t>主体</w:t>
                  </w:r>
                </w:p>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r>
                    <w:rPr>
                      <w:szCs w:val="21"/>
                      <w:highlight w:val="none"/>
                    </w:rPr>
                    <w:t>工程</w:t>
                  </w:r>
                </w:p>
              </w:tc>
              <w:tc>
                <w:tcPr>
                  <w:tcW w:w="1414"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r>
                    <w:rPr>
                      <w:rFonts w:hint="eastAsia"/>
                      <w:szCs w:val="21"/>
                      <w:highlight w:val="none"/>
                    </w:rPr>
                    <w:t>混凝土</w:t>
                  </w:r>
                  <w:r>
                    <w:rPr>
                      <w:szCs w:val="21"/>
                      <w:highlight w:val="none"/>
                    </w:rPr>
                    <w:t>搅拌</w:t>
                  </w:r>
                  <w:r>
                    <w:rPr>
                      <w:rFonts w:hint="eastAsia"/>
                      <w:szCs w:val="21"/>
                      <w:highlight w:val="none"/>
                    </w:rPr>
                    <w:t>站</w:t>
                  </w:r>
                </w:p>
              </w:tc>
              <w:tc>
                <w:tcPr>
                  <w:tcW w:w="5166"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eastAsia="宋体"/>
                      <w:szCs w:val="21"/>
                      <w:highlight w:val="none"/>
                      <w:lang w:val="en-US" w:eastAsia="zh-CN"/>
                    </w:rPr>
                  </w:pPr>
                  <w:r>
                    <w:rPr>
                      <w:rFonts w:hint="eastAsia"/>
                      <w:szCs w:val="21"/>
                      <w:highlight w:val="none"/>
                    </w:rPr>
                    <w:t>建设</w:t>
                  </w:r>
                  <w:r>
                    <w:rPr>
                      <w:rFonts w:hint="eastAsia"/>
                      <w:szCs w:val="21"/>
                      <w:highlight w:val="none"/>
                      <w:lang w:val="en-US" w:eastAsia="zh-CN"/>
                    </w:rPr>
                    <w:t>2</w:t>
                  </w:r>
                  <w:r>
                    <w:rPr>
                      <w:rFonts w:hint="eastAsia"/>
                      <w:szCs w:val="21"/>
                      <w:highlight w:val="none"/>
                    </w:rPr>
                    <w:t>条生产线，HZS180混凝土搅拌站</w:t>
                  </w:r>
                  <w:r>
                    <w:rPr>
                      <w:rFonts w:hint="eastAsia"/>
                      <w:szCs w:val="21"/>
                      <w:highlight w:val="none"/>
                      <w:lang w:val="en-US" w:eastAsia="zh-CN"/>
                    </w:rPr>
                    <w:t>2</w:t>
                  </w:r>
                  <w:r>
                    <w:rPr>
                      <w:szCs w:val="21"/>
                      <w:highlight w:val="none"/>
                    </w:rPr>
                    <w:t>套，</w:t>
                  </w:r>
                  <w:r>
                    <w:rPr>
                      <w:rFonts w:hint="eastAsia"/>
                      <w:szCs w:val="21"/>
                      <w:highlight w:val="none"/>
                      <w:lang w:val="en-US" w:eastAsia="zh-CN"/>
                    </w:rPr>
                    <w:t>配备配料站、皮带机、搅拌机主机、搅拌机主楼、成品砼卸料斗、主楼脉冲除尘、骨料过渡仓、水计量系统、外加剂计量系统、主机监控门、气动系统、电控系统设备。年产混凝土360万m³。</w:t>
                  </w:r>
                </w:p>
              </w:tc>
              <w:tc>
                <w:tcPr>
                  <w:tcW w:w="715"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eastAsia="宋体"/>
                      <w:szCs w:val="21"/>
                      <w:highlight w:val="none"/>
                      <w:lang w:val="en-US" w:eastAsia="zh-CN"/>
                    </w:rPr>
                  </w:pPr>
                  <w:r>
                    <w:rPr>
                      <w:rFonts w:hint="eastAsia"/>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640" w:type="dxa"/>
                  <w:vMerge w:val="restart"/>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r>
                    <w:rPr>
                      <w:szCs w:val="21"/>
                      <w:highlight w:val="none"/>
                    </w:rPr>
                    <w:t>储运工程</w:t>
                  </w:r>
                </w:p>
              </w:tc>
              <w:tc>
                <w:tcPr>
                  <w:tcW w:w="1414" w:type="dxa"/>
                  <w:tcMar>
                    <w:left w:w="28" w:type="dxa"/>
                    <w:right w:w="28" w:type="dxa"/>
                  </w:tcMar>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eastAsia="宋体"/>
                      <w:kern w:val="0"/>
                      <w:szCs w:val="21"/>
                      <w:highlight w:val="none"/>
                      <w:lang w:val="en-US" w:eastAsia="zh-CN"/>
                    </w:rPr>
                  </w:pPr>
                  <w:r>
                    <w:rPr>
                      <w:rFonts w:hint="eastAsia"/>
                      <w:kern w:val="0"/>
                      <w:szCs w:val="21"/>
                      <w:highlight w:val="none"/>
                      <w:lang w:val="en-US" w:eastAsia="zh-CN"/>
                    </w:rPr>
                    <w:t>原料堆场</w:t>
                  </w:r>
                </w:p>
              </w:tc>
              <w:tc>
                <w:tcPr>
                  <w:tcW w:w="5166"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eastAsia="宋体"/>
                      <w:szCs w:val="21"/>
                      <w:highlight w:val="none"/>
                      <w:lang w:val="en-US" w:eastAsia="zh-CN"/>
                    </w:rPr>
                  </w:pPr>
                  <w:r>
                    <w:rPr>
                      <w:rFonts w:hint="eastAsia"/>
                      <w:szCs w:val="21"/>
                      <w:highlight w:val="none"/>
                      <w:lang w:val="en-US" w:eastAsia="zh-CN"/>
                    </w:rPr>
                    <w:t>建设1座全封闭原料堆场，建筑面积1000㎡，水泥硬化地面，用于分区存放原料砂子、碎石，最大高度6m，用于堆放骨料的面积约为800㎡，骨料堆平均高度4.8m，设置2个车辆进出口。内分隔出2个区域，每个区域面积约400㎡，分别用于储存砂子、碎石，砂子最大储量2500t，碎石最大储量2850t。</w:t>
                  </w:r>
                </w:p>
              </w:tc>
              <w:tc>
                <w:tcPr>
                  <w:tcW w:w="715"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eastAsia="宋体"/>
                      <w:szCs w:val="21"/>
                      <w:highlight w:val="none"/>
                      <w:lang w:val="en-US" w:eastAsia="zh-CN"/>
                    </w:rPr>
                  </w:pPr>
                  <w:r>
                    <w:rPr>
                      <w:rFonts w:hint="eastAsia"/>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640" w:type="dxa"/>
                  <w:vMerge w:val="continue"/>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p>
              </w:tc>
              <w:tc>
                <w:tcPr>
                  <w:tcW w:w="1414" w:type="dxa"/>
                  <w:tcMar>
                    <w:left w:w="28" w:type="dxa"/>
                    <w:right w:w="28" w:type="dxa"/>
                  </w:tcMar>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kern w:val="0"/>
                      <w:szCs w:val="21"/>
                      <w:highlight w:val="none"/>
                    </w:rPr>
                  </w:pPr>
                  <w:r>
                    <w:rPr>
                      <w:kern w:val="0"/>
                      <w:szCs w:val="21"/>
                      <w:highlight w:val="none"/>
                    </w:rPr>
                    <w:t>水泥筒仓</w:t>
                  </w:r>
                </w:p>
              </w:tc>
              <w:tc>
                <w:tcPr>
                  <w:tcW w:w="5166"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eastAsia="宋体"/>
                      <w:szCs w:val="21"/>
                      <w:highlight w:val="none"/>
                      <w:lang w:val="en-US" w:eastAsia="zh-CN"/>
                    </w:rPr>
                  </w:pPr>
                  <w:r>
                    <w:rPr>
                      <w:rFonts w:hint="default" w:eastAsia="宋体"/>
                      <w:szCs w:val="21"/>
                      <w:highlight w:val="none"/>
                      <w:lang w:val="en-US" w:eastAsia="zh-CN"/>
                    </w:rPr>
                    <w:t>配备的4座</w:t>
                  </w:r>
                  <w:r>
                    <w:rPr>
                      <w:rFonts w:hint="eastAsia"/>
                      <w:szCs w:val="21"/>
                      <w:highlight w:val="none"/>
                      <w:lang w:val="en-US" w:eastAsia="zh-CN"/>
                    </w:rPr>
                    <w:t>150m³</w:t>
                  </w:r>
                  <w:r>
                    <w:rPr>
                      <w:rFonts w:hint="default" w:eastAsia="宋体"/>
                      <w:szCs w:val="21"/>
                      <w:highlight w:val="none"/>
                      <w:lang w:val="en-US" w:eastAsia="zh-CN"/>
                    </w:rPr>
                    <w:t>的水泥筒仓，单个最大储存量均为</w:t>
                  </w:r>
                  <w:r>
                    <w:rPr>
                      <w:rFonts w:hint="eastAsia"/>
                      <w:szCs w:val="21"/>
                      <w:highlight w:val="none"/>
                      <w:lang w:val="en-US" w:eastAsia="zh-CN"/>
                    </w:rPr>
                    <w:t>2</w:t>
                  </w:r>
                  <w:r>
                    <w:rPr>
                      <w:rFonts w:hint="default" w:eastAsia="宋体"/>
                      <w:szCs w:val="21"/>
                      <w:highlight w:val="none"/>
                      <w:lang w:val="en-US" w:eastAsia="zh-CN"/>
                    </w:rPr>
                    <w:t>00t，筒仓高度均为</w:t>
                  </w:r>
                  <w:r>
                    <w:rPr>
                      <w:rFonts w:hint="eastAsia"/>
                      <w:szCs w:val="21"/>
                      <w:highlight w:val="none"/>
                      <w:lang w:val="en-US" w:eastAsia="zh-CN"/>
                    </w:rPr>
                    <w:t>5.1</w:t>
                  </w:r>
                  <w:r>
                    <w:rPr>
                      <w:rFonts w:hint="default" w:eastAsia="宋体"/>
                      <w:szCs w:val="21"/>
                      <w:highlight w:val="none"/>
                      <w:lang w:val="en-US" w:eastAsia="zh-CN"/>
                    </w:rPr>
                    <w:t>m，厂区水泥最大储存量</w:t>
                  </w:r>
                  <w:r>
                    <w:rPr>
                      <w:rFonts w:hint="eastAsia"/>
                      <w:szCs w:val="21"/>
                      <w:highlight w:val="none"/>
                      <w:lang w:val="en-US" w:eastAsia="zh-CN"/>
                    </w:rPr>
                    <w:t>800</w:t>
                  </w:r>
                  <w:r>
                    <w:rPr>
                      <w:rFonts w:hint="default" w:eastAsia="宋体"/>
                      <w:szCs w:val="21"/>
                      <w:highlight w:val="none"/>
                      <w:lang w:val="en-US" w:eastAsia="zh-CN"/>
                    </w:rPr>
                    <w:t>t</w:t>
                  </w:r>
                  <w:r>
                    <w:rPr>
                      <w:rFonts w:hint="eastAsia"/>
                      <w:szCs w:val="21"/>
                      <w:highlight w:val="none"/>
                      <w:lang w:val="en-US" w:eastAsia="zh-CN"/>
                    </w:rPr>
                    <w:t>。</w:t>
                  </w:r>
                </w:p>
              </w:tc>
              <w:tc>
                <w:tcPr>
                  <w:tcW w:w="715"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eastAsia="宋体"/>
                      <w:szCs w:val="21"/>
                      <w:highlight w:val="none"/>
                      <w:lang w:val="en-US" w:eastAsia="zh-CN"/>
                    </w:rPr>
                  </w:pPr>
                  <w:r>
                    <w:rPr>
                      <w:rFonts w:hint="eastAsia"/>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40" w:type="dxa"/>
                  <w:vMerge w:val="continue"/>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p>
              </w:tc>
              <w:tc>
                <w:tcPr>
                  <w:tcW w:w="1414" w:type="dxa"/>
                  <w:tcMar>
                    <w:left w:w="28" w:type="dxa"/>
                    <w:right w:w="28" w:type="dxa"/>
                  </w:tcMar>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kern w:val="0"/>
                      <w:szCs w:val="21"/>
                      <w:highlight w:val="none"/>
                    </w:rPr>
                  </w:pPr>
                  <w:r>
                    <w:rPr>
                      <w:kern w:val="0"/>
                      <w:szCs w:val="21"/>
                      <w:highlight w:val="none"/>
                    </w:rPr>
                    <w:t>粉煤灰筒仓</w:t>
                  </w:r>
                </w:p>
              </w:tc>
              <w:tc>
                <w:tcPr>
                  <w:tcW w:w="5166"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eastAsia"/>
                      <w:szCs w:val="21"/>
                      <w:highlight w:val="none"/>
                    </w:rPr>
                  </w:pPr>
                  <w:r>
                    <w:rPr>
                      <w:rFonts w:hint="eastAsia"/>
                      <w:szCs w:val="21"/>
                      <w:highlight w:val="none"/>
                      <w:lang w:val="en-US" w:eastAsia="zh-CN"/>
                    </w:rPr>
                    <w:t>配备的2座150m³的粉煤灰筒仓，单个储存量为200t，厂区内粉煤灰最大储存量400t。</w:t>
                  </w:r>
                </w:p>
              </w:tc>
              <w:tc>
                <w:tcPr>
                  <w:tcW w:w="715"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szCs w:val="21"/>
                      <w:highlight w:val="none"/>
                    </w:rPr>
                  </w:pPr>
                  <w:r>
                    <w:rPr>
                      <w:rFonts w:hint="eastAsia"/>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0" w:type="dxa"/>
                  <w:vMerge w:val="continue"/>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p>
              </w:tc>
              <w:tc>
                <w:tcPr>
                  <w:tcW w:w="1414" w:type="dxa"/>
                  <w:tcMar>
                    <w:left w:w="28" w:type="dxa"/>
                    <w:right w:w="28" w:type="dxa"/>
                  </w:tcMar>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eastAsia="宋体"/>
                      <w:kern w:val="0"/>
                      <w:szCs w:val="21"/>
                      <w:highlight w:val="none"/>
                      <w:lang w:val="en-US" w:eastAsia="zh-CN"/>
                    </w:rPr>
                  </w:pPr>
                  <w:r>
                    <w:rPr>
                      <w:rFonts w:hint="eastAsia"/>
                      <w:kern w:val="0"/>
                      <w:szCs w:val="21"/>
                      <w:highlight w:val="none"/>
                      <w:lang w:val="en-US" w:eastAsia="zh-CN"/>
                    </w:rPr>
                    <w:t>矿粉筒仓</w:t>
                  </w:r>
                </w:p>
              </w:tc>
              <w:tc>
                <w:tcPr>
                  <w:tcW w:w="5166"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eastAsia"/>
                      <w:szCs w:val="21"/>
                      <w:highlight w:val="none"/>
                    </w:rPr>
                  </w:pPr>
                  <w:r>
                    <w:rPr>
                      <w:rFonts w:hint="eastAsia"/>
                      <w:szCs w:val="21"/>
                      <w:highlight w:val="none"/>
                      <w:lang w:val="en-US" w:eastAsia="zh-CN"/>
                    </w:rPr>
                    <w:t>配备的2座150m³的矿粉筒仓，单个储存量为200t，厂区内矿粉最大储存量400t。</w:t>
                  </w:r>
                </w:p>
              </w:tc>
              <w:tc>
                <w:tcPr>
                  <w:tcW w:w="715"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szCs w:val="21"/>
                      <w:highlight w:val="none"/>
                    </w:rPr>
                  </w:pPr>
                  <w:r>
                    <w:rPr>
                      <w:rFonts w:hint="eastAsia"/>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640" w:type="dxa"/>
                  <w:vMerge w:val="continue"/>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p>
              </w:tc>
              <w:tc>
                <w:tcPr>
                  <w:tcW w:w="1414" w:type="dxa"/>
                  <w:tcMar>
                    <w:left w:w="28" w:type="dxa"/>
                    <w:right w:w="28" w:type="dxa"/>
                  </w:tcMar>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eastAsia="宋体"/>
                      <w:kern w:val="0"/>
                      <w:szCs w:val="21"/>
                      <w:highlight w:val="none"/>
                      <w:lang w:val="en-US" w:eastAsia="zh-CN"/>
                    </w:rPr>
                  </w:pPr>
                  <w:r>
                    <w:rPr>
                      <w:rFonts w:hint="eastAsia"/>
                      <w:kern w:val="0"/>
                      <w:szCs w:val="21"/>
                      <w:highlight w:val="none"/>
                      <w:lang w:val="en-US" w:eastAsia="zh-CN"/>
                    </w:rPr>
                    <w:t>外加剂储存罐</w:t>
                  </w:r>
                </w:p>
              </w:tc>
              <w:tc>
                <w:tcPr>
                  <w:tcW w:w="5166"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eastAsia" w:eastAsia="宋体"/>
                      <w:szCs w:val="21"/>
                      <w:highlight w:val="none"/>
                      <w:lang w:val="en-US" w:eastAsia="zh-CN"/>
                    </w:rPr>
                  </w:pPr>
                  <w:r>
                    <w:rPr>
                      <w:rFonts w:hint="eastAsia"/>
                      <w:szCs w:val="21"/>
                      <w:highlight w:val="none"/>
                      <w:lang w:val="en-US" w:eastAsia="zh-CN"/>
                    </w:rPr>
                    <w:t>配套4个10m³的液体储罐，单个储存量10t，总储存量40t，高度均为3m。</w:t>
                  </w:r>
                </w:p>
              </w:tc>
              <w:tc>
                <w:tcPr>
                  <w:tcW w:w="715"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r>
                    <w:rPr>
                      <w:rFonts w:hint="eastAsia"/>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0" w:type="dxa"/>
                  <w:vMerge w:val="continue"/>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p>
              </w:tc>
              <w:tc>
                <w:tcPr>
                  <w:tcW w:w="1414" w:type="dxa"/>
                  <w:tcMar>
                    <w:left w:w="28" w:type="dxa"/>
                    <w:right w:w="28" w:type="dxa"/>
                  </w:tcMar>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center"/>
                    <w:textAlignment w:val="auto"/>
                    <w:rPr>
                      <w:rFonts w:hint="default" w:eastAsia="宋体"/>
                      <w:kern w:val="0"/>
                      <w:szCs w:val="21"/>
                      <w:highlight w:val="none"/>
                      <w:lang w:val="en-US" w:eastAsia="zh-CN"/>
                    </w:rPr>
                  </w:pPr>
                  <w:r>
                    <w:rPr>
                      <w:rFonts w:hint="eastAsia"/>
                      <w:kern w:val="0"/>
                      <w:szCs w:val="21"/>
                      <w:highlight w:val="none"/>
                      <w:lang w:val="en-US" w:eastAsia="zh-CN"/>
                    </w:rPr>
                    <w:t>输送系统</w:t>
                  </w:r>
                </w:p>
              </w:tc>
              <w:tc>
                <w:tcPr>
                  <w:tcW w:w="5166"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szCs w:val="21"/>
                      <w:highlight w:val="none"/>
                    </w:rPr>
                  </w:pPr>
                  <w:r>
                    <w:rPr>
                      <w:rFonts w:hint="eastAsia"/>
                      <w:szCs w:val="21"/>
                      <w:highlight w:val="none"/>
                      <w:lang w:val="en-US" w:eastAsia="zh-CN"/>
                    </w:rPr>
                    <w:t>①</w:t>
                  </w:r>
                  <w:r>
                    <w:rPr>
                      <w:szCs w:val="21"/>
                      <w:highlight w:val="none"/>
                      <w:lang w:val="en-US" w:eastAsia="zh-CN"/>
                    </w:rPr>
                    <w:t>粉料卸料和输送：粉料由运输车量通过搅拌棚外设置的</w:t>
                  </w:r>
                  <w:r>
                    <w:rPr>
                      <w:rFonts w:hint="eastAsia"/>
                      <w:szCs w:val="21"/>
                      <w:highlight w:val="none"/>
                      <w:lang w:val="en-US" w:eastAsia="zh-CN"/>
                    </w:rPr>
                    <w:t>全封闭</w:t>
                  </w:r>
                  <w:r>
                    <w:rPr>
                      <w:szCs w:val="21"/>
                      <w:highlight w:val="none"/>
                      <w:lang w:val="en-US" w:eastAsia="zh-CN"/>
                    </w:rPr>
                    <w:t>软管气力输</w:t>
                  </w:r>
                  <w:r>
                    <w:rPr>
                      <w:rFonts w:hint="eastAsia"/>
                      <w:szCs w:val="21"/>
                      <w:highlight w:val="none"/>
                      <w:lang w:val="en-US" w:eastAsia="zh-CN"/>
                    </w:rPr>
                    <w:t>送至筒仓，粉料运输车不进入搅拌棚内。筒仓内的粉料全部通过密闭管道运输、计量和投料；</w:t>
                  </w:r>
                </w:p>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szCs w:val="21"/>
                      <w:highlight w:val="none"/>
                    </w:rPr>
                  </w:pPr>
                  <w:r>
                    <w:rPr>
                      <w:rFonts w:hint="eastAsia"/>
                      <w:szCs w:val="21"/>
                      <w:highlight w:val="none"/>
                      <w:lang w:val="en-US" w:eastAsia="zh-CN"/>
                    </w:rPr>
                    <w:t>②</w:t>
                  </w:r>
                  <w:r>
                    <w:rPr>
                      <w:szCs w:val="21"/>
                      <w:highlight w:val="none"/>
                      <w:lang w:val="en-US" w:eastAsia="zh-CN"/>
                    </w:rPr>
                    <w:t>骨料卸料和输送：卸料点三面围</w:t>
                  </w:r>
                  <w:r>
                    <w:rPr>
                      <w:rFonts w:hint="eastAsia"/>
                      <w:szCs w:val="21"/>
                      <w:highlight w:val="none"/>
                      <w:lang w:val="en-US" w:eastAsia="zh-CN"/>
                    </w:rPr>
                    <w:t>挡，骨料卸料至原料堆场，原料堆场内南部设置上料口，由铲车辅助上料，上料完成后再由密闭的皮带输送机投料至搅拌机内。</w:t>
                  </w:r>
                </w:p>
              </w:tc>
              <w:tc>
                <w:tcPr>
                  <w:tcW w:w="715"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eastAsia="宋体"/>
                      <w:szCs w:val="21"/>
                      <w:highlight w:val="none"/>
                      <w:lang w:val="en-US" w:eastAsia="zh-CN"/>
                    </w:rPr>
                  </w:pPr>
                  <w:r>
                    <w:rPr>
                      <w:rFonts w:hint="eastAsia"/>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640" w:type="dxa"/>
                  <w:vMerge w:val="restart"/>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r>
                    <w:rPr>
                      <w:szCs w:val="21"/>
                      <w:highlight w:val="none"/>
                    </w:rPr>
                    <w:t>辅助工程</w:t>
                  </w:r>
                </w:p>
              </w:tc>
              <w:tc>
                <w:tcPr>
                  <w:tcW w:w="1414"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kern w:val="0"/>
                      <w:szCs w:val="21"/>
                      <w:highlight w:val="none"/>
                    </w:rPr>
                  </w:pPr>
                  <w:r>
                    <w:rPr>
                      <w:kern w:val="0"/>
                      <w:szCs w:val="21"/>
                      <w:highlight w:val="none"/>
                    </w:rPr>
                    <w:t>办公</w:t>
                  </w:r>
                  <w:r>
                    <w:rPr>
                      <w:rFonts w:hint="eastAsia"/>
                      <w:kern w:val="0"/>
                      <w:szCs w:val="21"/>
                      <w:highlight w:val="none"/>
                    </w:rPr>
                    <w:t>区</w:t>
                  </w:r>
                </w:p>
              </w:tc>
              <w:tc>
                <w:tcPr>
                  <w:tcW w:w="5166"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eastAsia="宋体"/>
                      <w:szCs w:val="21"/>
                      <w:highlight w:val="none"/>
                      <w:lang w:val="en-US" w:eastAsia="zh-CN"/>
                    </w:rPr>
                  </w:pPr>
                  <w:r>
                    <w:rPr>
                      <w:rFonts w:hint="eastAsia"/>
                      <w:szCs w:val="21"/>
                      <w:highlight w:val="none"/>
                      <w:lang w:val="en-US" w:eastAsia="zh-CN"/>
                    </w:rPr>
                    <w:t>办公区位于厂区的北侧，建筑面积约为500㎡。</w:t>
                  </w:r>
                </w:p>
              </w:tc>
              <w:tc>
                <w:tcPr>
                  <w:tcW w:w="715"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eastAsia="宋体"/>
                      <w:szCs w:val="21"/>
                      <w:highlight w:val="none"/>
                      <w:lang w:val="en-US" w:eastAsia="zh-CN"/>
                    </w:rPr>
                  </w:pPr>
                  <w:r>
                    <w:rPr>
                      <w:rFonts w:hint="eastAsia"/>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0" w:type="dxa"/>
                  <w:vMerge w:val="continue"/>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p>
              </w:tc>
              <w:tc>
                <w:tcPr>
                  <w:tcW w:w="1414"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eastAsia="宋体"/>
                      <w:kern w:val="0"/>
                      <w:szCs w:val="21"/>
                      <w:highlight w:val="none"/>
                      <w:lang w:val="en-US" w:eastAsia="zh-CN"/>
                    </w:rPr>
                  </w:pPr>
                  <w:r>
                    <w:rPr>
                      <w:rFonts w:hint="eastAsia"/>
                      <w:kern w:val="0"/>
                      <w:szCs w:val="21"/>
                      <w:highlight w:val="none"/>
                      <w:lang w:val="en-US" w:eastAsia="zh-CN"/>
                    </w:rPr>
                    <w:t>地磅</w:t>
                  </w:r>
                </w:p>
              </w:tc>
              <w:tc>
                <w:tcPr>
                  <w:tcW w:w="5166"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eastAsia"/>
                      <w:szCs w:val="21"/>
                      <w:highlight w:val="none"/>
                    </w:rPr>
                  </w:pPr>
                  <w:r>
                    <w:rPr>
                      <w:rFonts w:hint="eastAsia"/>
                      <w:szCs w:val="21"/>
                      <w:highlight w:val="none"/>
                      <w:lang w:val="en-US" w:eastAsia="zh-CN"/>
                    </w:rPr>
                    <w:t>厂区厂门设置1台150t的地磅，占地面积50㎡。</w:t>
                  </w:r>
                </w:p>
              </w:tc>
              <w:tc>
                <w:tcPr>
                  <w:tcW w:w="715"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szCs w:val="21"/>
                      <w:highlight w:val="none"/>
                    </w:rPr>
                  </w:pPr>
                  <w:r>
                    <w:rPr>
                      <w:rFonts w:hint="eastAsia"/>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0" w:type="dxa"/>
                  <w:vMerge w:val="continue"/>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p>
              </w:tc>
              <w:tc>
                <w:tcPr>
                  <w:tcW w:w="1414"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kern w:val="0"/>
                      <w:szCs w:val="21"/>
                      <w:highlight w:val="none"/>
                      <w:lang w:val="en-US" w:eastAsia="zh-CN"/>
                    </w:rPr>
                  </w:pPr>
                  <w:r>
                    <w:rPr>
                      <w:rFonts w:hint="eastAsia"/>
                      <w:kern w:val="0"/>
                      <w:szCs w:val="21"/>
                      <w:highlight w:val="none"/>
                      <w:lang w:val="en-US" w:eastAsia="zh-CN"/>
                    </w:rPr>
                    <w:t>实验室</w:t>
                  </w:r>
                </w:p>
              </w:tc>
              <w:tc>
                <w:tcPr>
                  <w:tcW w:w="5166"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eastAsia"/>
                      <w:szCs w:val="21"/>
                      <w:highlight w:val="none"/>
                    </w:rPr>
                  </w:pPr>
                  <w:r>
                    <w:rPr>
                      <w:rFonts w:hint="eastAsia"/>
                      <w:szCs w:val="21"/>
                      <w:highlight w:val="none"/>
                      <w:lang w:val="en-US" w:eastAsia="zh-CN"/>
                    </w:rPr>
                    <w:t>新建1座实验室，建筑面积50㎡，用于检测原料和混凝土的各项物理指标，如砂石颗粒级配、含水率，外加剂</w:t>
                  </w:r>
                </w:p>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eastAsia"/>
                      <w:szCs w:val="21"/>
                      <w:highlight w:val="none"/>
                    </w:rPr>
                  </w:pPr>
                  <w:r>
                    <w:rPr>
                      <w:rFonts w:hint="eastAsia"/>
                      <w:szCs w:val="21"/>
                      <w:highlight w:val="none"/>
                      <w:lang w:val="en-US" w:eastAsia="zh-CN"/>
                    </w:rPr>
                    <w:t>pH值、含固量，混凝土产品抗压强度、抗渗性能等。</w:t>
                  </w:r>
                </w:p>
              </w:tc>
              <w:tc>
                <w:tcPr>
                  <w:tcW w:w="715"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szCs w:val="21"/>
                      <w:highlight w:val="none"/>
                    </w:rPr>
                  </w:pPr>
                  <w:r>
                    <w:rPr>
                      <w:rFonts w:hint="eastAsia"/>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0" w:type="dxa"/>
                  <w:vMerge w:val="continue"/>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p>
              </w:tc>
              <w:tc>
                <w:tcPr>
                  <w:tcW w:w="1414"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kern w:val="0"/>
                      <w:szCs w:val="21"/>
                      <w:highlight w:val="none"/>
                      <w:lang w:val="en-US" w:eastAsia="zh-CN"/>
                    </w:rPr>
                  </w:pPr>
                  <w:r>
                    <w:rPr>
                      <w:rFonts w:hint="eastAsia"/>
                      <w:kern w:val="0"/>
                      <w:szCs w:val="21"/>
                      <w:highlight w:val="none"/>
                      <w:lang w:val="en-US" w:eastAsia="zh-CN"/>
                    </w:rPr>
                    <w:t>初期雨水池</w:t>
                  </w:r>
                </w:p>
              </w:tc>
              <w:tc>
                <w:tcPr>
                  <w:tcW w:w="5166"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eastAsia="宋体"/>
                      <w:szCs w:val="21"/>
                      <w:highlight w:val="none"/>
                      <w:lang w:val="en-US" w:eastAsia="zh-CN"/>
                    </w:rPr>
                  </w:pPr>
                  <w:r>
                    <w:rPr>
                      <w:rFonts w:hint="eastAsia"/>
                      <w:szCs w:val="21"/>
                      <w:highlight w:val="none"/>
                      <w:lang w:val="en-US" w:eastAsia="zh-CN"/>
                    </w:rPr>
                    <w:t>本项目新建1座15m³的初期雨水收集池，用于本项目初期雨水的收集。</w:t>
                  </w:r>
                </w:p>
              </w:tc>
              <w:tc>
                <w:tcPr>
                  <w:tcW w:w="715"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szCs w:val="21"/>
                      <w:highlight w:val="none"/>
                    </w:rPr>
                  </w:pPr>
                  <w:r>
                    <w:rPr>
                      <w:rFonts w:hint="eastAsia"/>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0" w:type="dxa"/>
                  <w:vMerge w:val="restart"/>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r>
                    <w:rPr>
                      <w:szCs w:val="21"/>
                      <w:highlight w:val="none"/>
                    </w:rPr>
                    <w:t>公用</w:t>
                  </w:r>
                </w:p>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r>
                    <w:rPr>
                      <w:szCs w:val="21"/>
                      <w:highlight w:val="none"/>
                    </w:rPr>
                    <w:t>工程</w:t>
                  </w:r>
                </w:p>
              </w:tc>
              <w:tc>
                <w:tcPr>
                  <w:tcW w:w="1414"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r>
                    <w:rPr>
                      <w:rFonts w:hint="eastAsia"/>
                      <w:szCs w:val="21"/>
                      <w:highlight w:val="none"/>
                      <w:lang w:val="en-US" w:eastAsia="zh-CN"/>
                    </w:rPr>
                    <w:t>供水</w:t>
                  </w:r>
                  <w:r>
                    <w:rPr>
                      <w:szCs w:val="21"/>
                      <w:highlight w:val="none"/>
                    </w:rPr>
                    <w:t>工程</w:t>
                  </w:r>
                </w:p>
              </w:tc>
              <w:tc>
                <w:tcPr>
                  <w:tcW w:w="5166"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eastAsia="宋体"/>
                      <w:szCs w:val="21"/>
                      <w:highlight w:val="none"/>
                      <w:lang w:val="en-US" w:eastAsia="zh-CN"/>
                    </w:rPr>
                  </w:pPr>
                  <w:r>
                    <w:rPr>
                      <w:rFonts w:hint="eastAsia"/>
                      <w:szCs w:val="21"/>
                      <w:highlight w:val="none"/>
                      <w:lang w:val="en-US" w:eastAsia="zh-CN"/>
                    </w:rPr>
                    <w:t>本项目生产、生活用水均由市政供水管网提供</w:t>
                  </w:r>
                </w:p>
              </w:tc>
              <w:tc>
                <w:tcPr>
                  <w:tcW w:w="715"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r>
                    <w:rPr>
                      <w:rFonts w:hint="eastAsia"/>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0" w:type="dxa"/>
                  <w:vMerge w:val="continue"/>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p>
              </w:tc>
              <w:tc>
                <w:tcPr>
                  <w:tcW w:w="1414"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r>
                    <w:rPr>
                      <w:szCs w:val="21"/>
                      <w:highlight w:val="none"/>
                    </w:rPr>
                    <w:t>排水工程</w:t>
                  </w:r>
                </w:p>
              </w:tc>
              <w:tc>
                <w:tcPr>
                  <w:tcW w:w="5166"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eastAsia="宋体"/>
                      <w:szCs w:val="21"/>
                      <w:highlight w:val="none"/>
                      <w:lang w:val="en-US" w:eastAsia="zh-CN"/>
                    </w:rPr>
                  </w:pPr>
                  <w:r>
                    <w:rPr>
                      <w:rFonts w:hint="eastAsia"/>
                      <w:szCs w:val="21"/>
                      <w:highlight w:val="none"/>
                      <w:lang w:val="en-US" w:eastAsia="zh-CN"/>
                    </w:rPr>
                    <w:t>生活污水由厂区内新建的1座10m³的化粪池收集后，拉运至内蒙古蓝天碧水环境科技工程有限公司进行处理，无其他废水外排。</w:t>
                  </w:r>
                </w:p>
              </w:tc>
              <w:tc>
                <w:tcPr>
                  <w:tcW w:w="715"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r>
                    <w:rPr>
                      <w:rFonts w:hint="eastAsia"/>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0" w:type="dxa"/>
                  <w:vMerge w:val="continue"/>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p>
              </w:tc>
              <w:tc>
                <w:tcPr>
                  <w:tcW w:w="1414"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r>
                    <w:rPr>
                      <w:szCs w:val="21"/>
                      <w:highlight w:val="none"/>
                    </w:rPr>
                    <w:t>供电工程</w:t>
                  </w:r>
                </w:p>
              </w:tc>
              <w:tc>
                <w:tcPr>
                  <w:tcW w:w="5166"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eastAsia="宋体"/>
                      <w:szCs w:val="21"/>
                      <w:highlight w:val="none"/>
                      <w:lang w:val="en-US" w:eastAsia="zh-CN"/>
                    </w:rPr>
                  </w:pPr>
                  <w:r>
                    <w:rPr>
                      <w:rFonts w:hint="eastAsia"/>
                      <w:szCs w:val="21"/>
                      <w:highlight w:val="none"/>
                      <w:lang w:val="en-US" w:eastAsia="zh-CN"/>
                    </w:rPr>
                    <w:t>接入市政电网，厂区设置1座配电间，年用电量约150万kWh。</w:t>
                  </w:r>
                </w:p>
              </w:tc>
              <w:tc>
                <w:tcPr>
                  <w:tcW w:w="715"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r>
                    <w:rPr>
                      <w:rFonts w:hint="eastAsia"/>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0" w:type="dxa"/>
                  <w:vMerge w:val="continue"/>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p>
              </w:tc>
              <w:tc>
                <w:tcPr>
                  <w:tcW w:w="1414"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r>
                    <w:rPr>
                      <w:szCs w:val="21"/>
                      <w:highlight w:val="none"/>
                    </w:rPr>
                    <w:t>供暖工程</w:t>
                  </w:r>
                </w:p>
              </w:tc>
              <w:tc>
                <w:tcPr>
                  <w:tcW w:w="5166"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szCs w:val="21"/>
                      <w:highlight w:val="none"/>
                    </w:rPr>
                  </w:pPr>
                  <w:r>
                    <w:rPr>
                      <w:szCs w:val="21"/>
                      <w:highlight w:val="none"/>
                    </w:rPr>
                    <w:t>冬季不生产，无需取暖</w:t>
                  </w:r>
                  <w:r>
                    <w:rPr>
                      <w:rFonts w:hint="eastAsia"/>
                      <w:szCs w:val="21"/>
                      <w:highlight w:val="none"/>
                    </w:rPr>
                    <w:t>。</w:t>
                  </w:r>
                </w:p>
              </w:tc>
              <w:tc>
                <w:tcPr>
                  <w:tcW w:w="715"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eastAsia="宋体"/>
                      <w:szCs w:val="21"/>
                      <w:highlight w:val="none"/>
                      <w:lang w:val="en-US" w:eastAsia="zh-CN"/>
                    </w:rPr>
                  </w:pPr>
                  <w:r>
                    <w:rPr>
                      <w:rFonts w:hint="eastAsia"/>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0" w:type="dxa"/>
                  <w:vMerge w:val="continue"/>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p>
              </w:tc>
              <w:tc>
                <w:tcPr>
                  <w:tcW w:w="1414"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eastAsia="宋体"/>
                      <w:szCs w:val="21"/>
                      <w:highlight w:val="none"/>
                      <w:lang w:val="en-US" w:eastAsia="zh-CN"/>
                    </w:rPr>
                  </w:pPr>
                  <w:r>
                    <w:rPr>
                      <w:rFonts w:hint="eastAsia"/>
                      <w:szCs w:val="21"/>
                      <w:highlight w:val="none"/>
                      <w:lang w:val="en-US" w:eastAsia="zh-CN"/>
                    </w:rPr>
                    <w:t>气动系统</w:t>
                  </w:r>
                </w:p>
              </w:tc>
              <w:tc>
                <w:tcPr>
                  <w:tcW w:w="5166"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eastAsia="宋体"/>
                      <w:szCs w:val="21"/>
                      <w:highlight w:val="none"/>
                      <w:lang w:val="en-US" w:eastAsia="zh-CN"/>
                    </w:rPr>
                  </w:pPr>
                  <w:r>
                    <w:rPr>
                      <w:rFonts w:hint="eastAsia"/>
                      <w:szCs w:val="21"/>
                      <w:highlight w:val="none"/>
                      <w:lang w:val="en-US" w:eastAsia="zh-CN"/>
                    </w:rPr>
                    <w:t>本项目设置2台空压机，单个设计流量均为2m³/min，为原料、成品装卸、混凝土搅拌过程提供压缩空气。</w:t>
                  </w:r>
                </w:p>
              </w:tc>
              <w:tc>
                <w:tcPr>
                  <w:tcW w:w="715"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eastAsia="宋体"/>
                      <w:szCs w:val="21"/>
                      <w:highlight w:val="none"/>
                      <w:lang w:val="en-US" w:eastAsia="zh-CN"/>
                    </w:rPr>
                  </w:pPr>
                  <w:r>
                    <w:rPr>
                      <w:rFonts w:hint="eastAsia"/>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640" w:type="dxa"/>
                  <w:vMerge w:val="restart"/>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r>
                    <w:rPr>
                      <w:szCs w:val="21"/>
                      <w:highlight w:val="none"/>
                    </w:rPr>
                    <w:t>环保</w:t>
                  </w:r>
                </w:p>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r>
                    <w:rPr>
                      <w:szCs w:val="21"/>
                      <w:highlight w:val="none"/>
                    </w:rPr>
                    <w:t>工程</w:t>
                  </w:r>
                </w:p>
              </w:tc>
              <w:tc>
                <w:tcPr>
                  <w:tcW w:w="1414"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yellow"/>
                    </w:rPr>
                  </w:pPr>
                  <w:r>
                    <w:rPr>
                      <w:szCs w:val="21"/>
                      <w:highlight w:val="none"/>
                    </w:rPr>
                    <w:t>废气</w:t>
                  </w:r>
                </w:p>
              </w:tc>
              <w:tc>
                <w:tcPr>
                  <w:tcW w:w="5166"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szCs w:val="21"/>
                      <w:highlight w:val="none"/>
                      <w:lang w:val="en-US" w:eastAsia="zh-CN"/>
                    </w:rPr>
                  </w:pPr>
                  <w:r>
                    <w:rPr>
                      <w:rFonts w:hint="eastAsia"/>
                      <w:szCs w:val="21"/>
                      <w:highlight w:val="none"/>
                      <w:lang w:val="en-US" w:eastAsia="zh-CN"/>
                    </w:rPr>
                    <w:t>①砂子、碎石装卸扬尘、堆存粉尘：砂子、碎石采用全封闭</w:t>
                  </w:r>
                  <w:r>
                    <w:rPr>
                      <w:rFonts w:hint="eastAsia"/>
                      <w:kern w:val="0"/>
                      <w:szCs w:val="21"/>
                      <w:highlight w:val="none"/>
                      <w:lang w:val="en-US" w:eastAsia="zh-CN"/>
                    </w:rPr>
                    <w:t>原料堆场储存，堆存区上方设置喷淋设施，原料装卸过程尽量减小卸料落差，输料采用全封闭输送带；原料堆场四周地面硬化。</w:t>
                  </w:r>
                </w:p>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szCs w:val="21"/>
                      <w:highlight w:val="none"/>
                      <w:lang w:val="en-US" w:eastAsia="zh-CN"/>
                    </w:rPr>
                  </w:pPr>
                  <w:r>
                    <w:rPr>
                      <w:rFonts w:hint="eastAsia"/>
                      <w:szCs w:val="21"/>
                      <w:highlight w:val="none"/>
                      <w:lang w:val="en-US" w:eastAsia="zh-CN"/>
                    </w:rPr>
                    <w:t>②水泥、粉煤灰、矿粉筒仓输送、储存产生的粉尘：水泥、粉煤灰、矿粉筒仓为全封闭，仓顶均配有袋式除尘器（共8套），处理后经各自仓顶排气筒排放。</w:t>
                  </w:r>
                </w:p>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szCs w:val="21"/>
                      <w:highlight w:val="none"/>
                      <w:lang w:val="en-US" w:eastAsia="zh-CN"/>
                    </w:rPr>
                  </w:pPr>
                  <w:r>
                    <w:rPr>
                      <w:rFonts w:hint="eastAsia"/>
                      <w:szCs w:val="21"/>
                      <w:highlight w:val="none"/>
                      <w:lang w:val="en-US" w:eastAsia="zh-CN"/>
                    </w:rPr>
                    <w:t>③物料混合搅拌废气：搅拌设备为全封闭，搅拌机配有一套脉冲式布袋除尘器除尘器直接安装在缓存斗盖上，缓存斗盖与搅拌机为封闭状态，经15m高排气筒排放。</w:t>
                  </w:r>
                </w:p>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eastAsia="宋体"/>
                      <w:szCs w:val="21"/>
                      <w:highlight w:val="yellow"/>
                      <w:lang w:val="en-US" w:eastAsia="zh-CN"/>
                    </w:rPr>
                  </w:pPr>
                  <w:r>
                    <w:rPr>
                      <w:rFonts w:hint="eastAsia"/>
                      <w:szCs w:val="21"/>
                      <w:highlight w:val="none"/>
                      <w:lang w:val="en-US" w:eastAsia="zh-CN"/>
                    </w:rPr>
                    <w:t>④运输车辆动力起尘：厂区道路、停车场及其他地面硬化绿化，定时洒水；降低车辆运输速度；并配备高压水枪设备对驶出车辆进行冲洗清洁；厂区有保洁人员及时对散落的物料进行清扫收集。</w:t>
                  </w:r>
                </w:p>
              </w:tc>
              <w:tc>
                <w:tcPr>
                  <w:tcW w:w="715"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eastAsia="宋体"/>
                      <w:szCs w:val="21"/>
                      <w:highlight w:val="none"/>
                      <w:lang w:eastAsia="zh-CN"/>
                    </w:rPr>
                  </w:pPr>
                  <w:r>
                    <w:rPr>
                      <w:rFonts w:hint="eastAsia"/>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640" w:type="dxa"/>
                  <w:vMerge w:val="continue"/>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p>
              </w:tc>
              <w:tc>
                <w:tcPr>
                  <w:tcW w:w="1414"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yellow"/>
                    </w:rPr>
                  </w:pPr>
                  <w:r>
                    <w:rPr>
                      <w:szCs w:val="21"/>
                      <w:highlight w:val="none"/>
                    </w:rPr>
                    <w:t>废水</w:t>
                  </w:r>
                </w:p>
              </w:tc>
              <w:tc>
                <w:tcPr>
                  <w:tcW w:w="5166"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szCs w:val="21"/>
                      <w:highlight w:val="none"/>
                      <w:lang w:val="en-US" w:eastAsia="zh-CN"/>
                    </w:rPr>
                  </w:pPr>
                  <w:r>
                    <w:rPr>
                      <w:rFonts w:hint="eastAsia"/>
                      <w:szCs w:val="21"/>
                      <w:highlight w:val="none"/>
                      <w:lang w:val="en-US" w:eastAsia="zh-CN"/>
                    </w:rPr>
                    <w:t>①生活污水：新建一座10m³防渗化粪池，定期拉运至内蒙古蓝天碧水环境科技工程有限公司进行处理。</w:t>
                  </w:r>
                </w:p>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eastAsia="宋体"/>
                      <w:szCs w:val="21"/>
                      <w:highlight w:val="yellow"/>
                      <w:lang w:val="en-US" w:eastAsia="zh-CN"/>
                    </w:rPr>
                  </w:pPr>
                  <w:r>
                    <w:rPr>
                      <w:rFonts w:hint="eastAsia"/>
                      <w:szCs w:val="21"/>
                      <w:highlight w:val="none"/>
                      <w:lang w:val="en-US" w:eastAsia="zh-CN"/>
                    </w:rPr>
                    <w:t>②生产废水：搅拌机清洗废水、运输车辆清洗废水经沉淀处理后回用于</w:t>
                  </w:r>
                  <w:r>
                    <w:rPr>
                      <w:rFonts w:hint="default"/>
                      <w:lang w:val="en-US" w:eastAsia="zh-CN"/>
                    </w:rPr>
                    <w:t>混凝土</w:t>
                  </w:r>
                  <w:r>
                    <w:rPr>
                      <w:rFonts w:hint="eastAsia"/>
                      <w:lang w:val="en-US" w:eastAsia="zh-CN"/>
                    </w:rPr>
                    <w:t>生</w:t>
                  </w:r>
                  <w:r>
                    <w:rPr>
                      <w:rFonts w:hint="default"/>
                      <w:lang w:val="en-US" w:eastAsia="zh-CN"/>
                    </w:rPr>
                    <w:t>产线</w:t>
                  </w:r>
                  <w:r>
                    <w:rPr>
                      <w:rFonts w:hint="eastAsia"/>
                      <w:szCs w:val="21"/>
                      <w:highlight w:val="none"/>
                      <w:lang w:val="en-US" w:eastAsia="zh-CN"/>
                    </w:rPr>
                    <w:t>，不外排。初期雨水经沉淀后回用于</w:t>
                  </w:r>
                  <w:r>
                    <w:rPr>
                      <w:rFonts w:hint="eastAsia" w:ascii="Times New Roman" w:hAnsi="Times New Roman" w:cs="Times New Roman"/>
                      <w:color w:val="auto"/>
                      <w:highlight w:val="none"/>
                      <w:lang w:val="en-US" w:eastAsia="zh-CN"/>
                    </w:rPr>
                    <w:t>原料</w:t>
                  </w:r>
                  <w:r>
                    <w:rPr>
                      <w:rFonts w:hint="default" w:ascii="Times New Roman" w:hAnsi="Times New Roman" w:cs="Times New Roman"/>
                      <w:color w:val="auto"/>
                      <w:highlight w:val="none"/>
                      <w:lang w:val="en-US" w:eastAsia="zh-CN"/>
                    </w:rPr>
                    <w:t>堆场洒水降尘</w:t>
                  </w:r>
                  <w:r>
                    <w:rPr>
                      <w:rFonts w:hint="eastAsia" w:ascii="Times New Roman" w:hAnsi="Times New Roman" w:cs="Times New Roman"/>
                      <w:color w:val="auto"/>
                      <w:highlight w:val="none"/>
                      <w:lang w:val="en-US" w:eastAsia="zh-CN"/>
                    </w:rPr>
                    <w:t>；</w:t>
                  </w:r>
                  <w:r>
                    <w:rPr>
                      <w:rFonts w:hint="eastAsia"/>
                      <w:szCs w:val="21"/>
                      <w:highlight w:val="none"/>
                      <w:lang w:val="en-US" w:eastAsia="zh-CN"/>
                    </w:rPr>
                    <w:t>项目设置1套二级沉淀池，厂区设置了二级沉淀池，二级沉淀池均为混凝土结构，容积均120m³，沉淀池采用一般防渗，等效黏土防渗层Mb≥1.5m，K≤1×10</w:t>
                  </w:r>
                  <w:r>
                    <w:rPr>
                      <w:rFonts w:hint="eastAsia"/>
                      <w:szCs w:val="21"/>
                      <w:highlight w:val="none"/>
                      <w:vertAlign w:val="superscript"/>
                      <w:lang w:val="en-US" w:eastAsia="zh-CN"/>
                    </w:rPr>
                    <w:t>-7</w:t>
                  </w:r>
                  <w:r>
                    <w:rPr>
                      <w:rFonts w:hint="eastAsia"/>
                      <w:szCs w:val="21"/>
                      <w:highlight w:val="none"/>
                      <w:lang w:val="en-US" w:eastAsia="zh-CN"/>
                    </w:rPr>
                    <w:t>cm/s。搅拌混合用水全部进入产品，原料堆场抑尘用水全部自然蒸发，搅拌混合用水全部带入产品。</w:t>
                  </w:r>
                </w:p>
              </w:tc>
              <w:tc>
                <w:tcPr>
                  <w:tcW w:w="715"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eastAsia="宋体"/>
                      <w:szCs w:val="21"/>
                      <w:highlight w:val="none"/>
                      <w:lang w:eastAsia="zh-CN"/>
                    </w:rPr>
                  </w:pPr>
                  <w:r>
                    <w:rPr>
                      <w:rFonts w:hint="eastAsia"/>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0" w:type="dxa"/>
                  <w:vMerge w:val="continue"/>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p>
              </w:tc>
              <w:tc>
                <w:tcPr>
                  <w:tcW w:w="1414"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yellow"/>
                    </w:rPr>
                  </w:pPr>
                  <w:r>
                    <w:rPr>
                      <w:szCs w:val="21"/>
                      <w:highlight w:val="none"/>
                    </w:rPr>
                    <w:t>固</w:t>
                  </w:r>
                  <w:r>
                    <w:rPr>
                      <w:rFonts w:hint="eastAsia"/>
                      <w:szCs w:val="21"/>
                      <w:highlight w:val="none"/>
                    </w:rPr>
                    <w:t>废</w:t>
                  </w:r>
                </w:p>
              </w:tc>
              <w:tc>
                <w:tcPr>
                  <w:tcW w:w="5166"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eastAsia"/>
                      <w:szCs w:val="21"/>
                      <w:highlight w:val="none"/>
                      <w:lang w:val="en-US" w:eastAsia="zh-CN"/>
                    </w:rPr>
                  </w:pPr>
                  <w:r>
                    <w:rPr>
                      <w:rFonts w:hint="eastAsia"/>
                      <w:szCs w:val="21"/>
                      <w:highlight w:val="none"/>
                      <w:lang w:val="en-US" w:eastAsia="zh-CN"/>
                    </w:rPr>
                    <w:t>①混凝土废渣：实验室废混凝土样品、拉运过程中产生的少量掉落废渣作为原料及时重新回用于搅拌机搅拌。</w:t>
                  </w:r>
                </w:p>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eastAsia"/>
                      <w:szCs w:val="21"/>
                      <w:highlight w:val="none"/>
                      <w:lang w:val="en-US" w:eastAsia="zh-CN"/>
                    </w:rPr>
                  </w:pPr>
                  <w:r>
                    <w:rPr>
                      <w:rFonts w:hint="eastAsia"/>
                      <w:szCs w:val="21"/>
                      <w:highlight w:val="none"/>
                      <w:lang w:val="en-US" w:eastAsia="zh-CN"/>
                    </w:rPr>
                    <w:t>②除尘灰：水泥筒仓、粉煤灰筒仓、搅拌站除尘器收集的粉尘返回生产系统回用。</w:t>
                  </w:r>
                </w:p>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eastAsia" w:ascii="Times New Roman" w:hAnsi="Times New Roman" w:eastAsia="宋体" w:cs="Times New Roman"/>
                      <w:szCs w:val="21"/>
                      <w:highlight w:val="none"/>
                      <w:lang w:val="en-US" w:eastAsia="zh-CN"/>
                    </w:rPr>
                  </w:pPr>
                  <w:r>
                    <w:rPr>
                      <w:rFonts w:hint="eastAsia"/>
                      <w:szCs w:val="21"/>
                      <w:highlight w:val="none"/>
                      <w:lang w:val="en-US" w:eastAsia="zh-CN"/>
                    </w:rPr>
                    <w:t>③沉淀池底泥：</w:t>
                  </w:r>
                  <w:r>
                    <w:rPr>
                      <w:rFonts w:hint="eastAsia" w:ascii="Times New Roman" w:hAnsi="Times New Roman" w:eastAsia="宋体" w:cs="Times New Roman"/>
                      <w:szCs w:val="21"/>
                      <w:highlight w:val="none"/>
                      <w:lang w:val="en-US" w:eastAsia="zh-CN"/>
                    </w:rPr>
                    <w:t>沉淀池产生的沉淀渣定期捞取后回用于混凝土生产。</w:t>
                  </w:r>
                </w:p>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eastAsia="宋体"/>
                      <w:szCs w:val="21"/>
                      <w:highlight w:val="yellow"/>
                      <w:lang w:val="en-US" w:eastAsia="zh-CN"/>
                    </w:rPr>
                  </w:pPr>
                  <w:r>
                    <w:rPr>
                      <w:rFonts w:hint="eastAsia" w:ascii="Times New Roman" w:hAnsi="Times New Roman" w:eastAsia="宋体" w:cs="Times New Roman"/>
                      <w:szCs w:val="21"/>
                      <w:highlight w:val="none"/>
                      <w:lang w:val="en-US" w:eastAsia="zh-CN"/>
                    </w:rPr>
                    <w:t>④生活垃圾：集中收集至垃圾箱后，定期送至环卫部门进行处理。</w:t>
                  </w:r>
                </w:p>
              </w:tc>
              <w:tc>
                <w:tcPr>
                  <w:tcW w:w="715"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eastAsia="宋体"/>
                      <w:szCs w:val="21"/>
                      <w:highlight w:val="none"/>
                      <w:lang w:eastAsia="zh-CN"/>
                    </w:rPr>
                  </w:pPr>
                  <w:r>
                    <w:rPr>
                      <w:rFonts w:hint="eastAsia"/>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0" w:type="dxa"/>
                  <w:vMerge w:val="continue"/>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p>
              </w:tc>
              <w:tc>
                <w:tcPr>
                  <w:tcW w:w="1414"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szCs w:val="21"/>
                      <w:highlight w:val="none"/>
                    </w:rPr>
                  </w:pPr>
                  <w:r>
                    <w:rPr>
                      <w:szCs w:val="21"/>
                      <w:highlight w:val="none"/>
                    </w:rPr>
                    <w:t>噪声</w:t>
                  </w:r>
                </w:p>
              </w:tc>
              <w:tc>
                <w:tcPr>
                  <w:tcW w:w="5166"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szCs w:val="21"/>
                      <w:highlight w:val="none"/>
                    </w:rPr>
                  </w:pPr>
                  <w:r>
                    <w:rPr>
                      <w:szCs w:val="21"/>
                      <w:highlight w:val="none"/>
                    </w:rPr>
                    <w:t>采用减振、消声、隔音等措施，并加强绿化</w:t>
                  </w:r>
                </w:p>
              </w:tc>
              <w:tc>
                <w:tcPr>
                  <w:tcW w:w="715"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eastAsia="宋体"/>
                      <w:szCs w:val="21"/>
                      <w:highlight w:val="none"/>
                      <w:lang w:eastAsia="zh-CN"/>
                    </w:rPr>
                  </w:pPr>
                  <w:r>
                    <w:rPr>
                      <w:rFonts w:hint="eastAsia"/>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54" w:type="dxa"/>
                  <w:gridSpan w:val="2"/>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eastAsia="宋体"/>
                      <w:szCs w:val="21"/>
                      <w:highlight w:val="none"/>
                      <w:lang w:val="en-US" w:eastAsia="zh-CN"/>
                    </w:rPr>
                  </w:pPr>
                  <w:r>
                    <w:rPr>
                      <w:rFonts w:hint="eastAsia"/>
                      <w:szCs w:val="21"/>
                      <w:highlight w:val="none"/>
                      <w:lang w:val="en-US" w:eastAsia="zh-CN"/>
                    </w:rPr>
                    <w:t>防渗</w:t>
                  </w:r>
                </w:p>
              </w:tc>
              <w:tc>
                <w:tcPr>
                  <w:tcW w:w="5166"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eastAsia"/>
                      <w:szCs w:val="21"/>
                      <w:highlight w:val="none"/>
                      <w:lang w:val="en-US" w:eastAsia="zh-CN"/>
                    </w:rPr>
                  </w:pPr>
                  <w:r>
                    <w:rPr>
                      <w:rFonts w:hint="eastAsia"/>
                      <w:szCs w:val="21"/>
                      <w:highlight w:val="none"/>
                      <w:lang w:val="en-US" w:eastAsia="zh-CN"/>
                    </w:rPr>
                    <w:t>①沉淀池、初期雨水池、化粪池进行一般防渗，防渗技术要求等效黏土防渗层Mb≥1.5m，K≤1×10</w:t>
                  </w:r>
                  <w:r>
                    <w:rPr>
                      <w:rFonts w:hint="eastAsia"/>
                      <w:szCs w:val="21"/>
                      <w:highlight w:val="none"/>
                      <w:vertAlign w:val="superscript"/>
                      <w:lang w:val="en-US" w:eastAsia="zh-CN"/>
                    </w:rPr>
                    <w:t>-7</w:t>
                  </w:r>
                  <w:r>
                    <w:rPr>
                      <w:rFonts w:hint="eastAsia"/>
                      <w:szCs w:val="21"/>
                      <w:highlight w:val="none"/>
                      <w:lang w:val="en-US" w:eastAsia="zh-CN"/>
                    </w:rPr>
                    <w:t>cm/s。</w:t>
                  </w:r>
                </w:p>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eastAsia="宋体"/>
                      <w:szCs w:val="21"/>
                      <w:highlight w:val="none"/>
                      <w:lang w:val="en-US" w:eastAsia="zh-CN"/>
                    </w:rPr>
                  </w:pPr>
                  <w:r>
                    <w:rPr>
                      <w:rFonts w:hint="eastAsia"/>
                      <w:szCs w:val="21"/>
                      <w:highlight w:val="none"/>
                      <w:lang w:val="en-US" w:eastAsia="zh-CN"/>
                    </w:rPr>
                    <w:t>②原料堆场、混凝土搅拌站、办公区、实验室、厂区内路面进行水泥硬化简单防渗。</w:t>
                  </w:r>
                </w:p>
              </w:tc>
              <w:tc>
                <w:tcPr>
                  <w:tcW w:w="715"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eastAsia="宋体"/>
                      <w:szCs w:val="21"/>
                      <w:highlight w:val="none"/>
                      <w:lang w:val="en-US" w:eastAsia="zh-CN"/>
                    </w:rPr>
                  </w:pPr>
                  <w:r>
                    <w:rPr>
                      <w:rFonts w:hint="eastAsia"/>
                      <w:szCs w:val="21"/>
                      <w:highlight w:val="none"/>
                      <w:lang w:val="en-US" w:eastAsia="zh-CN"/>
                    </w:rPr>
                    <w:t>新建</w:t>
                  </w:r>
                </w:p>
              </w:tc>
            </w:tr>
          </w:tbl>
          <w:p>
            <w:pPr>
              <w:bidi w:val="0"/>
              <w:rPr>
                <w:rFonts w:hint="eastAsia"/>
                <w:b/>
                <w:bCs/>
                <w:lang w:val="en-US" w:eastAsia="zh-CN"/>
              </w:rPr>
            </w:pPr>
            <w:r>
              <w:rPr>
                <w:rFonts w:hint="eastAsia"/>
                <w:b/>
                <w:bCs/>
                <w:lang w:val="en-US" w:eastAsia="zh-CN"/>
              </w:rPr>
              <w:t>2、项目主要设备</w:t>
            </w:r>
          </w:p>
          <w:p>
            <w:pPr>
              <w:bidi w:val="0"/>
              <w:rPr>
                <w:rFonts w:hint="eastAsia"/>
                <w:lang w:val="en-US" w:eastAsia="zh-CN"/>
              </w:rPr>
            </w:pPr>
            <w:r>
              <w:rPr>
                <w:rFonts w:hint="eastAsia"/>
                <w:lang w:val="en-US" w:eastAsia="zh-CN"/>
              </w:rPr>
              <w:t>本项目主要设备见表2-2。</w:t>
            </w:r>
          </w:p>
          <w:p>
            <w:pPr>
              <w:bidi w:val="0"/>
              <w:jc w:val="center"/>
              <w:rPr>
                <w:rFonts w:hint="default"/>
                <w:b/>
                <w:bCs/>
                <w:vertAlign w:val="baseline"/>
                <w:lang w:val="en-US" w:eastAsia="zh-CN"/>
              </w:rPr>
            </w:pPr>
            <w:r>
              <w:rPr>
                <w:rFonts w:hint="eastAsia"/>
                <w:b/>
                <w:bCs/>
                <w:lang w:val="en-US" w:eastAsia="zh-CN"/>
              </w:rPr>
              <w:t>表2-2主要设备组成一览表</w:t>
            </w:r>
          </w:p>
          <w:tbl>
            <w:tblPr>
              <w:tblStyle w:val="10"/>
              <w:tblW w:w="7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2285"/>
              <w:gridCol w:w="1154"/>
              <w:gridCol w:w="2384"/>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序号</w:t>
                  </w:r>
                </w:p>
              </w:tc>
              <w:tc>
                <w:tcPr>
                  <w:tcW w:w="228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名称</w:t>
                  </w:r>
                </w:p>
              </w:tc>
              <w:tc>
                <w:tcPr>
                  <w:tcW w:w="115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数量</w:t>
                  </w:r>
                </w:p>
              </w:tc>
              <w:tc>
                <w:tcPr>
                  <w:tcW w:w="238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型号规格</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1</w:t>
                  </w:r>
                </w:p>
              </w:tc>
              <w:tc>
                <w:tcPr>
                  <w:tcW w:w="228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搅拌站</w:t>
                  </w:r>
                </w:p>
              </w:tc>
              <w:tc>
                <w:tcPr>
                  <w:tcW w:w="115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2</w:t>
                  </w:r>
                </w:p>
              </w:tc>
              <w:tc>
                <w:tcPr>
                  <w:tcW w:w="238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HZS-120</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89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2</w:t>
                  </w:r>
                </w:p>
              </w:tc>
              <w:tc>
                <w:tcPr>
                  <w:tcW w:w="228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装载机</w:t>
                  </w:r>
                </w:p>
              </w:tc>
              <w:tc>
                <w:tcPr>
                  <w:tcW w:w="115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2</w:t>
                  </w:r>
                </w:p>
              </w:tc>
              <w:tc>
                <w:tcPr>
                  <w:tcW w:w="238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LJ-50</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3</w:t>
                  </w:r>
                </w:p>
              </w:tc>
              <w:tc>
                <w:tcPr>
                  <w:tcW w:w="228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洒水车</w:t>
                  </w:r>
                </w:p>
              </w:tc>
              <w:tc>
                <w:tcPr>
                  <w:tcW w:w="115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1</w:t>
                  </w:r>
                </w:p>
              </w:tc>
              <w:tc>
                <w:tcPr>
                  <w:tcW w:w="238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5t</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4</w:t>
                  </w:r>
                </w:p>
              </w:tc>
              <w:tc>
                <w:tcPr>
                  <w:tcW w:w="228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空压机及储气罐</w:t>
                  </w:r>
                </w:p>
              </w:tc>
              <w:tc>
                <w:tcPr>
                  <w:tcW w:w="115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2</w:t>
                  </w:r>
                </w:p>
              </w:tc>
              <w:tc>
                <w:tcPr>
                  <w:tcW w:w="238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2m³/min</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5</w:t>
                  </w:r>
                </w:p>
              </w:tc>
              <w:tc>
                <w:tcPr>
                  <w:tcW w:w="228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水泥筒仓</w:t>
                  </w:r>
                </w:p>
              </w:tc>
              <w:tc>
                <w:tcPr>
                  <w:tcW w:w="115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4</w:t>
                  </w:r>
                </w:p>
              </w:tc>
              <w:tc>
                <w:tcPr>
                  <w:tcW w:w="238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200t，H=5.1m</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6</w:t>
                  </w:r>
                </w:p>
              </w:tc>
              <w:tc>
                <w:tcPr>
                  <w:tcW w:w="228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粉煤灰筒仓</w:t>
                  </w:r>
                </w:p>
              </w:tc>
              <w:tc>
                <w:tcPr>
                  <w:tcW w:w="115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2</w:t>
                  </w:r>
                </w:p>
              </w:tc>
              <w:tc>
                <w:tcPr>
                  <w:tcW w:w="238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200t，H=5.1m</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7</w:t>
                  </w:r>
                </w:p>
              </w:tc>
              <w:tc>
                <w:tcPr>
                  <w:tcW w:w="228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矿粉筒仓</w:t>
                  </w:r>
                </w:p>
              </w:tc>
              <w:tc>
                <w:tcPr>
                  <w:tcW w:w="115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2</w:t>
                  </w:r>
                </w:p>
              </w:tc>
              <w:tc>
                <w:tcPr>
                  <w:tcW w:w="238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200t，H=5.1m</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8</w:t>
                  </w:r>
                </w:p>
              </w:tc>
              <w:tc>
                <w:tcPr>
                  <w:tcW w:w="228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yellow"/>
                      <w:lang w:val="en-US" w:eastAsia="zh-CN"/>
                    </w:rPr>
                  </w:pPr>
                  <w:r>
                    <w:rPr>
                      <w:rFonts w:hint="eastAsia"/>
                      <w:highlight w:val="none"/>
                      <w:lang w:val="en-US" w:eastAsia="zh-CN"/>
                    </w:rPr>
                    <w:t>外加剂（液态）储存罐</w:t>
                  </w:r>
                </w:p>
              </w:tc>
              <w:tc>
                <w:tcPr>
                  <w:tcW w:w="115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4</w:t>
                  </w:r>
                </w:p>
              </w:tc>
              <w:tc>
                <w:tcPr>
                  <w:tcW w:w="238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10m³/个，H=3m</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9</w:t>
                  </w:r>
                </w:p>
              </w:tc>
              <w:tc>
                <w:tcPr>
                  <w:tcW w:w="228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试块压力机</w:t>
                  </w:r>
                </w:p>
              </w:tc>
              <w:tc>
                <w:tcPr>
                  <w:tcW w:w="115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1</w:t>
                  </w:r>
                </w:p>
              </w:tc>
              <w:tc>
                <w:tcPr>
                  <w:tcW w:w="238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DYE-2000</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10</w:t>
                  </w:r>
                </w:p>
              </w:tc>
              <w:tc>
                <w:tcPr>
                  <w:tcW w:w="228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试验天平</w:t>
                  </w:r>
                </w:p>
              </w:tc>
              <w:tc>
                <w:tcPr>
                  <w:tcW w:w="115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3</w:t>
                  </w:r>
                </w:p>
              </w:tc>
              <w:tc>
                <w:tcPr>
                  <w:tcW w:w="238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200g</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11</w:t>
                  </w:r>
                </w:p>
              </w:tc>
              <w:tc>
                <w:tcPr>
                  <w:tcW w:w="228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磅秤</w:t>
                  </w:r>
                </w:p>
              </w:tc>
              <w:tc>
                <w:tcPr>
                  <w:tcW w:w="115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2</w:t>
                  </w:r>
                </w:p>
              </w:tc>
              <w:tc>
                <w:tcPr>
                  <w:tcW w:w="238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100公斤</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12</w:t>
                  </w:r>
                </w:p>
              </w:tc>
              <w:tc>
                <w:tcPr>
                  <w:tcW w:w="228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负压筛子</w:t>
                  </w:r>
                </w:p>
              </w:tc>
              <w:tc>
                <w:tcPr>
                  <w:tcW w:w="115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1</w:t>
                  </w:r>
                </w:p>
              </w:tc>
              <w:tc>
                <w:tcPr>
                  <w:tcW w:w="238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0.08</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13</w:t>
                  </w:r>
                </w:p>
              </w:tc>
              <w:tc>
                <w:tcPr>
                  <w:tcW w:w="228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小型搅拌机</w:t>
                  </w:r>
                </w:p>
              </w:tc>
              <w:tc>
                <w:tcPr>
                  <w:tcW w:w="115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2</w:t>
                  </w:r>
                </w:p>
              </w:tc>
              <w:tc>
                <w:tcPr>
                  <w:tcW w:w="238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HJW-60</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14</w:t>
                  </w:r>
                </w:p>
              </w:tc>
              <w:tc>
                <w:tcPr>
                  <w:tcW w:w="228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砼震动台</w:t>
                  </w:r>
                </w:p>
              </w:tc>
              <w:tc>
                <w:tcPr>
                  <w:tcW w:w="115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1</w:t>
                  </w:r>
                </w:p>
              </w:tc>
              <w:tc>
                <w:tcPr>
                  <w:tcW w:w="238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1平米</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15</w:t>
                  </w:r>
                </w:p>
              </w:tc>
              <w:tc>
                <w:tcPr>
                  <w:tcW w:w="228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标养室</w:t>
                  </w:r>
                </w:p>
              </w:tc>
              <w:tc>
                <w:tcPr>
                  <w:tcW w:w="115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1</w:t>
                  </w:r>
                </w:p>
              </w:tc>
              <w:tc>
                <w:tcPr>
                  <w:tcW w:w="238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15平米</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16</w:t>
                  </w:r>
                </w:p>
              </w:tc>
              <w:tc>
                <w:tcPr>
                  <w:tcW w:w="228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泵车</w:t>
                  </w:r>
                </w:p>
              </w:tc>
              <w:tc>
                <w:tcPr>
                  <w:tcW w:w="115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2</w:t>
                  </w:r>
                </w:p>
              </w:tc>
              <w:tc>
                <w:tcPr>
                  <w:tcW w:w="238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56米；120m³/小时</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17</w:t>
                  </w:r>
                </w:p>
              </w:tc>
              <w:tc>
                <w:tcPr>
                  <w:tcW w:w="228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罐车</w:t>
                  </w:r>
                </w:p>
              </w:tc>
              <w:tc>
                <w:tcPr>
                  <w:tcW w:w="115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15</w:t>
                  </w:r>
                </w:p>
              </w:tc>
              <w:tc>
                <w:tcPr>
                  <w:tcW w:w="238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50m³</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p>
              </w:tc>
            </w:tr>
          </w:tbl>
          <w:p>
            <w:pPr>
              <w:bidi w:val="0"/>
              <w:rPr>
                <w:rFonts w:hint="eastAsia"/>
                <w:b/>
                <w:bCs/>
                <w:lang w:val="en-US" w:eastAsia="zh-CN"/>
              </w:rPr>
            </w:pPr>
            <w:r>
              <w:rPr>
                <w:rFonts w:hint="eastAsia"/>
                <w:b/>
                <w:bCs/>
                <w:lang w:val="en-US" w:eastAsia="zh-CN"/>
              </w:rPr>
              <w:t>3、产品方案</w:t>
            </w:r>
          </w:p>
          <w:p>
            <w:pPr>
              <w:pStyle w:val="2"/>
              <w:rPr>
                <w:rFonts w:hint="eastAsia"/>
                <w:highlight w:val="none"/>
                <w:lang w:val="en-US" w:eastAsia="zh-CN"/>
              </w:rPr>
            </w:pPr>
            <w:r>
              <w:rPr>
                <w:rFonts w:hint="eastAsia"/>
                <w:lang w:val="en-US" w:eastAsia="zh-CN"/>
              </w:rPr>
              <w:t>本项目年产360万m³/a混凝土，约486万t/a，</w:t>
            </w:r>
            <w:r>
              <w:rPr>
                <w:rFonts w:hint="eastAsia"/>
                <w:highlight w:val="none"/>
                <w:lang w:val="en-US" w:eastAsia="zh-CN"/>
              </w:rPr>
              <w:t>强度范围为C10-C80，本项目产品方案见表2-3。</w:t>
            </w:r>
          </w:p>
          <w:p>
            <w:pPr>
              <w:bidi w:val="0"/>
              <w:ind w:left="0" w:leftChars="0" w:firstLine="0" w:firstLineChars="0"/>
              <w:jc w:val="center"/>
              <w:rPr>
                <w:rFonts w:hint="default"/>
                <w:b/>
                <w:bCs/>
                <w:vertAlign w:val="baseline"/>
                <w:lang w:val="en-US" w:eastAsia="zh-CN"/>
              </w:rPr>
            </w:pPr>
            <w:r>
              <w:rPr>
                <w:rFonts w:hint="eastAsia"/>
                <w:b/>
                <w:bCs/>
                <w:lang w:val="en-US" w:eastAsia="zh-CN"/>
              </w:rPr>
              <w:t>表2-3本项目铲平方案一览表</w:t>
            </w:r>
          </w:p>
          <w:tbl>
            <w:tblPr>
              <w:tblStyle w:val="10"/>
              <w:tblW w:w="7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1928"/>
              <w:gridCol w:w="2390"/>
              <w:gridCol w:w="2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b w:val="0"/>
                      <w:bCs w:val="0"/>
                      <w:vertAlign w:val="baseline"/>
                      <w:lang w:val="en-US" w:eastAsia="zh-CN"/>
                    </w:rPr>
                  </w:pPr>
                  <w:r>
                    <w:rPr>
                      <w:rFonts w:hint="eastAsia"/>
                      <w:b w:val="0"/>
                      <w:bCs w:val="0"/>
                      <w:vertAlign w:val="baseline"/>
                      <w:lang w:val="en-US" w:eastAsia="zh-CN"/>
                    </w:rPr>
                    <w:t>序号</w:t>
                  </w:r>
                </w:p>
              </w:tc>
              <w:tc>
                <w:tcPr>
                  <w:tcW w:w="1928"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b w:val="0"/>
                      <w:bCs w:val="0"/>
                      <w:vertAlign w:val="baseline"/>
                      <w:lang w:val="en-US" w:eastAsia="zh-CN"/>
                    </w:rPr>
                  </w:pPr>
                  <w:r>
                    <w:rPr>
                      <w:rFonts w:hint="eastAsia"/>
                      <w:b w:val="0"/>
                      <w:bCs w:val="0"/>
                      <w:vertAlign w:val="baseline"/>
                      <w:lang w:val="en-US" w:eastAsia="zh-CN"/>
                    </w:rPr>
                    <w:t>产品名称</w:t>
                  </w:r>
                </w:p>
              </w:tc>
              <w:tc>
                <w:tcPr>
                  <w:tcW w:w="2390"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b w:val="0"/>
                      <w:bCs w:val="0"/>
                      <w:vertAlign w:val="baseline"/>
                      <w:lang w:val="en-US" w:eastAsia="zh-CN"/>
                    </w:rPr>
                  </w:pPr>
                  <w:r>
                    <w:rPr>
                      <w:rFonts w:hint="eastAsia"/>
                      <w:b w:val="0"/>
                      <w:bCs w:val="0"/>
                      <w:vertAlign w:val="baseline"/>
                      <w:lang w:val="en-US" w:eastAsia="zh-CN"/>
                    </w:rPr>
                    <w:t>产品主要规格</w:t>
                  </w:r>
                </w:p>
              </w:tc>
              <w:tc>
                <w:tcPr>
                  <w:tcW w:w="2675"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b w:val="0"/>
                      <w:bCs w:val="0"/>
                      <w:vertAlign w:val="baseline"/>
                      <w:lang w:val="en-US" w:eastAsia="zh-CN"/>
                    </w:rPr>
                  </w:pPr>
                  <w:r>
                    <w:rPr>
                      <w:rFonts w:hint="eastAsia"/>
                      <w:b w:val="0"/>
                      <w:bCs w:val="0"/>
                      <w:vertAlign w:val="baseline"/>
                      <w:lang w:val="en-US" w:eastAsia="zh-CN"/>
                    </w:rPr>
                    <w:t>设计产能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b w:val="0"/>
                      <w:bCs w:val="0"/>
                      <w:vertAlign w:val="baseline"/>
                      <w:lang w:val="en-US" w:eastAsia="zh-CN"/>
                    </w:rPr>
                  </w:pPr>
                  <w:r>
                    <w:rPr>
                      <w:rFonts w:hint="eastAsia"/>
                      <w:b w:val="0"/>
                      <w:bCs w:val="0"/>
                      <w:vertAlign w:val="baseline"/>
                      <w:lang w:val="en-US" w:eastAsia="zh-CN"/>
                    </w:rPr>
                    <w:t>1</w:t>
                  </w:r>
                </w:p>
              </w:tc>
              <w:tc>
                <w:tcPr>
                  <w:tcW w:w="1928"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b w:val="0"/>
                      <w:bCs w:val="0"/>
                      <w:vertAlign w:val="baseline"/>
                      <w:lang w:val="en-US" w:eastAsia="zh-CN"/>
                    </w:rPr>
                  </w:pPr>
                  <w:r>
                    <w:rPr>
                      <w:rFonts w:hint="eastAsia"/>
                      <w:b w:val="0"/>
                      <w:bCs w:val="0"/>
                      <w:vertAlign w:val="baseline"/>
                      <w:lang w:val="en-US" w:eastAsia="zh-CN"/>
                    </w:rPr>
                    <w:t>商品混凝土</w:t>
                  </w:r>
                </w:p>
              </w:tc>
              <w:tc>
                <w:tcPr>
                  <w:tcW w:w="2390"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b w:val="0"/>
                      <w:bCs w:val="0"/>
                      <w:vertAlign w:val="baseline"/>
                      <w:lang w:val="en-US" w:eastAsia="zh-CN"/>
                    </w:rPr>
                  </w:pPr>
                  <w:r>
                    <w:rPr>
                      <w:rFonts w:hint="eastAsia"/>
                      <w:b w:val="0"/>
                      <w:bCs w:val="0"/>
                      <w:vertAlign w:val="baseline"/>
                      <w:lang w:val="en-US" w:eastAsia="zh-CN"/>
                    </w:rPr>
                    <w:t>C10-C80</w:t>
                  </w:r>
                </w:p>
              </w:tc>
              <w:tc>
                <w:tcPr>
                  <w:tcW w:w="2675"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b w:val="0"/>
                      <w:bCs w:val="0"/>
                      <w:vertAlign w:val="baseline"/>
                      <w:lang w:val="en-US" w:eastAsia="zh-CN"/>
                    </w:rPr>
                  </w:pPr>
                  <w:r>
                    <w:rPr>
                      <w:rFonts w:hint="eastAsia"/>
                      <w:b w:val="0"/>
                      <w:bCs w:val="0"/>
                      <w:vertAlign w:val="baseline"/>
                      <w:lang w:val="en-US" w:eastAsia="zh-CN"/>
                    </w:rPr>
                    <w:t>360万m³，约486万t/a</w:t>
                  </w:r>
                </w:p>
              </w:tc>
            </w:tr>
          </w:tbl>
          <w:p>
            <w:pPr>
              <w:bidi w:val="0"/>
              <w:rPr>
                <w:rFonts w:hint="eastAsia"/>
                <w:b/>
                <w:bCs/>
                <w:lang w:val="en-US" w:eastAsia="zh-CN"/>
              </w:rPr>
            </w:pPr>
            <w:r>
              <w:rPr>
                <w:rFonts w:hint="eastAsia"/>
                <w:b/>
                <w:bCs/>
                <w:lang w:val="en-US" w:eastAsia="zh-CN"/>
              </w:rPr>
              <w:t>4、主要原辅材料及能源消耗</w:t>
            </w:r>
          </w:p>
          <w:p>
            <w:pPr>
              <w:bidi w:val="0"/>
              <w:rPr>
                <w:rFonts w:hint="eastAsia"/>
                <w:lang w:val="en-US" w:eastAsia="zh-CN"/>
              </w:rPr>
            </w:pPr>
            <w:r>
              <w:rPr>
                <w:rFonts w:hint="eastAsia"/>
                <w:highlight w:val="none"/>
                <w:lang w:val="en-US" w:eastAsia="zh-CN"/>
              </w:rPr>
              <w:t>主要原辅材料及能源消</w:t>
            </w:r>
            <w:r>
              <w:rPr>
                <w:rFonts w:hint="eastAsia"/>
                <w:lang w:val="en-US" w:eastAsia="zh-CN"/>
              </w:rPr>
              <w:t>耗详见表2-4。</w:t>
            </w:r>
          </w:p>
          <w:p>
            <w:pPr>
              <w:bidi w:val="0"/>
              <w:jc w:val="center"/>
              <w:rPr>
                <w:rFonts w:hint="default"/>
                <w:b/>
                <w:bCs/>
                <w:vertAlign w:val="baseline"/>
                <w:lang w:val="en-US" w:eastAsia="zh-CN"/>
              </w:rPr>
            </w:pPr>
            <w:r>
              <w:rPr>
                <w:rFonts w:hint="eastAsia"/>
                <w:b/>
                <w:bCs/>
                <w:lang w:val="en-US" w:eastAsia="zh-CN"/>
              </w:rPr>
              <w:t>表2-4主要原辅材料及能源消耗一览表（单位：万t/a）</w:t>
            </w:r>
          </w:p>
          <w:tbl>
            <w:tblPr>
              <w:tblStyle w:val="10"/>
              <w:tblW w:w="7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791"/>
              <w:gridCol w:w="1301"/>
              <w:gridCol w:w="787"/>
              <w:gridCol w:w="1694"/>
              <w:gridCol w:w="1016"/>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445" w:type="dxa"/>
                  <w:gridSpan w:val="2"/>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名称</w:t>
                  </w:r>
                </w:p>
              </w:tc>
              <w:tc>
                <w:tcPr>
                  <w:tcW w:w="1301"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年消耗量</w:t>
                  </w:r>
                </w:p>
              </w:tc>
              <w:tc>
                <w:tcPr>
                  <w:tcW w:w="787"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形态</w:t>
                  </w:r>
                </w:p>
              </w:tc>
              <w:tc>
                <w:tcPr>
                  <w:tcW w:w="1694"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来源</w:t>
                  </w:r>
                </w:p>
              </w:tc>
              <w:tc>
                <w:tcPr>
                  <w:tcW w:w="1016"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储存方式</w:t>
                  </w:r>
                </w:p>
              </w:tc>
              <w:tc>
                <w:tcPr>
                  <w:tcW w:w="1554"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最大储存量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4" w:type="dxa"/>
                  <w:vMerge w:val="restart"/>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原辅材料</w:t>
                  </w:r>
                </w:p>
              </w:tc>
              <w:tc>
                <w:tcPr>
                  <w:tcW w:w="791"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水泥</w:t>
                  </w:r>
                </w:p>
              </w:tc>
              <w:tc>
                <w:tcPr>
                  <w:tcW w:w="1301"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90</w:t>
                  </w:r>
                </w:p>
              </w:tc>
              <w:tc>
                <w:tcPr>
                  <w:tcW w:w="787"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固态</w:t>
                  </w:r>
                </w:p>
              </w:tc>
              <w:tc>
                <w:tcPr>
                  <w:tcW w:w="1694"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水泥厂外购，汽运（罐车）</w:t>
                  </w:r>
                </w:p>
              </w:tc>
              <w:tc>
                <w:tcPr>
                  <w:tcW w:w="1016"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200t水泥筒仓</w:t>
                  </w:r>
                </w:p>
              </w:tc>
              <w:tc>
                <w:tcPr>
                  <w:tcW w:w="1554"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800t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654" w:type="dxa"/>
                  <w:vMerge w:val="continue"/>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p>
              </w:tc>
              <w:tc>
                <w:tcPr>
                  <w:tcW w:w="791"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砂子</w:t>
                  </w:r>
                </w:p>
              </w:tc>
              <w:tc>
                <w:tcPr>
                  <w:tcW w:w="1301"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270</w:t>
                  </w:r>
                </w:p>
              </w:tc>
              <w:tc>
                <w:tcPr>
                  <w:tcW w:w="787"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vertAlign w:val="baseline"/>
                      <w:lang w:val="en-US" w:eastAsia="zh-CN"/>
                    </w:rPr>
                  </w:pPr>
                  <w:r>
                    <w:rPr>
                      <w:rFonts w:hint="eastAsia"/>
                      <w:vertAlign w:val="baseline"/>
                      <w:lang w:val="en-US" w:eastAsia="zh-CN"/>
                    </w:rPr>
                    <w:t>固态</w:t>
                  </w:r>
                </w:p>
              </w:tc>
              <w:tc>
                <w:tcPr>
                  <w:tcW w:w="1694"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砂石厂外购，汽运</w:t>
                  </w:r>
                </w:p>
              </w:tc>
              <w:tc>
                <w:tcPr>
                  <w:tcW w:w="1016"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原料库</w:t>
                  </w:r>
                </w:p>
              </w:tc>
              <w:tc>
                <w:tcPr>
                  <w:tcW w:w="1554"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2500t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654" w:type="dxa"/>
                  <w:vMerge w:val="continue"/>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p>
              </w:tc>
              <w:tc>
                <w:tcPr>
                  <w:tcW w:w="791"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碎石</w:t>
                  </w:r>
                </w:p>
              </w:tc>
              <w:tc>
                <w:tcPr>
                  <w:tcW w:w="1301"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360</w:t>
                  </w:r>
                </w:p>
              </w:tc>
              <w:tc>
                <w:tcPr>
                  <w:tcW w:w="787"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vertAlign w:val="baseline"/>
                      <w:lang w:val="en-US" w:eastAsia="zh-CN"/>
                    </w:rPr>
                  </w:pPr>
                  <w:r>
                    <w:rPr>
                      <w:rFonts w:hint="eastAsia"/>
                      <w:vertAlign w:val="baseline"/>
                      <w:lang w:val="en-US" w:eastAsia="zh-CN"/>
                    </w:rPr>
                    <w:t>固态</w:t>
                  </w:r>
                </w:p>
              </w:tc>
              <w:tc>
                <w:tcPr>
                  <w:tcW w:w="1694"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kern w:val="2"/>
                      <w:sz w:val="21"/>
                      <w:szCs w:val="24"/>
                      <w:vertAlign w:val="baseline"/>
                      <w:lang w:val="en-US" w:eastAsia="zh-CN" w:bidi="ar-SA"/>
                    </w:rPr>
                  </w:pPr>
                  <w:r>
                    <w:rPr>
                      <w:rFonts w:hint="eastAsia"/>
                      <w:vertAlign w:val="baseline"/>
                      <w:lang w:val="en-US" w:eastAsia="zh-CN"/>
                    </w:rPr>
                    <w:t>砂石厂外购，汽运</w:t>
                  </w:r>
                </w:p>
              </w:tc>
              <w:tc>
                <w:tcPr>
                  <w:tcW w:w="1016"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原料库</w:t>
                  </w:r>
                </w:p>
              </w:tc>
              <w:tc>
                <w:tcPr>
                  <w:tcW w:w="1554"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2850t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654" w:type="dxa"/>
                  <w:vMerge w:val="continue"/>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p>
              </w:tc>
              <w:tc>
                <w:tcPr>
                  <w:tcW w:w="791"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粉煤灰</w:t>
                  </w:r>
                </w:p>
              </w:tc>
              <w:tc>
                <w:tcPr>
                  <w:tcW w:w="1301"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36</w:t>
                  </w:r>
                </w:p>
              </w:tc>
              <w:tc>
                <w:tcPr>
                  <w:tcW w:w="787"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vertAlign w:val="baseline"/>
                      <w:lang w:val="en-US" w:eastAsia="zh-CN"/>
                    </w:rPr>
                  </w:pPr>
                  <w:r>
                    <w:rPr>
                      <w:rFonts w:hint="eastAsia"/>
                      <w:vertAlign w:val="baseline"/>
                      <w:lang w:val="en-US" w:eastAsia="zh-CN"/>
                    </w:rPr>
                    <w:t>固态</w:t>
                  </w:r>
                </w:p>
              </w:tc>
              <w:tc>
                <w:tcPr>
                  <w:tcW w:w="1694"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default"/>
                      <w:vertAlign w:val="baseline"/>
                      <w:lang w:val="en-US" w:eastAsia="zh-CN"/>
                    </w:rPr>
                    <w:t>本地电厂外购，汽运（灌装）</w:t>
                  </w:r>
                </w:p>
              </w:tc>
              <w:tc>
                <w:tcPr>
                  <w:tcW w:w="1016"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200t粉煤灰筒仓</w:t>
                  </w:r>
                </w:p>
              </w:tc>
              <w:tc>
                <w:tcPr>
                  <w:tcW w:w="1554"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vertAlign w:val="baseline"/>
                      <w:lang w:val="en-US" w:eastAsia="zh-CN"/>
                    </w:rPr>
                  </w:pPr>
                  <w:r>
                    <w:rPr>
                      <w:rFonts w:hint="eastAsia"/>
                      <w:vertAlign w:val="baseline"/>
                      <w:lang w:val="en-US" w:eastAsia="zh-CN"/>
                    </w:rPr>
                    <w:t>400t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4" w:type="dxa"/>
                  <w:vMerge w:val="continue"/>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p>
              </w:tc>
              <w:tc>
                <w:tcPr>
                  <w:tcW w:w="791"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矿粉</w:t>
                  </w:r>
                </w:p>
              </w:tc>
              <w:tc>
                <w:tcPr>
                  <w:tcW w:w="1301"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28.8</w:t>
                  </w:r>
                </w:p>
              </w:tc>
              <w:tc>
                <w:tcPr>
                  <w:tcW w:w="787"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vertAlign w:val="baseline"/>
                      <w:lang w:val="en-US" w:eastAsia="zh-CN"/>
                    </w:rPr>
                  </w:pPr>
                  <w:r>
                    <w:rPr>
                      <w:rFonts w:hint="eastAsia"/>
                      <w:vertAlign w:val="baseline"/>
                      <w:lang w:val="en-US" w:eastAsia="zh-CN"/>
                    </w:rPr>
                    <w:t>固态</w:t>
                  </w:r>
                </w:p>
              </w:tc>
              <w:tc>
                <w:tcPr>
                  <w:tcW w:w="1694"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外购，汽运</w:t>
                  </w:r>
                </w:p>
              </w:tc>
              <w:tc>
                <w:tcPr>
                  <w:tcW w:w="1016"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200t矿粉筒仓</w:t>
                  </w:r>
                </w:p>
              </w:tc>
              <w:tc>
                <w:tcPr>
                  <w:tcW w:w="1554"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400t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54" w:type="dxa"/>
                  <w:vMerge w:val="continue"/>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p>
              </w:tc>
              <w:tc>
                <w:tcPr>
                  <w:tcW w:w="791"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外加剂</w:t>
                  </w:r>
                </w:p>
              </w:tc>
              <w:tc>
                <w:tcPr>
                  <w:tcW w:w="1301"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20</w:t>
                  </w:r>
                </w:p>
              </w:tc>
              <w:tc>
                <w:tcPr>
                  <w:tcW w:w="787"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vertAlign w:val="baseline"/>
                      <w:lang w:val="en-US" w:eastAsia="zh-CN"/>
                    </w:rPr>
                  </w:pPr>
                  <w:r>
                    <w:rPr>
                      <w:rFonts w:hint="eastAsia"/>
                      <w:vertAlign w:val="baseline"/>
                      <w:lang w:val="en-US" w:eastAsia="zh-CN"/>
                    </w:rPr>
                    <w:t>液态</w:t>
                  </w:r>
                </w:p>
              </w:tc>
              <w:tc>
                <w:tcPr>
                  <w:tcW w:w="1694"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外购，汽运</w:t>
                  </w:r>
                </w:p>
              </w:tc>
              <w:tc>
                <w:tcPr>
                  <w:tcW w:w="1016"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10m³储存罐</w:t>
                  </w:r>
                </w:p>
              </w:tc>
              <w:tc>
                <w:tcPr>
                  <w:tcW w:w="1554"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40t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4" w:type="dxa"/>
                  <w:vMerge w:val="continue"/>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p>
              </w:tc>
              <w:tc>
                <w:tcPr>
                  <w:tcW w:w="791"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yellow"/>
                      <w:vertAlign w:val="baseline"/>
                      <w:lang w:val="en-US" w:eastAsia="zh-CN"/>
                    </w:rPr>
                  </w:pPr>
                  <w:r>
                    <w:rPr>
                      <w:rFonts w:hint="eastAsia"/>
                      <w:highlight w:val="none"/>
                      <w:vertAlign w:val="baseline"/>
                      <w:lang w:val="en-US" w:eastAsia="zh-CN"/>
                    </w:rPr>
                    <w:t>生产用水</w:t>
                  </w:r>
                </w:p>
              </w:tc>
              <w:tc>
                <w:tcPr>
                  <w:tcW w:w="1301"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yellow"/>
                      <w:vertAlign w:val="baseline"/>
                      <w:lang w:val="en-US" w:eastAsia="zh-CN"/>
                    </w:rPr>
                  </w:pPr>
                  <w:r>
                    <w:rPr>
                      <w:rFonts w:hint="eastAsia"/>
                      <w:highlight w:val="none"/>
                      <w:vertAlign w:val="baseline"/>
                      <w:lang w:val="en-US" w:eastAsia="zh-CN"/>
                    </w:rPr>
                    <w:t>593049.6m³/a</w:t>
                  </w:r>
                </w:p>
              </w:tc>
              <w:tc>
                <w:tcPr>
                  <w:tcW w:w="787"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highlight w:val="none"/>
                      <w:vertAlign w:val="baseline"/>
                      <w:lang w:val="en-US" w:eastAsia="zh-CN"/>
                    </w:rPr>
                  </w:pPr>
                  <w:r>
                    <w:rPr>
                      <w:rFonts w:hint="eastAsia"/>
                      <w:highlight w:val="none"/>
                      <w:vertAlign w:val="baseline"/>
                      <w:lang w:val="en-US" w:eastAsia="zh-CN"/>
                    </w:rPr>
                    <w:t>液态</w:t>
                  </w:r>
                </w:p>
              </w:tc>
              <w:tc>
                <w:tcPr>
                  <w:tcW w:w="4264" w:type="dxa"/>
                  <w:gridSpan w:val="3"/>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vertAlign w:val="baseline"/>
                      <w:lang w:val="en-US" w:eastAsia="zh-CN"/>
                    </w:rPr>
                  </w:pPr>
                  <w:r>
                    <w:rPr>
                      <w:rFonts w:hint="eastAsia"/>
                      <w:highlight w:val="none"/>
                      <w:vertAlign w:val="baseline"/>
                      <w:lang w:val="en-US" w:eastAsia="zh-CN"/>
                    </w:rPr>
                    <w:t>市政供水管网提供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54" w:type="dxa"/>
                  <w:vMerge w:val="restart"/>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能源消耗</w:t>
                  </w:r>
                </w:p>
              </w:tc>
              <w:tc>
                <w:tcPr>
                  <w:tcW w:w="791"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highlight w:val="none"/>
                      <w:vertAlign w:val="baseline"/>
                      <w:lang w:val="en-US" w:eastAsia="zh-CN"/>
                    </w:rPr>
                  </w:pPr>
                  <w:r>
                    <w:rPr>
                      <w:rFonts w:hint="eastAsia" w:ascii="Times New Roman" w:hAnsi="Times New Roman" w:eastAsia="宋体" w:cs="Times New Roman"/>
                      <w:highlight w:val="none"/>
                      <w:vertAlign w:val="baseline"/>
                      <w:lang w:val="en-US" w:eastAsia="zh-CN"/>
                    </w:rPr>
                    <w:t>电</w:t>
                  </w:r>
                </w:p>
              </w:tc>
              <w:tc>
                <w:tcPr>
                  <w:tcW w:w="1301"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b/>
                      <w:bCs/>
                      <w:vertAlign w:val="baseline"/>
                      <w:lang w:val="en-US" w:eastAsia="zh-CN"/>
                    </w:rPr>
                  </w:pPr>
                  <w:r>
                    <w:rPr>
                      <w:rFonts w:hint="default"/>
                      <w:b w:val="0"/>
                      <w:bCs w:val="0"/>
                      <w:vertAlign w:val="baseline"/>
                      <w:lang w:val="en-US" w:eastAsia="zh-CN"/>
                    </w:rPr>
                    <w:t>150万kWh</w:t>
                  </w:r>
                </w:p>
              </w:tc>
              <w:tc>
                <w:tcPr>
                  <w:tcW w:w="787"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w:t>
                  </w:r>
                </w:p>
              </w:tc>
              <w:tc>
                <w:tcPr>
                  <w:tcW w:w="4264" w:type="dxa"/>
                  <w:gridSpan w:val="3"/>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szCs w:val="21"/>
                      <w:highlight w:val="none"/>
                      <w:lang w:val="en-US" w:eastAsia="zh-CN"/>
                    </w:rPr>
                    <w:t>接入市政电网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54" w:type="dxa"/>
                  <w:vMerge w:val="continue"/>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p>
              </w:tc>
              <w:tc>
                <w:tcPr>
                  <w:tcW w:w="791"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Times New Roman"/>
                      <w:highlight w:val="none"/>
                      <w:vertAlign w:val="baseline"/>
                      <w:lang w:val="en-US" w:eastAsia="zh-CN"/>
                    </w:rPr>
                  </w:pPr>
                  <w:r>
                    <w:rPr>
                      <w:rFonts w:hint="eastAsia" w:ascii="Times New Roman" w:hAnsi="Times New Roman" w:eastAsia="宋体" w:cs="Times New Roman"/>
                      <w:highlight w:val="none"/>
                      <w:vertAlign w:val="baseline"/>
                      <w:lang w:val="en-US" w:eastAsia="zh-CN"/>
                    </w:rPr>
                    <w:t>生活用水</w:t>
                  </w:r>
                </w:p>
              </w:tc>
              <w:tc>
                <w:tcPr>
                  <w:tcW w:w="1301"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default"/>
                      <w:vertAlign w:val="baseline"/>
                      <w:lang w:val="en-US" w:eastAsia="zh-CN"/>
                    </w:rPr>
                    <w:t>324m³/a</w:t>
                  </w:r>
                </w:p>
              </w:tc>
              <w:tc>
                <w:tcPr>
                  <w:tcW w:w="787"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highlight w:val="none"/>
                      <w:vertAlign w:val="baseline"/>
                      <w:lang w:val="en-US" w:eastAsia="zh-CN"/>
                    </w:rPr>
                    <w:t>液态</w:t>
                  </w:r>
                </w:p>
              </w:tc>
              <w:tc>
                <w:tcPr>
                  <w:tcW w:w="4264" w:type="dxa"/>
                  <w:gridSpan w:val="3"/>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highlight w:val="none"/>
                      <w:vertAlign w:val="baseline"/>
                      <w:lang w:val="en-US" w:eastAsia="zh-CN"/>
                    </w:rPr>
                    <w:t>市政供水管网提供</w:t>
                  </w:r>
                </w:p>
              </w:tc>
            </w:tr>
          </w:tbl>
          <w:p>
            <w:pPr>
              <w:bidi w:val="0"/>
              <w:rPr>
                <w:rFonts w:hint="eastAsia"/>
                <w:b/>
                <w:bCs/>
                <w:lang w:val="en-US" w:eastAsia="zh-CN"/>
              </w:rPr>
            </w:pPr>
            <w:r>
              <w:rPr>
                <w:rFonts w:hint="eastAsia"/>
                <w:b/>
                <w:bCs/>
                <w:lang w:val="en-US" w:eastAsia="zh-CN"/>
              </w:rPr>
              <w:t>（1）砂子</w:t>
            </w:r>
          </w:p>
          <w:p>
            <w:pPr>
              <w:bidi w:val="0"/>
              <w:rPr>
                <w:rFonts w:hint="eastAsia"/>
                <w:lang w:val="en-US" w:eastAsia="zh-CN"/>
              </w:rPr>
            </w:pPr>
            <w:r>
              <w:rPr>
                <w:rFonts w:hint="eastAsia"/>
                <w:lang w:val="en-US" w:eastAsia="zh-CN"/>
              </w:rPr>
              <w:t>砂子（主要成分为SiO</w:t>
            </w:r>
            <w:r>
              <w:rPr>
                <w:rFonts w:hint="eastAsia"/>
                <w:vertAlign w:val="subscript"/>
                <w:lang w:val="en-US" w:eastAsia="zh-CN"/>
              </w:rPr>
              <w:t>2</w:t>
            </w:r>
            <w:r>
              <w:rPr>
                <w:rFonts w:hint="eastAsia"/>
                <w:lang w:val="en-US" w:eastAsia="zh-CN"/>
              </w:rPr>
              <w:t>），多为人工制造，或是人工从某些石块上打磨下来的，颗粒相对更大一些，饱满感更强一些，拿在手中能清晰地感觉到有颗粒存在。</w:t>
            </w:r>
          </w:p>
          <w:p>
            <w:pPr>
              <w:bidi w:val="0"/>
              <w:rPr>
                <w:rFonts w:hint="eastAsia"/>
                <w:b/>
                <w:bCs/>
                <w:lang w:val="en-US" w:eastAsia="zh-CN"/>
              </w:rPr>
            </w:pPr>
            <w:r>
              <w:rPr>
                <w:rFonts w:hint="eastAsia"/>
                <w:b/>
                <w:bCs/>
                <w:lang w:val="en-US" w:eastAsia="zh-CN"/>
              </w:rPr>
              <w:t>（2）碎石</w:t>
            </w:r>
          </w:p>
          <w:p>
            <w:pPr>
              <w:bidi w:val="0"/>
              <w:rPr>
                <w:rFonts w:hint="eastAsia"/>
                <w:lang w:val="en-US" w:eastAsia="zh-CN"/>
              </w:rPr>
            </w:pPr>
            <w:r>
              <w:rPr>
                <w:rFonts w:hint="eastAsia"/>
                <w:lang w:val="en-US" w:eastAsia="zh-CN"/>
              </w:rPr>
              <w:t>破碎的小块</w:t>
            </w:r>
            <w:r>
              <w:rPr>
                <w:rFonts w:hint="default"/>
                <w:lang w:val="en-US" w:eastAsia="zh-CN"/>
              </w:rPr>
              <w:fldChar w:fldCharType="begin"/>
            </w:r>
            <w:r>
              <w:rPr>
                <w:rFonts w:hint="default"/>
                <w:lang w:val="en-US" w:eastAsia="zh-CN"/>
              </w:rPr>
              <w:instrText xml:space="preserve"> HYPERLINK "https://baike.so.com/doc/53428-55964.html" \t "https://baike.so.com/doc/_blank" </w:instrText>
            </w:r>
            <w:r>
              <w:rPr>
                <w:rFonts w:hint="default"/>
                <w:lang w:val="en-US" w:eastAsia="zh-CN"/>
              </w:rPr>
              <w:fldChar w:fldCharType="separate"/>
            </w:r>
            <w:r>
              <w:rPr>
                <w:rFonts w:hint="default"/>
                <w:lang w:val="en-US" w:eastAsia="zh-CN"/>
              </w:rPr>
              <w:t>岩石</w:t>
            </w:r>
            <w:r>
              <w:rPr>
                <w:rFonts w:hint="default"/>
                <w:lang w:val="en-US" w:eastAsia="zh-CN"/>
              </w:rPr>
              <w:fldChar w:fldCharType="end"/>
            </w:r>
            <w:r>
              <w:rPr>
                <w:rFonts w:hint="default"/>
                <w:lang w:val="en-US" w:eastAsia="zh-CN"/>
              </w:rPr>
              <w:t>，它的大小、形状、及纹理都呈现不规则状态。它可能是因为天然原因，或是人为加以破坏之后产生。</w:t>
            </w:r>
          </w:p>
          <w:p>
            <w:pPr>
              <w:bidi w:val="0"/>
              <w:rPr>
                <w:rFonts w:hint="eastAsia"/>
                <w:b/>
                <w:bCs/>
                <w:lang w:val="en-US" w:eastAsia="zh-CN"/>
              </w:rPr>
            </w:pPr>
            <w:r>
              <w:rPr>
                <w:rFonts w:hint="eastAsia"/>
                <w:b/>
                <w:bCs/>
                <w:lang w:val="en-US" w:eastAsia="zh-CN"/>
              </w:rPr>
              <w:t>（3）水泥</w:t>
            </w:r>
          </w:p>
          <w:p>
            <w:pPr>
              <w:bidi w:val="0"/>
              <w:rPr>
                <w:rFonts w:hint="eastAsia"/>
                <w:lang w:val="en-US" w:eastAsia="zh-CN"/>
              </w:rPr>
            </w:pPr>
            <w:r>
              <w:rPr>
                <w:rFonts w:hint="eastAsia"/>
                <w:lang w:val="en-US" w:eastAsia="zh-CN"/>
              </w:rPr>
              <w:t>水泥：粉状水硬性无机胶凝材料。加水搅拌后成浆体，能在空气中硬化或者在水中硬化，并能把砂、石等材料牢固地胶结在一起。早期石灰与火山灰的混合物与现代的石灰火山灰水泥很相似，用它胶结碎石制成的混凝土，硬化后不但强度较高，而且还能抵抗淡水或含盐水的侵蚀。长期以来，它作为一种重要的胶凝材料，广泛应用于土木建筑、水利、国防等工程。旧时水泥又称“洋灰”。</w:t>
            </w:r>
          </w:p>
          <w:p>
            <w:pPr>
              <w:bidi w:val="0"/>
              <w:rPr>
                <w:rFonts w:hint="eastAsia"/>
                <w:b/>
                <w:bCs/>
                <w:lang w:val="en-US" w:eastAsia="zh-CN"/>
              </w:rPr>
            </w:pPr>
            <w:r>
              <w:rPr>
                <w:rFonts w:hint="eastAsia"/>
                <w:b/>
                <w:bCs/>
                <w:lang w:val="en-US" w:eastAsia="zh-CN"/>
              </w:rPr>
              <w:t>（4）粉煤灰</w:t>
            </w:r>
          </w:p>
          <w:p>
            <w:pPr>
              <w:bidi w:val="0"/>
              <w:rPr>
                <w:rFonts w:hint="eastAsia"/>
                <w:lang w:val="en-US" w:eastAsia="zh-CN"/>
              </w:rPr>
            </w:pPr>
            <w:r>
              <w:rPr>
                <w:rFonts w:hint="eastAsia"/>
                <w:lang w:val="en-US" w:eastAsia="zh-CN"/>
              </w:rPr>
              <w:t>粉煤灰，是从煤燃烧后的烟气中收捕下来的细灰，粉煤灰是燃煤电厂排出的主要固体废物。我国火电厂粉煤灰的主要氧化物组成为：SiO</w:t>
            </w:r>
            <w:r>
              <w:rPr>
                <w:rFonts w:hint="eastAsia"/>
                <w:vertAlign w:val="subscript"/>
                <w:lang w:val="en-US" w:eastAsia="zh-CN"/>
              </w:rPr>
              <w:t>2</w:t>
            </w:r>
            <w:r>
              <w:rPr>
                <w:rFonts w:hint="eastAsia"/>
                <w:lang w:val="en-US" w:eastAsia="zh-CN"/>
              </w:rPr>
              <w:t>、Al</w:t>
            </w:r>
            <w:r>
              <w:rPr>
                <w:rFonts w:hint="eastAsia"/>
                <w:vertAlign w:val="subscript"/>
                <w:lang w:val="en-US" w:eastAsia="zh-CN"/>
              </w:rPr>
              <w:t>2</w:t>
            </w:r>
            <w:r>
              <w:rPr>
                <w:rFonts w:hint="eastAsia"/>
                <w:lang w:val="en-US" w:eastAsia="zh-CN"/>
              </w:rPr>
              <w:t>O</w:t>
            </w:r>
            <w:r>
              <w:rPr>
                <w:rFonts w:hint="eastAsia"/>
                <w:vertAlign w:val="subscript"/>
                <w:lang w:val="en-US" w:eastAsia="zh-CN"/>
              </w:rPr>
              <w:t>3</w:t>
            </w:r>
            <w:r>
              <w:rPr>
                <w:rFonts w:hint="eastAsia"/>
                <w:lang w:val="en-US" w:eastAsia="zh-CN"/>
              </w:rPr>
              <w:t>、FeO、Fe</w:t>
            </w:r>
            <w:r>
              <w:rPr>
                <w:rFonts w:hint="eastAsia"/>
                <w:vertAlign w:val="subscript"/>
                <w:lang w:val="en-US" w:eastAsia="zh-CN"/>
              </w:rPr>
              <w:t>2</w:t>
            </w:r>
            <w:r>
              <w:rPr>
                <w:rFonts w:hint="eastAsia"/>
                <w:lang w:val="en-US" w:eastAsia="zh-CN"/>
              </w:rPr>
              <w:t>O</w:t>
            </w:r>
            <w:r>
              <w:rPr>
                <w:rFonts w:hint="eastAsia"/>
                <w:vertAlign w:val="subscript"/>
                <w:lang w:val="en-US" w:eastAsia="zh-CN"/>
              </w:rPr>
              <w:t>3</w:t>
            </w:r>
            <w:r>
              <w:rPr>
                <w:rFonts w:hint="eastAsia"/>
                <w:lang w:val="en-US" w:eastAsia="zh-CN"/>
              </w:rPr>
              <w:t>、CaO、TiO</w:t>
            </w:r>
            <w:r>
              <w:rPr>
                <w:rFonts w:hint="eastAsia"/>
                <w:vertAlign w:val="subscript"/>
                <w:lang w:val="en-US" w:eastAsia="zh-CN"/>
              </w:rPr>
              <w:t>2</w:t>
            </w:r>
            <w:r>
              <w:rPr>
                <w:rFonts w:hint="eastAsia"/>
                <w:lang w:val="en-US" w:eastAsia="zh-CN"/>
              </w:rPr>
              <w:t>等。随着电力工业的发展，燃煤电厂的粉煤灰排放量逐年增加，成为我国当前排量较大的工业废渣之一。大量的粉煤灰不加处理，就会产生扬尘，污染大气;若排入水系会造成河流淤塞，而其中的有毒化学物质还会对人体和生物造成危害。但粉煤灰可资源化利用，如作为混凝土的掺合料等。</w:t>
            </w:r>
          </w:p>
          <w:p>
            <w:pPr>
              <w:bidi w:val="0"/>
              <w:rPr>
                <w:rFonts w:hint="eastAsia"/>
                <w:lang w:val="en-US" w:eastAsia="zh-CN"/>
              </w:rPr>
            </w:pPr>
            <w:r>
              <w:rPr>
                <w:rFonts w:hint="eastAsia"/>
                <w:b/>
                <w:bCs/>
                <w:lang w:val="en-US" w:eastAsia="zh-CN"/>
              </w:rPr>
              <w:t>（5）矿粉</w:t>
            </w:r>
          </w:p>
          <w:p>
            <w:pPr>
              <w:bidi w:val="0"/>
              <w:rPr>
                <w:rFonts w:hint="eastAsia"/>
                <w:lang w:val="en-US" w:eastAsia="zh-CN"/>
              </w:rPr>
            </w:pPr>
            <w:r>
              <w:rPr>
                <w:rFonts w:hint="eastAsia"/>
                <w:lang w:val="en-US" w:eastAsia="zh-CN"/>
              </w:rPr>
              <w:t>矿粉一般是指将开采出来的矿石进行粉碎加工后所得到的料粉。</w:t>
            </w:r>
          </w:p>
          <w:p>
            <w:pPr>
              <w:bidi w:val="0"/>
              <w:rPr>
                <w:rFonts w:hint="eastAsia"/>
                <w:b/>
                <w:bCs/>
                <w:lang w:val="en-US" w:eastAsia="zh-CN"/>
              </w:rPr>
            </w:pPr>
            <w:r>
              <w:rPr>
                <w:rFonts w:hint="eastAsia"/>
                <w:b/>
                <w:bCs/>
                <w:lang w:val="en-US" w:eastAsia="zh-CN"/>
              </w:rPr>
              <w:t>（6）外加剂</w:t>
            </w:r>
          </w:p>
          <w:p>
            <w:pPr>
              <w:bidi w:val="0"/>
              <w:rPr>
                <w:rFonts w:hint="default" w:eastAsia="宋体"/>
                <w:lang w:val="en-US" w:eastAsia="zh-CN"/>
              </w:rPr>
            </w:pPr>
            <w:r>
              <w:t>本项目</w:t>
            </w:r>
            <w:r>
              <w:rPr>
                <w:rFonts w:hint="eastAsia"/>
                <w:lang w:eastAsia="zh-CN"/>
              </w:rPr>
              <w:t>外加剂</w:t>
            </w:r>
            <w:r>
              <w:t>主要为聚羧酸减水剂，聚羧酸减水剂是一种高性能减水剂，是水泥混凝土运用中的一种水泥分散剂，羧酸减水剂是由聚乙烯醇单甲醚和甲基丙烯酸先酯化再和甲基丙烯酸缩合而成的大分子链化合物，聚羧酸作为高分子化合物，往往呈树脂状，有很好的强度、韧性、化学稳定性，可作为多种用途的材料。</w:t>
            </w:r>
            <w:r>
              <w:rPr>
                <w:rFonts w:hint="eastAsia"/>
                <w:lang w:val="en-US" w:eastAsia="zh-CN"/>
              </w:rPr>
              <w:t>减水率比≥14%，泌水率比≤90，含气量≤3.0%，凝结时间之差/min：初凝、终凝-90+120，抗压强度比：1d≥140%、3d≥130%、7d≥125%、28d≥120%，收缩比≤135%。</w:t>
            </w:r>
          </w:p>
          <w:p>
            <w:pPr>
              <w:bidi w:val="0"/>
              <w:rPr>
                <w:rFonts w:hint="eastAsia"/>
                <w:b/>
                <w:bCs/>
                <w:lang w:val="en-US" w:eastAsia="zh-CN"/>
              </w:rPr>
            </w:pPr>
            <w:r>
              <w:rPr>
                <w:rFonts w:hint="eastAsia"/>
                <w:b/>
                <w:bCs/>
                <w:lang w:val="en-US" w:eastAsia="zh-CN"/>
              </w:rPr>
              <w:t>5、劳动定员及生产制度</w:t>
            </w:r>
          </w:p>
          <w:p>
            <w:pPr>
              <w:bidi w:val="0"/>
              <w:rPr>
                <w:rFonts w:hint="eastAsia"/>
                <w:lang w:val="en-US" w:eastAsia="zh-CN"/>
              </w:rPr>
            </w:pPr>
            <w:r>
              <w:rPr>
                <w:rFonts w:hint="default"/>
                <w:lang w:val="en-US" w:eastAsia="zh-CN"/>
              </w:rPr>
              <w:t>本项目运营期工作人员</w:t>
            </w:r>
            <w:r>
              <w:rPr>
                <w:rFonts w:hint="eastAsia"/>
                <w:lang w:val="en-US" w:eastAsia="zh-CN"/>
              </w:rPr>
              <w:t>20</w:t>
            </w:r>
            <w:r>
              <w:rPr>
                <w:rFonts w:hint="default"/>
                <w:lang w:val="en-US" w:eastAsia="zh-CN"/>
              </w:rPr>
              <w:t>名，年工作天数2</w:t>
            </w:r>
            <w:r>
              <w:rPr>
                <w:rFonts w:hint="eastAsia"/>
                <w:lang w:val="en-US" w:eastAsia="zh-CN"/>
              </w:rPr>
              <w:t>7</w:t>
            </w:r>
            <w:r>
              <w:rPr>
                <w:rFonts w:hint="default"/>
                <w:lang w:val="en-US" w:eastAsia="zh-CN"/>
              </w:rPr>
              <w:t>0天，</w:t>
            </w:r>
            <w:r>
              <w:rPr>
                <w:rFonts w:hint="eastAsia"/>
                <w:lang w:val="en-US" w:eastAsia="zh-CN"/>
              </w:rPr>
              <w:t>日工作15h，夜间不生产。</w:t>
            </w:r>
          </w:p>
          <w:p>
            <w:pPr>
              <w:bidi w:val="0"/>
              <w:rPr>
                <w:rFonts w:hint="eastAsia"/>
                <w:b/>
                <w:bCs/>
                <w:lang w:val="en-US" w:eastAsia="zh-CN"/>
              </w:rPr>
            </w:pPr>
            <w:r>
              <w:rPr>
                <w:rFonts w:hint="eastAsia"/>
                <w:b/>
                <w:bCs/>
                <w:lang w:val="en-US" w:eastAsia="zh-CN"/>
              </w:rPr>
              <w:t>6、公用工程</w:t>
            </w:r>
          </w:p>
          <w:p>
            <w:pPr>
              <w:bidi w:val="0"/>
              <w:rPr>
                <w:rFonts w:hint="default"/>
                <w:b/>
                <w:bCs/>
                <w:lang w:val="en-US" w:eastAsia="zh-CN"/>
              </w:rPr>
            </w:pPr>
            <w:r>
              <w:rPr>
                <w:rFonts w:hint="eastAsia"/>
                <w:b/>
                <w:bCs/>
                <w:lang w:val="en-US" w:eastAsia="zh-CN"/>
              </w:rPr>
              <w:t>（1）供水工程</w:t>
            </w:r>
          </w:p>
          <w:p>
            <w:pPr>
              <w:bidi w:val="0"/>
              <w:rPr>
                <w:rFonts w:hint="default"/>
                <w:highlight w:val="none"/>
                <w:lang w:val="en-US" w:eastAsia="zh-CN"/>
              </w:rPr>
            </w:pPr>
            <w:r>
              <w:rPr>
                <w:rFonts w:hint="eastAsia"/>
                <w:lang w:val="en-US" w:eastAsia="zh-CN"/>
              </w:rPr>
              <w:t>本项目用水主要为生活用水及生产用水</w:t>
            </w:r>
            <w:r>
              <w:rPr>
                <w:rFonts w:hint="eastAsia"/>
                <w:highlight w:val="none"/>
                <w:lang w:val="en-US" w:eastAsia="zh-CN"/>
              </w:rPr>
              <w:t>。生活用水及生产用水均由市政供水管网提供。</w:t>
            </w:r>
          </w:p>
          <w:p>
            <w:pPr>
              <w:bidi w:val="0"/>
              <w:rPr>
                <w:rFonts w:hint="eastAsia"/>
                <w:b/>
                <w:bCs/>
                <w:lang w:val="en-US" w:eastAsia="zh-CN"/>
              </w:rPr>
            </w:pPr>
            <w:r>
              <w:rPr>
                <w:rFonts w:hint="eastAsia"/>
                <w:b/>
                <w:bCs/>
                <w:lang w:val="en-US" w:eastAsia="zh-CN"/>
              </w:rPr>
              <w:t>①生活用水</w:t>
            </w:r>
          </w:p>
          <w:p>
            <w:pPr>
              <w:bidi w:val="0"/>
              <w:rPr>
                <w:rFonts w:hint="eastAsia" w:ascii="Times New Roman" w:hAnsi="Times New Roman" w:eastAsia="宋体" w:cs="Times New Roman"/>
                <w:lang w:val="en-US" w:eastAsia="zh-CN"/>
              </w:rPr>
            </w:pPr>
            <w:r>
              <w:rPr>
                <w:rFonts w:hint="eastAsia"/>
                <w:lang w:val="en-US" w:eastAsia="zh-CN"/>
              </w:rPr>
              <w:t>本项目劳动定员20人，根据《内蒙古自治区行业用水定额》（DB15/T385-2020），职工生活用水量按60</w:t>
            </w:r>
            <w:r>
              <w:rPr>
                <w:rFonts w:hint="eastAsia" w:ascii="Times New Roman" w:hAnsi="Times New Roman" w:eastAsia="宋体" w:cs="Times New Roman"/>
                <w:lang w:val="en-US" w:eastAsia="zh-CN"/>
              </w:rPr>
              <w:t>L/人·d计，则用水量为1.2m³/d，本项目年工作270天，则生活用水量为324m³/a。</w:t>
            </w:r>
          </w:p>
          <w:p>
            <w:pPr>
              <w:bidi w:val="0"/>
              <w:rPr>
                <w:rFonts w:hint="default"/>
                <w:b/>
                <w:bCs/>
                <w:lang w:val="en-US" w:eastAsia="zh-CN"/>
              </w:rPr>
            </w:pPr>
            <w:r>
              <w:rPr>
                <w:rFonts w:hint="eastAsia"/>
                <w:b/>
                <w:bCs/>
                <w:lang w:val="en-US" w:eastAsia="zh-CN"/>
              </w:rPr>
              <w:t>②生产用水</w:t>
            </w:r>
          </w:p>
          <w:p>
            <w:pPr>
              <w:bidi w:val="0"/>
              <w:rPr>
                <w:rFonts w:hint="default"/>
                <w:lang w:val="en-US" w:eastAsia="zh-CN"/>
              </w:rPr>
            </w:pPr>
            <w:r>
              <w:rPr>
                <w:rFonts w:hint="eastAsia"/>
                <w:lang w:val="en-US" w:eastAsia="zh-CN"/>
              </w:rPr>
              <w:t>生产用水主要为搅拌混合用水、原料堆场抑尘用水、搅拌机清洗用水、运输车辆清洗用水及绿化用水。</w:t>
            </w:r>
          </w:p>
          <w:p>
            <w:pPr>
              <w:bidi w:val="0"/>
              <w:rPr>
                <w:rFonts w:hint="eastAsia"/>
                <w:b/>
                <w:bCs/>
                <w:lang w:val="en-US" w:eastAsia="zh-CN"/>
              </w:rPr>
            </w:pPr>
            <w:r>
              <w:rPr>
                <w:rFonts w:hint="eastAsia"/>
                <w:b/>
                <w:bCs/>
                <w:lang w:val="en-US" w:eastAsia="zh-CN"/>
              </w:rPr>
              <w:t>搅拌混合用水</w:t>
            </w:r>
          </w:p>
          <w:p>
            <w:pPr>
              <w:bidi w:val="0"/>
              <w:rPr>
                <w:rFonts w:hint="eastAsia"/>
                <w:lang w:val="en-US" w:eastAsia="zh-CN"/>
              </w:rPr>
            </w:pPr>
            <w:r>
              <w:rPr>
                <w:rFonts w:hint="eastAsia"/>
                <w:lang w:val="en-US" w:eastAsia="zh-CN"/>
              </w:rPr>
              <w:t>混凝土加工需要加水，按照生产每立方米混凝土加水量0.16m³计算，本项目年生产混凝土360万m³/a，本项目混凝加工搅拌混合用水量为576000m³/a。</w:t>
            </w:r>
          </w:p>
          <w:p>
            <w:pPr>
              <w:bidi w:val="0"/>
              <w:rPr>
                <w:rFonts w:hint="eastAsia"/>
                <w:b/>
                <w:bCs/>
                <w:lang w:val="en-US" w:eastAsia="zh-CN"/>
              </w:rPr>
            </w:pPr>
            <w:r>
              <w:rPr>
                <w:rFonts w:hint="eastAsia"/>
                <w:b/>
                <w:bCs/>
                <w:lang w:val="en-US" w:eastAsia="zh-CN"/>
              </w:rPr>
              <w:t>原料堆场抑尘用水</w:t>
            </w:r>
          </w:p>
          <w:p>
            <w:pPr>
              <w:bidi w:val="0"/>
              <w:rPr>
                <w:rFonts w:hint="eastAsia"/>
                <w:lang w:val="en-US" w:eastAsia="zh-CN"/>
              </w:rPr>
            </w:pPr>
            <w:r>
              <w:rPr>
                <w:rFonts w:hint="eastAsia"/>
                <w:lang w:val="en-US" w:eastAsia="zh-CN"/>
              </w:rPr>
              <w:t>原料堆场占地面</w:t>
            </w:r>
            <w:r>
              <w:rPr>
                <w:rFonts w:hint="eastAsia"/>
                <w:highlight w:val="none"/>
                <w:lang w:val="en-US" w:eastAsia="zh-CN"/>
              </w:rPr>
              <w:t>积为1000㎡，</w:t>
            </w:r>
            <w:r>
              <w:rPr>
                <w:rFonts w:hint="eastAsia"/>
                <w:lang w:val="en-US" w:eastAsia="zh-CN"/>
              </w:rPr>
              <w:t>为全封闭结构，抑尘用水定额按照0.5L/㎡·d计，则原料堆场抑尘用水量为0.5m³/d，本项目年工作270d，原料堆场扬尘抑尘年用水量为135m³/a。</w:t>
            </w:r>
          </w:p>
          <w:p>
            <w:pPr>
              <w:bidi w:val="0"/>
              <w:rPr>
                <w:rFonts w:hint="eastAsia"/>
                <w:b/>
                <w:bCs/>
                <w:lang w:val="en-US" w:eastAsia="zh-CN"/>
              </w:rPr>
            </w:pPr>
            <w:r>
              <w:rPr>
                <w:rFonts w:hint="eastAsia"/>
                <w:b/>
                <w:bCs/>
                <w:lang w:val="en-US" w:eastAsia="zh-CN"/>
              </w:rPr>
              <w:t>搅拌机清洗用水</w:t>
            </w:r>
          </w:p>
          <w:p>
            <w:pPr>
              <w:bidi w:val="0"/>
              <w:rPr>
                <w:rFonts w:hint="eastAsia"/>
                <w:lang w:val="en-US" w:eastAsia="zh-CN"/>
              </w:rPr>
            </w:pPr>
            <w:r>
              <w:rPr>
                <w:rFonts w:hint="eastAsia"/>
                <w:lang w:val="en-US" w:eastAsia="zh-CN"/>
              </w:rPr>
              <w:t>每天生产结束后，搅拌机需要清洗以确保正常运行。每台搅拌机单次清洗用水1.0m³，日用水量为2.0m³/d，则年用水量为540m³/a。</w:t>
            </w:r>
          </w:p>
          <w:p>
            <w:pPr>
              <w:bidi w:val="0"/>
              <w:rPr>
                <w:rFonts w:hint="eastAsia"/>
                <w:b/>
                <w:bCs/>
                <w:lang w:val="en-US" w:eastAsia="zh-CN"/>
              </w:rPr>
            </w:pPr>
            <w:r>
              <w:rPr>
                <w:rFonts w:hint="eastAsia"/>
                <w:b/>
                <w:bCs/>
                <w:lang w:val="en-US" w:eastAsia="zh-CN"/>
              </w:rPr>
              <w:t>运输车辆清洗用水</w:t>
            </w:r>
          </w:p>
          <w:p>
            <w:pPr>
              <w:bidi w:val="0"/>
              <w:rPr>
                <w:rFonts w:hint="eastAsia"/>
                <w:lang w:val="en-US" w:eastAsia="zh-CN"/>
              </w:rPr>
            </w:pPr>
            <w:r>
              <w:rPr>
                <w:rFonts w:hint="eastAsia"/>
                <w:lang w:val="en-US" w:eastAsia="zh-CN"/>
              </w:rPr>
              <w:t>项目设置1套自动洗车机用于清运输车，洗车方式为车辆停在车位上方，多股水流向上喷出，清洗车轮、车辆四周和底部，清洗废水送厂内沉淀系统处理后回用。根据《内蒙古自治区行业用水定额》（DB15/T385-2020）洗车用水定额为0.02m³/车次，日洗车数量约958辆，则日用水量为19.16m³/d，即5173.2m³/a。</w:t>
            </w:r>
          </w:p>
          <w:p>
            <w:pPr>
              <w:bidi w:val="0"/>
              <w:rPr>
                <w:rFonts w:hint="default"/>
                <w:b/>
                <w:bCs/>
                <w:lang w:val="en-US" w:eastAsia="zh-CN"/>
              </w:rPr>
            </w:pPr>
            <w:r>
              <w:rPr>
                <w:rFonts w:hint="eastAsia"/>
                <w:b/>
                <w:bCs/>
                <w:lang w:val="en-US" w:eastAsia="zh-CN"/>
              </w:rPr>
              <w:t>绿化用水</w:t>
            </w:r>
          </w:p>
          <w:p>
            <w:pPr>
              <w:bidi w:val="0"/>
              <w:rPr>
                <w:rFonts w:hint="eastAsia"/>
                <w:b w:val="0"/>
                <w:bCs w:val="0"/>
                <w:lang w:val="en-US" w:eastAsia="zh-CN"/>
              </w:rPr>
            </w:pPr>
            <w:r>
              <w:rPr>
                <w:rFonts w:hint="eastAsia"/>
                <w:lang w:val="en-US" w:eastAsia="zh-CN"/>
              </w:rPr>
              <w:t>根据《内蒙古自治区行业用水定额》（DB15/T385-2020）</w:t>
            </w:r>
            <w:r>
              <w:rPr>
                <w:rFonts w:hint="eastAsia"/>
                <w:b w:val="0"/>
                <w:bCs w:val="0"/>
                <w:lang w:val="en-US" w:eastAsia="zh-CN"/>
              </w:rPr>
              <w:t>，绿化用水指标为1.1m³/d·㎡，绿化用水天数按180d/a，全厂绿化面积500㎡，则绿化用水量为550m³/d（99000m³/a）。</w:t>
            </w:r>
          </w:p>
          <w:p>
            <w:pPr>
              <w:bidi w:val="0"/>
              <w:rPr>
                <w:rFonts w:hint="eastAsia"/>
                <w:b/>
                <w:bCs/>
                <w:lang w:val="en-US" w:eastAsia="zh-CN"/>
              </w:rPr>
            </w:pPr>
            <w:r>
              <w:rPr>
                <w:rFonts w:hint="eastAsia"/>
                <w:b/>
                <w:bCs/>
                <w:lang w:val="en-US" w:eastAsia="zh-CN"/>
              </w:rPr>
              <w:t>（2）排水工程</w:t>
            </w:r>
          </w:p>
          <w:p>
            <w:pPr>
              <w:bidi w:val="0"/>
              <w:rPr>
                <w:rFonts w:hint="eastAsia"/>
                <w:b/>
                <w:bCs/>
                <w:lang w:val="en-US" w:eastAsia="zh-CN"/>
              </w:rPr>
            </w:pPr>
            <w:r>
              <w:rPr>
                <w:rFonts w:hint="eastAsia"/>
                <w:b/>
                <w:bCs/>
                <w:lang w:val="en-US" w:eastAsia="zh-CN"/>
              </w:rPr>
              <w:t>①生活污水</w:t>
            </w:r>
          </w:p>
          <w:p>
            <w:pPr>
              <w:bidi w:val="0"/>
              <w:rPr>
                <w:rFonts w:hint="eastAsia"/>
                <w:lang w:val="en-US" w:eastAsia="zh-CN"/>
              </w:rPr>
            </w:pPr>
            <w:r>
              <w:rPr>
                <w:rFonts w:hint="eastAsia"/>
                <w:lang w:val="en-US" w:eastAsia="zh-CN"/>
              </w:rPr>
              <w:t>生活污水排放量按照用水量的80%计算，则生活污水排放量为0.96m³/d，即259.2m³/a，产生的生活污水由化粪池收集后，拉运至内蒙古蓝天碧水环境科技工程有限公司进行处理，无其他废水外排。</w:t>
            </w:r>
          </w:p>
          <w:p>
            <w:pPr>
              <w:bidi w:val="0"/>
              <w:rPr>
                <w:rFonts w:hint="eastAsia"/>
                <w:b/>
                <w:bCs/>
                <w:highlight w:val="none"/>
                <w:lang w:val="en-US" w:eastAsia="zh-CN"/>
              </w:rPr>
            </w:pPr>
            <w:r>
              <w:rPr>
                <w:rFonts w:hint="eastAsia"/>
                <w:b/>
                <w:bCs/>
                <w:highlight w:val="none"/>
                <w:lang w:val="en-US" w:eastAsia="zh-CN"/>
              </w:rPr>
              <w:t>②生产废水</w:t>
            </w:r>
          </w:p>
          <w:p>
            <w:pPr>
              <w:bidi w:val="0"/>
              <w:rPr>
                <w:rFonts w:hint="eastAsia"/>
                <w:b/>
                <w:bCs/>
                <w:lang w:val="en-US" w:eastAsia="zh-CN"/>
              </w:rPr>
            </w:pPr>
            <w:r>
              <w:rPr>
                <w:rFonts w:hint="eastAsia"/>
                <w:b/>
                <w:bCs/>
                <w:lang w:val="en-US" w:eastAsia="zh-CN"/>
              </w:rPr>
              <w:t>原料堆场抑尘废水</w:t>
            </w:r>
          </w:p>
          <w:p>
            <w:pPr>
              <w:bidi w:val="0"/>
              <w:rPr>
                <w:rFonts w:hint="eastAsia"/>
                <w:highlight w:val="yellow"/>
                <w:lang w:val="en-US" w:eastAsia="zh-CN"/>
              </w:rPr>
            </w:pPr>
            <w:r>
              <w:rPr>
                <w:rFonts w:hint="eastAsia"/>
                <w:lang w:val="en-US" w:eastAsia="zh-CN"/>
              </w:rPr>
              <w:t>降尘用水为雾化水，粒径在1~100微米，作为水雾最终蒸发，无废水产生。</w:t>
            </w:r>
          </w:p>
          <w:p>
            <w:pPr>
              <w:bidi w:val="0"/>
              <w:rPr>
                <w:rFonts w:hint="eastAsia"/>
                <w:highlight w:val="yellow"/>
                <w:lang w:val="en-US" w:eastAsia="zh-CN"/>
              </w:rPr>
            </w:pPr>
            <w:r>
              <w:rPr>
                <w:rFonts w:hint="eastAsia"/>
                <w:b/>
                <w:bCs/>
                <w:lang w:val="en-US" w:eastAsia="zh-CN"/>
              </w:rPr>
              <w:t>搅拌机清洗废水</w:t>
            </w:r>
          </w:p>
          <w:p>
            <w:pPr>
              <w:bidi w:val="0"/>
              <w:rPr>
                <w:rFonts w:hint="eastAsia"/>
                <w:lang w:val="en-US" w:eastAsia="zh-CN"/>
              </w:rPr>
            </w:pPr>
            <w:r>
              <w:rPr>
                <w:rFonts w:hint="eastAsia"/>
                <w:lang w:val="en-US" w:eastAsia="zh-CN"/>
              </w:rPr>
              <w:t>搅拌机清洗系统废水按用水90%计算，排水量为1.8m³/d，即486m³/a，送厂区沉淀系统处理后回用于</w:t>
            </w:r>
            <w:r>
              <w:rPr>
                <w:rFonts w:hint="default"/>
                <w:lang w:val="en-US" w:eastAsia="zh-CN"/>
              </w:rPr>
              <w:t>混凝土产线</w:t>
            </w:r>
            <w:r>
              <w:rPr>
                <w:rFonts w:hint="eastAsia"/>
                <w:lang w:val="en-US" w:eastAsia="zh-CN"/>
              </w:rPr>
              <w:t>，不外排。</w:t>
            </w:r>
          </w:p>
          <w:p>
            <w:pPr>
              <w:bidi w:val="0"/>
              <w:rPr>
                <w:rFonts w:hint="eastAsia"/>
                <w:b/>
                <w:bCs/>
                <w:lang w:val="en-US" w:eastAsia="zh-CN"/>
              </w:rPr>
            </w:pPr>
            <w:r>
              <w:rPr>
                <w:rFonts w:hint="eastAsia"/>
                <w:b/>
                <w:bCs/>
                <w:lang w:val="en-US" w:eastAsia="zh-CN"/>
              </w:rPr>
              <w:t>运输车辆清洗废水</w:t>
            </w:r>
          </w:p>
          <w:p>
            <w:pPr>
              <w:bidi w:val="0"/>
              <w:rPr>
                <w:rFonts w:hint="default"/>
                <w:lang w:val="en-US" w:eastAsia="zh-CN"/>
              </w:rPr>
            </w:pPr>
            <w:r>
              <w:rPr>
                <w:rFonts w:hint="default"/>
                <w:lang w:val="en-US" w:eastAsia="zh-CN"/>
              </w:rPr>
              <w:t>运输车辆清洗废水按用水90%计算，则排水量为</w:t>
            </w:r>
            <w:r>
              <w:rPr>
                <w:rFonts w:hint="eastAsia"/>
                <w:lang w:val="en-US" w:eastAsia="zh-CN"/>
              </w:rPr>
              <w:t>17.24m³/d，即4654.8m³/a，</w:t>
            </w:r>
            <w:r>
              <w:rPr>
                <w:rFonts w:hint="default"/>
                <w:lang w:val="en-US" w:eastAsia="zh-CN"/>
              </w:rPr>
              <w:t>送厂区沉淀系统处理后回用于混凝土产线。</w:t>
            </w:r>
          </w:p>
          <w:p>
            <w:pPr>
              <w:bidi w:val="0"/>
              <w:rPr>
                <w:rFonts w:hint="eastAsia"/>
                <w:b/>
                <w:bCs/>
                <w:lang w:val="en-US" w:eastAsia="zh-CN"/>
              </w:rPr>
            </w:pPr>
            <w:r>
              <w:rPr>
                <w:rFonts w:hint="eastAsia"/>
                <w:b/>
                <w:bCs/>
                <w:lang w:val="en-US" w:eastAsia="zh-CN"/>
              </w:rPr>
              <w:t>初期雨水</w:t>
            </w:r>
          </w:p>
          <w:p>
            <w:pPr>
              <w:bidi w:val="0"/>
              <w:rPr>
                <w:rFonts w:hint="default"/>
                <w:lang w:val="en-US" w:eastAsia="zh-CN"/>
              </w:rPr>
            </w:pPr>
            <w:r>
              <w:rPr>
                <w:rFonts w:hint="default"/>
                <w:lang w:val="en-US" w:eastAsia="zh-CN"/>
              </w:rPr>
              <w:t>初期雨水经初期雨水池收集后送厂内沉淀系统处理后回用于</w:t>
            </w:r>
            <w:r>
              <w:rPr>
                <w:rFonts w:hint="eastAsia"/>
                <w:lang w:val="en-US" w:eastAsia="zh-CN"/>
              </w:rPr>
              <w:t>原料堆场洒水抑尘、</w:t>
            </w:r>
            <w:r>
              <w:rPr>
                <w:rFonts w:hint="default"/>
                <w:lang w:val="en-US" w:eastAsia="zh-CN"/>
              </w:rPr>
              <w:t>混凝土产线。</w:t>
            </w:r>
          </w:p>
          <w:p>
            <w:pPr>
              <w:bidi w:val="0"/>
              <w:rPr>
                <w:rFonts w:hint="eastAsia"/>
                <w:b/>
                <w:bCs/>
                <w:lang w:val="en-US" w:eastAsia="zh-CN"/>
              </w:rPr>
            </w:pPr>
            <w:r>
              <w:rPr>
                <w:rFonts w:hint="eastAsia"/>
                <w:b/>
                <w:bCs/>
                <w:lang w:val="en-US" w:eastAsia="zh-CN"/>
              </w:rPr>
              <w:t>绿化</w:t>
            </w:r>
          </w:p>
          <w:p>
            <w:pPr>
              <w:bidi w:val="0"/>
              <w:rPr>
                <w:rFonts w:hint="default"/>
                <w:b w:val="0"/>
                <w:bCs w:val="0"/>
                <w:lang w:val="en-US" w:eastAsia="zh-CN"/>
              </w:rPr>
            </w:pPr>
            <w:r>
              <w:rPr>
                <w:rFonts w:hint="eastAsia"/>
                <w:b w:val="0"/>
                <w:bCs w:val="0"/>
                <w:lang w:val="en-US" w:eastAsia="zh-CN"/>
              </w:rPr>
              <w:t>本项目绿化用水全部损耗。</w:t>
            </w:r>
          </w:p>
          <w:p>
            <w:pPr>
              <w:bidi w:val="0"/>
              <w:rPr>
                <w:rFonts w:hint="eastAsia"/>
                <w:b/>
                <w:bCs/>
                <w:lang w:val="en-US" w:eastAsia="zh-CN"/>
              </w:rPr>
            </w:pPr>
            <w:r>
              <w:rPr>
                <w:rFonts w:hint="eastAsia"/>
                <w:b/>
                <w:bCs/>
                <w:lang w:val="en-US" w:eastAsia="zh-CN"/>
              </w:rPr>
              <w:t>项目用水平衡一览表2-5。</w:t>
            </w:r>
          </w:p>
          <w:p>
            <w:pPr>
              <w:bidi w:val="0"/>
              <w:ind w:firstLine="0" w:firstLineChars="0"/>
              <w:jc w:val="center"/>
              <w:rPr>
                <w:rFonts w:hint="default"/>
                <w:b/>
                <w:bCs/>
                <w:lang w:val="en-US" w:eastAsia="zh-CN"/>
              </w:rPr>
            </w:pPr>
            <w:r>
              <w:rPr>
                <w:rFonts w:hint="eastAsia"/>
                <w:b/>
                <w:bCs/>
                <w:lang w:val="en-US" w:eastAsia="zh-CN"/>
              </w:rPr>
              <w:t>表2-5给排水平衡一览表</w:t>
            </w:r>
          </w:p>
          <w:tbl>
            <w:tblPr>
              <w:tblStyle w:val="10"/>
              <w:tblW w:w="7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231"/>
              <w:gridCol w:w="1075"/>
              <w:gridCol w:w="983"/>
              <w:gridCol w:w="983"/>
              <w:gridCol w:w="1059"/>
              <w:gridCol w:w="1075"/>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0" w:type="dxa"/>
                  <w:tcBorders>
                    <w:tl2br w:val="nil"/>
                    <w:tr2bl w:val="nil"/>
                  </w:tcBorders>
                  <w:vAlign w:val="center"/>
                </w:tcPr>
                <w:p>
                  <w:pPr>
                    <w:topLinePunct w:val="0"/>
                    <w:autoSpaceDE w:val="0"/>
                    <w:autoSpaceDN w:val="0"/>
                    <w:spacing w:line="240" w:lineRule="auto"/>
                    <w:ind w:firstLine="0" w:firstLineChars="0"/>
                    <w:rPr>
                      <w:lang w:val="en-US"/>
                    </w:rPr>
                  </w:pPr>
                  <w:r>
                    <w:rPr>
                      <w:rFonts w:hint="eastAsia"/>
                      <w:lang w:val="en-US"/>
                    </w:rPr>
                    <w:t>序号</w:t>
                  </w:r>
                </w:p>
              </w:tc>
              <w:tc>
                <w:tcPr>
                  <w:tcW w:w="1231" w:type="dxa"/>
                  <w:tcBorders>
                    <w:tl2br w:val="nil"/>
                    <w:tr2bl w:val="nil"/>
                  </w:tcBorders>
                  <w:vAlign w:val="center"/>
                </w:tcPr>
                <w:p>
                  <w:pPr>
                    <w:topLinePunct w:val="0"/>
                    <w:autoSpaceDE w:val="0"/>
                    <w:autoSpaceDN w:val="0"/>
                    <w:spacing w:line="240" w:lineRule="auto"/>
                    <w:ind w:firstLine="0" w:firstLineChars="0"/>
                    <w:rPr>
                      <w:lang w:val="en-US"/>
                    </w:rPr>
                  </w:pPr>
                  <w:r>
                    <w:rPr>
                      <w:rFonts w:hint="eastAsia"/>
                      <w:lang w:val="en-US"/>
                    </w:rPr>
                    <w:t>用水工序</w:t>
                  </w:r>
                </w:p>
              </w:tc>
              <w:tc>
                <w:tcPr>
                  <w:tcW w:w="1075" w:type="dxa"/>
                  <w:tcBorders>
                    <w:tl2br w:val="nil"/>
                    <w:tr2bl w:val="nil"/>
                  </w:tcBorders>
                  <w:vAlign w:val="center"/>
                </w:tcPr>
                <w:p>
                  <w:pPr>
                    <w:topLinePunct w:val="0"/>
                    <w:autoSpaceDE w:val="0"/>
                    <w:autoSpaceDN w:val="0"/>
                    <w:spacing w:line="240" w:lineRule="auto"/>
                    <w:ind w:firstLine="0" w:firstLineChars="0"/>
                    <w:rPr>
                      <w:lang w:val="en-US"/>
                    </w:rPr>
                  </w:pPr>
                  <w:r>
                    <w:rPr>
                      <w:rFonts w:hint="eastAsia"/>
                      <w:lang w:val="en-US"/>
                    </w:rPr>
                    <w:t>总用水量（</w:t>
                  </w:r>
                  <w:r>
                    <w:rPr>
                      <w:rFonts w:hint="eastAsia"/>
                      <w:lang w:val="en-US" w:eastAsia="zh-CN"/>
                    </w:rPr>
                    <w:t>m³</w:t>
                  </w:r>
                  <w:r>
                    <w:rPr>
                      <w:rFonts w:hint="eastAsia"/>
                      <w:lang w:val="en-US"/>
                    </w:rPr>
                    <w:t>/d）</w:t>
                  </w:r>
                </w:p>
              </w:tc>
              <w:tc>
                <w:tcPr>
                  <w:tcW w:w="983" w:type="dxa"/>
                  <w:tcBorders>
                    <w:tl2br w:val="nil"/>
                    <w:tr2bl w:val="nil"/>
                  </w:tcBorders>
                  <w:vAlign w:val="center"/>
                </w:tcPr>
                <w:p>
                  <w:pPr>
                    <w:topLinePunct w:val="0"/>
                    <w:autoSpaceDE w:val="0"/>
                    <w:autoSpaceDN w:val="0"/>
                    <w:spacing w:line="240" w:lineRule="auto"/>
                    <w:ind w:firstLine="0" w:firstLineChars="0"/>
                    <w:rPr>
                      <w:lang w:val="en-US"/>
                    </w:rPr>
                  </w:pPr>
                  <w:r>
                    <w:rPr>
                      <w:rFonts w:hint="eastAsia"/>
                      <w:lang w:val="en-US"/>
                    </w:rPr>
                    <w:t>循环水量（</w:t>
                  </w:r>
                  <w:r>
                    <w:rPr>
                      <w:rFonts w:hint="eastAsia"/>
                      <w:lang w:val="en-US" w:eastAsia="zh-CN"/>
                    </w:rPr>
                    <w:t>m³</w:t>
                  </w:r>
                  <w:r>
                    <w:rPr>
                      <w:rFonts w:hint="eastAsia"/>
                      <w:lang w:val="en-US"/>
                    </w:rPr>
                    <w:t>/d）</w:t>
                  </w:r>
                </w:p>
              </w:tc>
              <w:tc>
                <w:tcPr>
                  <w:tcW w:w="983" w:type="dxa"/>
                  <w:tcBorders>
                    <w:tl2br w:val="nil"/>
                    <w:tr2bl w:val="nil"/>
                  </w:tcBorders>
                  <w:vAlign w:val="center"/>
                </w:tcPr>
                <w:p>
                  <w:pPr>
                    <w:topLinePunct w:val="0"/>
                    <w:autoSpaceDE w:val="0"/>
                    <w:autoSpaceDN w:val="0"/>
                    <w:spacing w:line="240" w:lineRule="auto"/>
                    <w:ind w:firstLine="0" w:firstLineChars="0"/>
                    <w:rPr>
                      <w:lang w:val="en-US"/>
                    </w:rPr>
                  </w:pPr>
                  <w:r>
                    <w:rPr>
                      <w:rFonts w:hint="eastAsia"/>
                      <w:lang w:val="en-US"/>
                    </w:rPr>
                    <w:t>新鲜水（</w:t>
                  </w:r>
                  <w:r>
                    <w:rPr>
                      <w:rFonts w:hint="eastAsia"/>
                      <w:lang w:val="en-US" w:eastAsia="zh-CN"/>
                    </w:rPr>
                    <w:t>m³</w:t>
                  </w:r>
                  <w:r>
                    <w:rPr>
                      <w:rFonts w:hint="eastAsia"/>
                      <w:lang w:val="en-US"/>
                    </w:rPr>
                    <w:t>/d）</w:t>
                  </w:r>
                </w:p>
              </w:tc>
              <w:tc>
                <w:tcPr>
                  <w:tcW w:w="1059" w:type="dxa"/>
                  <w:tcBorders>
                    <w:tl2br w:val="nil"/>
                    <w:tr2bl w:val="nil"/>
                  </w:tcBorders>
                  <w:vAlign w:val="center"/>
                </w:tcPr>
                <w:p>
                  <w:pPr>
                    <w:topLinePunct w:val="0"/>
                    <w:autoSpaceDE w:val="0"/>
                    <w:autoSpaceDN w:val="0"/>
                    <w:spacing w:line="240" w:lineRule="auto"/>
                    <w:ind w:firstLine="0" w:firstLineChars="0"/>
                    <w:rPr>
                      <w:rFonts w:hint="eastAsia"/>
                      <w:lang w:val="en-US"/>
                    </w:rPr>
                  </w:pPr>
                  <w:r>
                    <w:rPr>
                      <w:rFonts w:hint="eastAsia"/>
                      <w:lang w:val="en-US"/>
                    </w:rPr>
                    <w:t>损耗</w:t>
                  </w:r>
                </w:p>
                <w:p>
                  <w:pPr>
                    <w:topLinePunct w:val="0"/>
                    <w:autoSpaceDE w:val="0"/>
                    <w:autoSpaceDN w:val="0"/>
                    <w:spacing w:line="240" w:lineRule="auto"/>
                    <w:ind w:firstLine="0" w:firstLineChars="0"/>
                    <w:rPr>
                      <w:lang w:val="en-US"/>
                    </w:rPr>
                  </w:pPr>
                  <w:r>
                    <w:rPr>
                      <w:rFonts w:hint="eastAsia"/>
                      <w:lang w:val="en-US"/>
                    </w:rPr>
                    <w:t>（</w:t>
                  </w:r>
                  <w:r>
                    <w:rPr>
                      <w:rFonts w:hint="eastAsia"/>
                      <w:lang w:val="en-US" w:eastAsia="zh-CN"/>
                    </w:rPr>
                    <w:t>m³</w:t>
                  </w:r>
                  <w:r>
                    <w:rPr>
                      <w:rFonts w:hint="eastAsia"/>
                      <w:lang w:val="en-US"/>
                    </w:rPr>
                    <w:t>/d）</w:t>
                  </w:r>
                </w:p>
              </w:tc>
              <w:tc>
                <w:tcPr>
                  <w:tcW w:w="1075" w:type="dxa"/>
                  <w:tcBorders>
                    <w:tl2br w:val="nil"/>
                    <w:tr2bl w:val="nil"/>
                  </w:tcBorders>
                  <w:vAlign w:val="center"/>
                </w:tcPr>
                <w:p>
                  <w:pPr>
                    <w:topLinePunct w:val="0"/>
                    <w:autoSpaceDE w:val="0"/>
                    <w:autoSpaceDN w:val="0"/>
                    <w:spacing w:line="240" w:lineRule="auto"/>
                    <w:ind w:firstLine="0" w:firstLineChars="0"/>
                    <w:rPr>
                      <w:lang w:val="en-US"/>
                    </w:rPr>
                  </w:pPr>
                  <w:r>
                    <w:rPr>
                      <w:rFonts w:hint="eastAsia"/>
                      <w:lang w:val="en-US"/>
                    </w:rPr>
                    <w:t>排水量（</w:t>
                  </w:r>
                  <w:r>
                    <w:rPr>
                      <w:rFonts w:hint="eastAsia"/>
                      <w:lang w:val="en-US" w:eastAsia="zh-CN"/>
                    </w:rPr>
                    <w:t>m³</w:t>
                  </w:r>
                  <w:r>
                    <w:rPr>
                      <w:rFonts w:hint="eastAsia"/>
                      <w:lang w:val="en-US"/>
                    </w:rPr>
                    <w:t>/d）</w:t>
                  </w:r>
                </w:p>
              </w:tc>
              <w:tc>
                <w:tcPr>
                  <w:tcW w:w="815" w:type="dxa"/>
                  <w:tcBorders>
                    <w:tl2br w:val="nil"/>
                    <w:tr2bl w:val="nil"/>
                  </w:tcBorders>
                  <w:vAlign w:val="center"/>
                </w:tcPr>
                <w:p>
                  <w:pPr>
                    <w:topLinePunct w:val="0"/>
                    <w:autoSpaceDE w:val="0"/>
                    <w:autoSpaceDN w:val="0"/>
                    <w:spacing w:line="240" w:lineRule="auto"/>
                    <w:ind w:firstLine="0" w:firstLineChars="0"/>
                    <w:rPr>
                      <w:lang w:val="en-US"/>
                    </w:rPr>
                  </w:pPr>
                  <w:r>
                    <w:rPr>
                      <w:rFonts w:hint="eastAsia"/>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40" w:type="dxa"/>
                  <w:tcBorders>
                    <w:tl2br w:val="nil"/>
                    <w:tr2bl w:val="nil"/>
                  </w:tcBorders>
                  <w:vAlign w:val="center"/>
                </w:tcPr>
                <w:p>
                  <w:pPr>
                    <w:topLinePunct w:val="0"/>
                    <w:autoSpaceDE w:val="0"/>
                    <w:autoSpaceDN w:val="0"/>
                    <w:spacing w:line="240" w:lineRule="auto"/>
                    <w:ind w:firstLine="0" w:firstLineChars="0"/>
                    <w:rPr>
                      <w:lang w:val="en-US"/>
                    </w:rPr>
                  </w:pPr>
                  <w:r>
                    <w:rPr>
                      <w:rFonts w:hint="eastAsia"/>
                      <w:lang w:val="en-US"/>
                    </w:rPr>
                    <w:t>1</w:t>
                  </w:r>
                </w:p>
              </w:tc>
              <w:tc>
                <w:tcPr>
                  <w:tcW w:w="1231" w:type="dxa"/>
                  <w:tcBorders>
                    <w:tl2br w:val="nil"/>
                    <w:tr2bl w:val="nil"/>
                  </w:tcBorders>
                  <w:vAlign w:val="center"/>
                </w:tcPr>
                <w:p>
                  <w:pPr>
                    <w:topLinePunct w:val="0"/>
                    <w:autoSpaceDE w:val="0"/>
                    <w:autoSpaceDN w:val="0"/>
                    <w:spacing w:line="240" w:lineRule="auto"/>
                    <w:ind w:firstLine="0" w:firstLineChars="0"/>
                    <w:rPr>
                      <w:rFonts w:hint="default"/>
                      <w:lang w:val="en-US" w:eastAsia="zh-CN"/>
                    </w:rPr>
                  </w:pPr>
                  <w:r>
                    <w:rPr>
                      <w:rFonts w:hint="eastAsia"/>
                      <w:lang w:val="en-US" w:eastAsia="zh-CN"/>
                    </w:rPr>
                    <w:t>生活用水</w:t>
                  </w:r>
                </w:p>
              </w:tc>
              <w:tc>
                <w:tcPr>
                  <w:tcW w:w="1075" w:type="dxa"/>
                  <w:tcBorders>
                    <w:tl2br w:val="nil"/>
                    <w:tr2bl w:val="nil"/>
                  </w:tcBorders>
                  <w:vAlign w:val="center"/>
                </w:tcPr>
                <w:p>
                  <w:pPr>
                    <w:topLinePunct w:val="0"/>
                    <w:autoSpaceDE w:val="0"/>
                    <w:autoSpaceDN w:val="0"/>
                    <w:spacing w:line="240" w:lineRule="auto"/>
                    <w:ind w:firstLine="0" w:firstLineChars="0"/>
                    <w:jc w:val="center"/>
                    <w:rPr>
                      <w:rFonts w:hint="default"/>
                      <w:lang w:val="en-US" w:eastAsia="zh-CN"/>
                    </w:rPr>
                  </w:pPr>
                  <w:r>
                    <w:rPr>
                      <w:rFonts w:hint="eastAsia"/>
                      <w:lang w:val="en-US" w:eastAsia="zh-CN"/>
                    </w:rPr>
                    <w:t>1.2</w:t>
                  </w:r>
                </w:p>
              </w:tc>
              <w:tc>
                <w:tcPr>
                  <w:tcW w:w="983" w:type="dxa"/>
                  <w:tcBorders>
                    <w:tl2br w:val="nil"/>
                    <w:tr2bl w:val="nil"/>
                  </w:tcBorders>
                  <w:vAlign w:val="center"/>
                </w:tcPr>
                <w:p>
                  <w:pPr>
                    <w:topLinePunct w:val="0"/>
                    <w:autoSpaceDE w:val="0"/>
                    <w:autoSpaceDN w:val="0"/>
                    <w:spacing w:line="240" w:lineRule="auto"/>
                    <w:ind w:firstLine="0" w:firstLineChars="0"/>
                    <w:rPr>
                      <w:rFonts w:hint="default"/>
                      <w:lang w:val="en-US" w:eastAsia="zh-CN"/>
                    </w:rPr>
                  </w:pPr>
                  <w:r>
                    <w:rPr>
                      <w:rFonts w:hint="eastAsia"/>
                      <w:lang w:val="en-US" w:eastAsia="zh-CN"/>
                    </w:rPr>
                    <w:t>/</w:t>
                  </w:r>
                </w:p>
              </w:tc>
              <w:tc>
                <w:tcPr>
                  <w:tcW w:w="983" w:type="dxa"/>
                  <w:tcBorders>
                    <w:tl2br w:val="nil"/>
                    <w:tr2bl w:val="nil"/>
                  </w:tcBorders>
                  <w:vAlign w:val="center"/>
                </w:tcPr>
                <w:p>
                  <w:pPr>
                    <w:topLinePunct w:val="0"/>
                    <w:autoSpaceDE w:val="0"/>
                    <w:autoSpaceDN w:val="0"/>
                    <w:spacing w:line="240" w:lineRule="auto"/>
                    <w:ind w:firstLine="0" w:firstLineChars="0"/>
                    <w:rPr>
                      <w:rFonts w:hint="default"/>
                      <w:lang w:val="en-US" w:eastAsia="zh-CN"/>
                    </w:rPr>
                  </w:pPr>
                  <w:r>
                    <w:rPr>
                      <w:rFonts w:hint="eastAsia"/>
                      <w:lang w:val="en-US" w:eastAsia="zh-CN"/>
                    </w:rPr>
                    <w:t>1.2</w:t>
                  </w:r>
                </w:p>
              </w:tc>
              <w:tc>
                <w:tcPr>
                  <w:tcW w:w="1059" w:type="dxa"/>
                  <w:tcBorders>
                    <w:tl2br w:val="nil"/>
                    <w:tr2bl w:val="nil"/>
                  </w:tcBorders>
                  <w:vAlign w:val="center"/>
                </w:tcPr>
                <w:p>
                  <w:pPr>
                    <w:topLinePunct w:val="0"/>
                    <w:autoSpaceDE w:val="0"/>
                    <w:autoSpaceDN w:val="0"/>
                    <w:spacing w:line="240" w:lineRule="auto"/>
                    <w:ind w:firstLine="0" w:firstLineChars="0"/>
                    <w:rPr>
                      <w:rFonts w:hint="default"/>
                      <w:lang w:val="en-US" w:eastAsia="zh-CN"/>
                    </w:rPr>
                  </w:pPr>
                  <w:r>
                    <w:rPr>
                      <w:rFonts w:hint="eastAsia"/>
                      <w:lang w:val="en-US" w:eastAsia="zh-CN"/>
                    </w:rPr>
                    <w:t>0.24</w:t>
                  </w:r>
                </w:p>
              </w:tc>
              <w:tc>
                <w:tcPr>
                  <w:tcW w:w="1075" w:type="dxa"/>
                  <w:tcBorders>
                    <w:tl2br w:val="nil"/>
                    <w:tr2bl w:val="nil"/>
                  </w:tcBorders>
                  <w:vAlign w:val="center"/>
                </w:tcPr>
                <w:p>
                  <w:pPr>
                    <w:topLinePunct w:val="0"/>
                    <w:autoSpaceDE w:val="0"/>
                    <w:autoSpaceDN w:val="0"/>
                    <w:spacing w:line="240" w:lineRule="auto"/>
                    <w:ind w:firstLine="0" w:firstLineChars="0"/>
                    <w:rPr>
                      <w:rFonts w:hint="default" w:eastAsia="宋体"/>
                      <w:lang w:val="en-US" w:eastAsia="zh-CN"/>
                    </w:rPr>
                  </w:pPr>
                  <w:r>
                    <w:rPr>
                      <w:rFonts w:hint="eastAsia"/>
                      <w:lang w:val="en-US" w:eastAsia="zh-CN"/>
                    </w:rPr>
                    <w:t>0.96</w:t>
                  </w:r>
                </w:p>
              </w:tc>
              <w:tc>
                <w:tcPr>
                  <w:tcW w:w="815" w:type="dxa"/>
                  <w:tcBorders>
                    <w:tl2br w:val="nil"/>
                    <w:tr2bl w:val="nil"/>
                  </w:tcBorders>
                  <w:vAlign w:val="center"/>
                </w:tcPr>
                <w:p>
                  <w:pPr>
                    <w:topLinePunct w:val="0"/>
                    <w:autoSpaceDE w:val="0"/>
                    <w:autoSpaceDN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0" w:type="dxa"/>
                  <w:tcBorders>
                    <w:tl2br w:val="nil"/>
                    <w:tr2bl w:val="nil"/>
                  </w:tcBorders>
                  <w:vAlign w:val="center"/>
                </w:tcPr>
                <w:p>
                  <w:pPr>
                    <w:topLinePunct w:val="0"/>
                    <w:autoSpaceDE w:val="0"/>
                    <w:autoSpaceDN w:val="0"/>
                    <w:spacing w:line="240" w:lineRule="auto"/>
                    <w:ind w:firstLine="0" w:firstLineChars="0"/>
                    <w:rPr>
                      <w:rFonts w:hint="eastAsia"/>
                      <w:lang w:val="en-US" w:eastAsia="zh-CN"/>
                    </w:rPr>
                  </w:pPr>
                  <w:r>
                    <w:rPr>
                      <w:rFonts w:hint="eastAsia"/>
                      <w:lang w:val="en-US" w:eastAsia="zh-CN"/>
                    </w:rPr>
                    <w:t>2</w:t>
                  </w:r>
                </w:p>
              </w:tc>
              <w:tc>
                <w:tcPr>
                  <w:tcW w:w="1231" w:type="dxa"/>
                  <w:tcBorders>
                    <w:tl2br w:val="nil"/>
                    <w:tr2bl w:val="nil"/>
                  </w:tcBorders>
                  <w:vAlign w:val="center"/>
                </w:tcPr>
                <w:p>
                  <w:pPr>
                    <w:topLinePunct w:val="0"/>
                    <w:autoSpaceDE w:val="0"/>
                    <w:autoSpaceDN w:val="0"/>
                    <w:spacing w:line="240" w:lineRule="auto"/>
                    <w:ind w:firstLine="0" w:firstLineChars="0"/>
                    <w:rPr>
                      <w:rFonts w:hint="eastAsia"/>
                      <w:lang w:val="en-US" w:eastAsia="zh-CN"/>
                    </w:rPr>
                  </w:pPr>
                  <w:r>
                    <w:rPr>
                      <w:rFonts w:hint="eastAsia"/>
                      <w:lang w:val="en-US" w:eastAsia="zh-CN"/>
                    </w:rPr>
                    <w:t>搅拌混合用水</w:t>
                  </w:r>
                </w:p>
              </w:tc>
              <w:tc>
                <w:tcPr>
                  <w:tcW w:w="1075" w:type="dxa"/>
                  <w:tcBorders>
                    <w:tl2br w:val="nil"/>
                    <w:tr2bl w:val="nil"/>
                  </w:tcBorders>
                  <w:vAlign w:val="center"/>
                </w:tcPr>
                <w:p>
                  <w:pPr>
                    <w:topLinePunct w:val="0"/>
                    <w:autoSpaceDE w:val="0"/>
                    <w:autoSpaceDN w:val="0"/>
                    <w:spacing w:line="240" w:lineRule="auto"/>
                    <w:ind w:firstLine="0" w:firstLineChars="0"/>
                    <w:jc w:val="center"/>
                    <w:rPr>
                      <w:rFonts w:hint="default"/>
                      <w:lang w:val="en-US" w:eastAsia="zh-CN"/>
                    </w:rPr>
                  </w:pPr>
                  <w:r>
                    <w:rPr>
                      <w:rFonts w:hint="eastAsia"/>
                      <w:lang w:val="en-US" w:eastAsia="zh-CN"/>
                    </w:rPr>
                    <w:t>2133.3</w:t>
                  </w:r>
                </w:p>
              </w:tc>
              <w:tc>
                <w:tcPr>
                  <w:tcW w:w="983" w:type="dxa"/>
                  <w:tcBorders>
                    <w:tl2br w:val="nil"/>
                    <w:tr2bl w:val="nil"/>
                  </w:tcBorders>
                  <w:vAlign w:val="center"/>
                </w:tcPr>
                <w:p>
                  <w:pPr>
                    <w:topLinePunct w:val="0"/>
                    <w:autoSpaceDE w:val="0"/>
                    <w:autoSpaceDN w:val="0"/>
                    <w:spacing w:line="240" w:lineRule="auto"/>
                    <w:ind w:firstLine="0" w:firstLineChars="0"/>
                    <w:rPr>
                      <w:rFonts w:hint="eastAsia" w:eastAsia="宋体"/>
                      <w:lang w:val="en-US" w:eastAsia="zh-CN"/>
                    </w:rPr>
                  </w:pPr>
                  <w:r>
                    <w:rPr>
                      <w:rFonts w:hint="eastAsia"/>
                      <w:lang w:val="en-US" w:eastAsia="zh-CN"/>
                    </w:rPr>
                    <w:t>/</w:t>
                  </w:r>
                </w:p>
              </w:tc>
              <w:tc>
                <w:tcPr>
                  <w:tcW w:w="983" w:type="dxa"/>
                  <w:tcBorders>
                    <w:tl2br w:val="nil"/>
                    <w:tr2bl w:val="nil"/>
                  </w:tcBorders>
                  <w:vAlign w:val="center"/>
                </w:tcPr>
                <w:p>
                  <w:pPr>
                    <w:topLinePunct w:val="0"/>
                    <w:autoSpaceDE w:val="0"/>
                    <w:autoSpaceDN w:val="0"/>
                    <w:spacing w:line="240" w:lineRule="auto"/>
                    <w:ind w:firstLine="0" w:firstLineChars="0"/>
                    <w:rPr>
                      <w:rFonts w:hint="default"/>
                      <w:lang w:val="en-US" w:eastAsia="zh-CN"/>
                    </w:rPr>
                  </w:pPr>
                  <w:r>
                    <w:rPr>
                      <w:rFonts w:hint="default"/>
                      <w:lang w:val="en-US" w:eastAsia="zh-CN"/>
                    </w:rPr>
                    <w:t>2133.3</w:t>
                  </w:r>
                </w:p>
              </w:tc>
              <w:tc>
                <w:tcPr>
                  <w:tcW w:w="1059" w:type="dxa"/>
                  <w:tcBorders>
                    <w:tl2br w:val="nil"/>
                    <w:tr2bl w:val="nil"/>
                  </w:tcBorders>
                  <w:vAlign w:val="center"/>
                </w:tcPr>
                <w:p>
                  <w:pPr>
                    <w:topLinePunct w:val="0"/>
                    <w:autoSpaceDE w:val="0"/>
                    <w:autoSpaceDN w:val="0"/>
                    <w:spacing w:line="240" w:lineRule="auto"/>
                    <w:ind w:firstLine="0" w:firstLineChars="0"/>
                    <w:rPr>
                      <w:rFonts w:hint="default"/>
                      <w:lang w:val="en-US" w:eastAsia="zh-CN"/>
                    </w:rPr>
                  </w:pPr>
                  <w:r>
                    <w:rPr>
                      <w:rFonts w:hint="default"/>
                      <w:lang w:val="en-US" w:eastAsia="zh-CN"/>
                    </w:rPr>
                    <w:t>2133.3</w:t>
                  </w:r>
                </w:p>
              </w:tc>
              <w:tc>
                <w:tcPr>
                  <w:tcW w:w="1075" w:type="dxa"/>
                  <w:tcBorders>
                    <w:tl2br w:val="nil"/>
                    <w:tr2bl w:val="nil"/>
                  </w:tcBorders>
                  <w:vAlign w:val="center"/>
                </w:tcPr>
                <w:p>
                  <w:pPr>
                    <w:topLinePunct w:val="0"/>
                    <w:autoSpaceDE w:val="0"/>
                    <w:autoSpaceDN w:val="0"/>
                    <w:spacing w:line="240" w:lineRule="auto"/>
                    <w:ind w:firstLine="0" w:firstLineChars="0"/>
                    <w:rPr>
                      <w:rFonts w:hint="eastAsia" w:eastAsia="宋体"/>
                      <w:lang w:val="en-US" w:eastAsia="zh-CN"/>
                    </w:rPr>
                  </w:pPr>
                  <w:r>
                    <w:rPr>
                      <w:rFonts w:hint="eastAsia"/>
                      <w:lang w:val="en-US" w:eastAsia="zh-CN"/>
                    </w:rPr>
                    <w:t>0</w:t>
                  </w:r>
                </w:p>
              </w:tc>
              <w:tc>
                <w:tcPr>
                  <w:tcW w:w="815" w:type="dxa"/>
                  <w:tcBorders>
                    <w:tl2br w:val="nil"/>
                    <w:tr2bl w:val="nil"/>
                  </w:tcBorders>
                  <w:vAlign w:val="center"/>
                </w:tcPr>
                <w:p>
                  <w:pPr>
                    <w:topLinePunct w:val="0"/>
                    <w:autoSpaceDE w:val="0"/>
                    <w:autoSpaceDN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0" w:type="dxa"/>
                  <w:tcBorders>
                    <w:tl2br w:val="nil"/>
                    <w:tr2bl w:val="nil"/>
                  </w:tcBorders>
                  <w:vAlign w:val="center"/>
                </w:tcPr>
                <w:p>
                  <w:pPr>
                    <w:topLinePunct w:val="0"/>
                    <w:autoSpaceDE w:val="0"/>
                    <w:autoSpaceDN w:val="0"/>
                    <w:spacing w:line="240" w:lineRule="auto"/>
                    <w:ind w:firstLine="0" w:firstLineChars="0"/>
                    <w:rPr>
                      <w:rFonts w:hint="default"/>
                      <w:lang w:val="en-US" w:eastAsia="zh-CN"/>
                    </w:rPr>
                  </w:pPr>
                  <w:r>
                    <w:rPr>
                      <w:rFonts w:hint="eastAsia"/>
                      <w:lang w:val="en-US" w:eastAsia="zh-CN"/>
                    </w:rPr>
                    <w:t>3</w:t>
                  </w:r>
                </w:p>
              </w:tc>
              <w:tc>
                <w:tcPr>
                  <w:tcW w:w="1231" w:type="dxa"/>
                  <w:tcBorders>
                    <w:tl2br w:val="nil"/>
                    <w:tr2bl w:val="nil"/>
                  </w:tcBorders>
                  <w:vAlign w:val="center"/>
                </w:tcPr>
                <w:p>
                  <w:pPr>
                    <w:topLinePunct w:val="0"/>
                    <w:autoSpaceDE w:val="0"/>
                    <w:autoSpaceDN w:val="0"/>
                    <w:spacing w:line="240" w:lineRule="auto"/>
                    <w:ind w:firstLine="0" w:firstLineChars="0"/>
                    <w:rPr>
                      <w:rFonts w:hint="default"/>
                      <w:lang w:val="en-US" w:eastAsia="zh-CN"/>
                    </w:rPr>
                  </w:pPr>
                  <w:r>
                    <w:rPr>
                      <w:rFonts w:hint="eastAsia"/>
                      <w:lang w:val="en-US" w:eastAsia="zh-CN"/>
                    </w:rPr>
                    <w:t>原料堆场抑尘用水</w:t>
                  </w:r>
                </w:p>
              </w:tc>
              <w:tc>
                <w:tcPr>
                  <w:tcW w:w="1075" w:type="dxa"/>
                  <w:tcBorders>
                    <w:tl2br w:val="nil"/>
                    <w:tr2bl w:val="nil"/>
                  </w:tcBorders>
                  <w:vAlign w:val="center"/>
                </w:tcPr>
                <w:p>
                  <w:pPr>
                    <w:topLinePunct w:val="0"/>
                    <w:autoSpaceDE w:val="0"/>
                    <w:autoSpaceDN w:val="0"/>
                    <w:spacing w:line="240" w:lineRule="auto"/>
                    <w:ind w:firstLine="0" w:firstLineChars="0"/>
                    <w:jc w:val="center"/>
                    <w:rPr>
                      <w:rFonts w:hint="default"/>
                      <w:lang w:val="en-US" w:eastAsia="zh-CN"/>
                    </w:rPr>
                  </w:pPr>
                  <w:r>
                    <w:rPr>
                      <w:rFonts w:hint="eastAsia"/>
                      <w:lang w:val="en-US" w:eastAsia="zh-CN"/>
                    </w:rPr>
                    <w:t>0.5</w:t>
                  </w:r>
                </w:p>
              </w:tc>
              <w:tc>
                <w:tcPr>
                  <w:tcW w:w="983" w:type="dxa"/>
                  <w:tcBorders>
                    <w:tl2br w:val="nil"/>
                    <w:tr2bl w:val="nil"/>
                  </w:tcBorders>
                  <w:vAlign w:val="center"/>
                </w:tcPr>
                <w:p>
                  <w:pPr>
                    <w:topLinePunct w:val="0"/>
                    <w:autoSpaceDE w:val="0"/>
                    <w:autoSpaceDN w:val="0"/>
                    <w:spacing w:line="240" w:lineRule="auto"/>
                    <w:ind w:firstLine="0" w:firstLineChars="0"/>
                    <w:rPr>
                      <w:rFonts w:hint="default"/>
                      <w:lang w:val="en-US" w:eastAsia="zh-CN"/>
                    </w:rPr>
                  </w:pPr>
                  <w:r>
                    <w:rPr>
                      <w:rFonts w:hint="eastAsia"/>
                      <w:lang w:val="en-US" w:eastAsia="zh-CN"/>
                    </w:rPr>
                    <w:t>/</w:t>
                  </w:r>
                </w:p>
              </w:tc>
              <w:tc>
                <w:tcPr>
                  <w:tcW w:w="983" w:type="dxa"/>
                  <w:tcBorders>
                    <w:tl2br w:val="nil"/>
                    <w:tr2bl w:val="nil"/>
                  </w:tcBorders>
                  <w:vAlign w:val="center"/>
                </w:tcPr>
                <w:p>
                  <w:pPr>
                    <w:topLinePunct w:val="0"/>
                    <w:autoSpaceDE w:val="0"/>
                    <w:autoSpaceDN w:val="0"/>
                    <w:spacing w:line="240" w:lineRule="auto"/>
                    <w:ind w:firstLine="0" w:firstLineChars="0"/>
                    <w:rPr>
                      <w:rFonts w:hint="default"/>
                      <w:lang w:val="en-US" w:eastAsia="zh-CN"/>
                    </w:rPr>
                  </w:pPr>
                  <w:r>
                    <w:rPr>
                      <w:rFonts w:hint="eastAsia"/>
                      <w:lang w:val="en-US" w:eastAsia="zh-CN"/>
                    </w:rPr>
                    <w:t>0.5</w:t>
                  </w:r>
                </w:p>
              </w:tc>
              <w:tc>
                <w:tcPr>
                  <w:tcW w:w="1059" w:type="dxa"/>
                  <w:tcBorders>
                    <w:tl2br w:val="nil"/>
                    <w:tr2bl w:val="nil"/>
                  </w:tcBorders>
                  <w:vAlign w:val="center"/>
                </w:tcPr>
                <w:p>
                  <w:pPr>
                    <w:topLinePunct w:val="0"/>
                    <w:autoSpaceDE w:val="0"/>
                    <w:autoSpaceDN w:val="0"/>
                    <w:spacing w:line="240" w:lineRule="auto"/>
                    <w:ind w:firstLine="0" w:firstLineChars="0"/>
                    <w:rPr>
                      <w:rFonts w:hint="default"/>
                      <w:lang w:val="en-US" w:eastAsia="zh-CN"/>
                    </w:rPr>
                  </w:pPr>
                  <w:r>
                    <w:rPr>
                      <w:rFonts w:hint="eastAsia"/>
                      <w:lang w:val="en-US" w:eastAsia="zh-CN"/>
                    </w:rPr>
                    <w:t>0.5</w:t>
                  </w:r>
                </w:p>
              </w:tc>
              <w:tc>
                <w:tcPr>
                  <w:tcW w:w="1075" w:type="dxa"/>
                  <w:tcBorders>
                    <w:tl2br w:val="nil"/>
                    <w:tr2bl w:val="nil"/>
                  </w:tcBorders>
                  <w:vAlign w:val="center"/>
                </w:tcPr>
                <w:p>
                  <w:pPr>
                    <w:topLinePunct w:val="0"/>
                    <w:autoSpaceDE w:val="0"/>
                    <w:autoSpaceDN w:val="0"/>
                    <w:spacing w:line="240" w:lineRule="auto"/>
                    <w:ind w:firstLine="0" w:firstLineChars="0"/>
                    <w:rPr>
                      <w:rFonts w:hint="default"/>
                      <w:lang w:val="en-US" w:eastAsia="zh-CN"/>
                    </w:rPr>
                  </w:pPr>
                  <w:r>
                    <w:rPr>
                      <w:rFonts w:hint="eastAsia"/>
                      <w:lang w:val="en-US" w:eastAsia="zh-CN"/>
                    </w:rPr>
                    <w:t>0</w:t>
                  </w:r>
                </w:p>
              </w:tc>
              <w:tc>
                <w:tcPr>
                  <w:tcW w:w="815" w:type="dxa"/>
                  <w:tcBorders>
                    <w:tl2br w:val="nil"/>
                    <w:tr2bl w:val="nil"/>
                  </w:tcBorders>
                  <w:vAlign w:val="center"/>
                </w:tcPr>
                <w:p>
                  <w:pPr>
                    <w:topLinePunct w:val="0"/>
                    <w:autoSpaceDE w:val="0"/>
                    <w:autoSpaceDN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0" w:type="dxa"/>
                  <w:tcBorders>
                    <w:tl2br w:val="nil"/>
                    <w:tr2bl w:val="nil"/>
                  </w:tcBorders>
                  <w:vAlign w:val="center"/>
                </w:tcPr>
                <w:p>
                  <w:pPr>
                    <w:topLinePunct w:val="0"/>
                    <w:autoSpaceDE w:val="0"/>
                    <w:autoSpaceDN w:val="0"/>
                    <w:spacing w:line="240" w:lineRule="auto"/>
                    <w:ind w:firstLine="0" w:firstLineChars="0"/>
                    <w:rPr>
                      <w:rFonts w:hint="default"/>
                      <w:lang w:val="en-US" w:eastAsia="zh-CN"/>
                    </w:rPr>
                  </w:pPr>
                  <w:r>
                    <w:rPr>
                      <w:rFonts w:hint="eastAsia"/>
                      <w:lang w:val="en-US" w:eastAsia="zh-CN"/>
                    </w:rPr>
                    <w:t>4</w:t>
                  </w:r>
                </w:p>
              </w:tc>
              <w:tc>
                <w:tcPr>
                  <w:tcW w:w="1231" w:type="dxa"/>
                  <w:tcBorders>
                    <w:tl2br w:val="nil"/>
                    <w:tr2bl w:val="nil"/>
                  </w:tcBorders>
                  <w:vAlign w:val="center"/>
                </w:tcPr>
                <w:p>
                  <w:pPr>
                    <w:topLinePunct w:val="0"/>
                    <w:autoSpaceDE w:val="0"/>
                    <w:autoSpaceDN w:val="0"/>
                    <w:spacing w:line="240" w:lineRule="auto"/>
                    <w:ind w:firstLine="0" w:firstLineChars="0"/>
                    <w:rPr>
                      <w:rFonts w:hint="default"/>
                      <w:lang w:val="en-US" w:eastAsia="zh-CN"/>
                    </w:rPr>
                  </w:pPr>
                  <w:r>
                    <w:rPr>
                      <w:rFonts w:hint="eastAsia"/>
                      <w:lang w:val="en-US" w:eastAsia="zh-CN"/>
                    </w:rPr>
                    <w:t>搅拌机清洗用水</w:t>
                  </w:r>
                </w:p>
              </w:tc>
              <w:tc>
                <w:tcPr>
                  <w:tcW w:w="1075" w:type="dxa"/>
                  <w:tcBorders>
                    <w:tl2br w:val="nil"/>
                    <w:tr2bl w:val="nil"/>
                  </w:tcBorders>
                  <w:vAlign w:val="center"/>
                </w:tcPr>
                <w:p>
                  <w:pPr>
                    <w:topLinePunct w:val="0"/>
                    <w:autoSpaceDE w:val="0"/>
                    <w:autoSpaceDN w:val="0"/>
                    <w:spacing w:line="240" w:lineRule="auto"/>
                    <w:ind w:firstLine="0" w:firstLineChars="0"/>
                    <w:jc w:val="center"/>
                    <w:rPr>
                      <w:rFonts w:hint="default"/>
                      <w:lang w:val="en-US" w:eastAsia="zh-CN"/>
                    </w:rPr>
                  </w:pPr>
                  <w:r>
                    <w:rPr>
                      <w:rFonts w:hint="eastAsia"/>
                      <w:lang w:val="en-US" w:eastAsia="zh-CN"/>
                    </w:rPr>
                    <w:t>2.0</w:t>
                  </w:r>
                </w:p>
              </w:tc>
              <w:tc>
                <w:tcPr>
                  <w:tcW w:w="983" w:type="dxa"/>
                  <w:tcBorders>
                    <w:tl2br w:val="nil"/>
                    <w:tr2bl w:val="nil"/>
                  </w:tcBorders>
                  <w:vAlign w:val="center"/>
                </w:tcPr>
                <w:p>
                  <w:pPr>
                    <w:topLinePunct w:val="0"/>
                    <w:autoSpaceDE w:val="0"/>
                    <w:autoSpaceDN w:val="0"/>
                    <w:spacing w:line="240" w:lineRule="auto"/>
                    <w:ind w:firstLine="0" w:firstLineChars="0"/>
                    <w:rPr>
                      <w:rFonts w:hint="default"/>
                      <w:lang w:val="en-US" w:eastAsia="zh-CN"/>
                    </w:rPr>
                  </w:pPr>
                  <w:r>
                    <w:rPr>
                      <w:rFonts w:hint="eastAsia"/>
                      <w:lang w:val="en-US" w:eastAsia="zh-CN"/>
                    </w:rPr>
                    <w:t>1.8</w:t>
                  </w:r>
                </w:p>
              </w:tc>
              <w:tc>
                <w:tcPr>
                  <w:tcW w:w="983" w:type="dxa"/>
                  <w:tcBorders>
                    <w:tl2br w:val="nil"/>
                    <w:tr2bl w:val="nil"/>
                  </w:tcBorders>
                  <w:vAlign w:val="center"/>
                </w:tcPr>
                <w:p>
                  <w:pPr>
                    <w:topLinePunct w:val="0"/>
                    <w:autoSpaceDE w:val="0"/>
                    <w:autoSpaceDN w:val="0"/>
                    <w:spacing w:line="240" w:lineRule="auto"/>
                    <w:ind w:firstLine="0" w:firstLineChars="0"/>
                    <w:rPr>
                      <w:rFonts w:hint="default"/>
                      <w:lang w:val="en-US" w:eastAsia="zh-CN"/>
                    </w:rPr>
                  </w:pPr>
                  <w:r>
                    <w:rPr>
                      <w:rFonts w:hint="eastAsia"/>
                      <w:lang w:val="en-US" w:eastAsia="zh-CN"/>
                    </w:rPr>
                    <w:t>2.0</w:t>
                  </w:r>
                </w:p>
              </w:tc>
              <w:tc>
                <w:tcPr>
                  <w:tcW w:w="1059" w:type="dxa"/>
                  <w:tcBorders>
                    <w:tl2br w:val="nil"/>
                    <w:tr2bl w:val="nil"/>
                  </w:tcBorders>
                  <w:vAlign w:val="center"/>
                </w:tcPr>
                <w:p>
                  <w:pPr>
                    <w:topLinePunct w:val="0"/>
                    <w:autoSpaceDE w:val="0"/>
                    <w:autoSpaceDN w:val="0"/>
                    <w:spacing w:line="240" w:lineRule="auto"/>
                    <w:ind w:firstLine="0" w:firstLineChars="0"/>
                    <w:rPr>
                      <w:rFonts w:hint="default"/>
                      <w:lang w:val="en-US" w:eastAsia="zh-CN"/>
                    </w:rPr>
                  </w:pPr>
                  <w:r>
                    <w:rPr>
                      <w:rFonts w:hint="eastAsia"/>
                      <w:lang w:val="en-US" w:eastAsia="zh-CN"/>
                    </w:rPr>
                    <w:t>0.2</w:t>
                  </w:r>
                </w:p>
              </w:tc>
              <w:tc>
                <w:tcPr>
                  <w:tcW w:w="1075" w:type="dxa"/>
                  <w:tcBorders>
                    <w:tl2br w:val="nil"/>
                    <w:tr2bl w:val="nil"/>
                  </w:tcBorders>
                  <w:vAlign w:val="center"/>
                </w:tcPr>
                <w:p>
                  <w:pPr>
                    <w:topLinePunct w:val="0"/>
                    <w:autoSpaceDE w:val="0"/>
                    <w:autoSpaceDN w:val="0"/>
                    <w:spacing w:line="240" w:lineRule="auto"/>
                    <w:ind w:firstLine="0" w:firstLineChars="0"/>
                    <w:rPr>
                      <w:rFonts w:hint="default"/>
                      <w:lang w:val="en-US" w:eastAsia="zh-CN"/>
                    </w:rPr>
                  </w:pPr>
                  <w:r>
                    <w:rPr>
                      <w:rFonts w:hint="eastAsia"/>
                      <w:lang w:val="en-US" w:eastAsia="zh-CN"/>
                    </w:rPr>
                    <w:t>1.8</w:t>
                  </w:r>
                </w:p>
              </w:tc>
              <w:tc>
                <w:tcPr>
                  <w:tcW w:w="815" w:type="dxa"/>
                  <w:tcBorders>
                    <w:tl2br w:val="nil"/>
                    <w:tr2bl w:val="nil"/>
                  </w:tcBorders>
                  <w:vAlign w:val="center"/>
                </w:tcPr>
                <w:p>
                  <w:pPr>
                    <w:topLinePunct w:val="0"/>
                    <w:autoSpaceDE w:val="0"/>
                    <w:autoSpaceDN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0" w:type="dxa"/>
                  <w:tcBorders>
                    <w:tl2br w:val="nil"/>
                    <w:tr2bl w:val="nil"/>
                  </w:tcBorders>
                  <w:vAlign w:val="center"/>
                </w:tcPr>
                <w:p>
                  <w:pPr>
                    <w:topLinePunct w:val="0"/>
                    <w:autoSpaceDE w:val="0"/>
                    <w:autoSpaceDN w:val="0"/>
                    <w:spacing w:line="240" w:lineRule="auto"/>
                    <w:ind w:firstLine="0" w:firstLineChars="0"/>
                    <w:rPr>
                      <w:rFonts w:hint="default"/>
                      <w:lang w:val="en-US" w:eastAsia="zh-CN"/>
                    </w:rPr>
                  </w:pPr>
                  <w:r>
                    <w:rPr>
                      <w:rFonts w:hint="eastAsia"/>
                      <w:lang w:val="en-US" w:eastAsia="zh-CN"/>
                    </w:rPr>
                    <w:t>5</w:t>
                  </w:r>
                </w:p>
              </w:tc>
              <w:tc>
                <w:tcPr>
                  <w:tcW w:w="1231" w:type="dxa"/>
                  <w:tcBorders>
                    <w:tl2br w:val="nil"/>
                    <w:tr2bl w:val="nil"/>
                  </w:tcBorders>
                  <w:vAlign w:val="center"/>
                </w:tcPr>
                <w:p>
                  <w:pPr>
                    <w:topLinePunct w:val="0"/>
                    <w:autoSpaceDE w:val="0"/>
                    <w:autoSpaceDN w:val="0"/>
                    <w:spacing w:line="240" w:lineRule="auto"/>
                    <w:ind w:firstLine="0" w:firstLineChars="0"/>
                    <w:rPr>
                      <w:rFonts w:hint="eastAsia"/>
                      <w:lang w:val="en-US" w:eastAsia="zh-CN"/>
                    </w:rPr>
                  </w:pPr>
                  <w:r>
                    <w:rPr>
                      <w:rFonts w:hint="eastAsia"/>
                      <w:lang w:val="en-US" w:eastAsia="zh-CN"/>
                    </w:rPr>
                    <w:t>运输车辆清洗用水</w:t>
                  </w:r>
                </w:p>
              </w:tc>
              <w:tc>
                <w:tcPr>
                  <w:tcW w:w="1075" w:type="dxa"/>
                  <w:tcBorders>
                    <w:tl2br w:val="nil"/>
                    <w:tr2bl w:val="nil"/>
                  </w:tcBorders>
                  <w:vAlign w:val="center"/>
                </w:tcPr>
                <w:p>
                  <w:pPr>
                    <w:topLinePunct w:val="0"/>
                    <w:autoSpaceDE w:val="0"/>
                    <w:autoSpaceDN w:val="0"/>
                    <w:spacing w:line="240" w:lineRule="auto"/>
                    <w:ind w:firstLine="0" w:firstLineChars="0"/>
                    <w:jc w:val="center"/>
                    <w:rPr>
                      <w:rFonts w:hint="default"/>
                      <w:lang w:val="en-US" w:eastAsia="zh-CN"/>
                    </w:rPr>
                  </w:pPr>
                  <w:r>
                    <w:rPr>
                      <w:rFonts w:hint="eastAsia"/>
                      <w:lang w:val="en-US" w:eastAsia="zh-CN"/>
                    </w:rPr>
                    <w:t>19.16</w:t>
                  </w:r>
                </w:p>
              </w:tc>
              <w:tc>
                <w:tcPr>
                  <w:tcW w:w="983" w:type="dxa"/>
                  <w:tcBorders>
                    <w:tl2br w:val="nil"/>
                    <w:tr2bl w:val="nil"/>
                  </w:tcBorders>
                  <w:vAlign w:val="center"/>
                </w:tcPr>
                <w:p>
                  <w:pPr>
                    <w:topLinePunct w:val="0"/>
                    <w:autoSpaceDE w:val="0"/>
                    <w:autoSpaceDN w:val="0"/>
                    <w:spacing w:line="240" w:lineRule="auto"/>
                    <w:ind w:firstLine="0" w:firstLineChars="0"/>
                    <w:rPr>
                      <w:rFonts w:hint="default"/>
                      <w:lang w:val="en-US" w:eastAsia="zh-CN"/>
                    </w:rPr>
                  </w:pPr>
                  <w:r>
                    <w:rPr>
                      <w:rFonts w:hint="eastAsia"/>
                      <w:lang w:val="en-US" w:eastAsia="zh-CN"/>
                    </w:rPr>
                    <w:t>17.24</w:t>
                  </w:r>
                </w:p>
              </w:tc>
              <w:tc>
                <w:tcPr>
                  <w:tcW w:w="983" w:type="dxa"/>
                  <w:tcBorders>
                    <w:tl2br w:val="nil"/>
                    <w:tr2bl w:val="nil"/>
                  </w:tcBorders>
                  <w:vAlign w:val="center"/>
                </w:tcPr>
                <w:p>
                  <w:pPr>
                    <w:topLinePunct w:val="0"/>
                    <w:autoSpaceDE w:val="0"/>
                    <w:autoSpaceDN w:val="0"/>
                    <w:spacing w:line="240" w:lineRule="auto"/>
                    <w:ind w:firstLine="0" w:firstLineChars="0"/>
                    <w:rPr>
                      <w:rFonts w:hint="default"/>
                      <w:lang w:val="en-US" w:eastAsia="zh-CN"/>
                    </w:rPr>
                  </w:pPr>
                  <w:r>
                    <w:rPr>
                      <w:rFonts w:hint="eastAsia"/>
                      <w:lang w:val="en-US" w:eastAsia="zh-CN"/>
                    </w:rPr>
                    <w:t>19.16</w:t>
                  </w:r>
                </w:p>
              </w:tc>
              <w:tc>
                <w:tcPr>
                  <w:tcW w:w="1059" w:type="dxa"/>
                  <w:tcBorders>
                    <w:tl2br w:val="nil"/>
                    <w:tr2bl w:val="nil"/>
                  </w:tcBorders>
                  <w:vAlign w:val="center"/>
                </w:tcPr>
                <w:p>
                  <w:pPr>
                    <w:topLinePunct w:val="0"/>
                    <w:autoSpaceDE w:val="0"/>
                    <w:autoSpaceDN w:val="0"/>
                    <w:spacing w:line="240" w:lineRule="auto"/>
                    <w:ind w:firstLine="0" w:firstLineChars="0"/>
                    <w:rPr>
                      <w:rFonts w:hint="default"/>
                      <w:lang w:val="en-US" w:eastAsia="zh-CN"/>
                    </w:rPr>
                  </w:pPr>
                  <w:r>
                    <w:rPr>
                      <w:rFonts w:hint="eastAsia"/>
                      <w:lang w:val="en-US" w:eastAsia="zh-CN"/>
                    </w:rPr>
                    <w:t>1.92</w:t>
                  </w:r>
                </w:p>
              </w:tc>
              <w:tc>
                <w:tcPr>
                  <w:tcW w:w="1075" w:type="dxa"/>
                  <w:tcBorders>
                    <w:tl2br w:val="nil"/>
                    <w:tr2bl w:val="nil"/>
                  </w:tcBorders>
                  <w:vAlign w:val="center"/>
                </w:tcPr>
                <w:p>
                  <w:pPr>
                    <w:topLinePunct w:val="0"/>
                    <w:autoSpaceDE w:val="0"/>
                    <w:autoSpaceDN w:val="0"/>
                    <w:spacing w:line="240" w:lineRule="auto"/>
                    <w:ind w:firstLine="0" w:firstLineChars="0"/>
                    <w:rPr>
                      <w:rFonts w:hint="default"/>
                      <w:lang w:val="en-US" w:eastAsia="zh-CN"/>
                    </w:rPr>
                  </w:pPr>
                  <w:r>
                    <w:rPr>
                      <w:rFonts w:hint="eastAsia"/>
                      <w:lang w:val="en-US" w:eastAsia="zh-CN"/>
                    </w:rPr>
                    <w:t>17.24</w:t>
                  </w:r>
                </w:p>
              </w:tc>
              <w:tc>
                <w:tcPr>
                  <w:tcW w:w="815" w:type="dxa"/>
                  <w:tcBorders>
                    <w:tl2br w:val="nil"/>
                    <w:tr2bl w:val="nil"/>
                  </w:tcBorders>
                  <w:vAlign w:val="center"/>
                </w:tcPr>
                <w:p>
                  <w:pPr>
                    <w:topLinePunct w:val="0"/>
                    <w:autoSpaceDE w:val="0"/>
                    <w:autoSpaceDN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0" w:type="dxa"/>
                  <w:tcBorders>
                    <w:tl2br w:val="nil"/>
                    <w:tr2bl w:val="nil"/>
                  </w:tcBorders>
                  <w:vAlign w:val="center"/>
                </w:tcPr>
                <w:p>
                  <w:pPr>
                    <w:topLinePunct w:val="0"/>
                    <w:autoSpaceDE w:val="0"/>
                    <w:autoSpaceDN w:val="0"/>
                    <w:spacing w:line="240" w:lineRule="auto"/>
                    <w:ind w:firstLine="0" w:firstLineChars="0"/>
                    <w:rPr>
                      <w:rFonts w:hint="default"/>
                      <w:lang w:val="en-US" w:eastAsia="zh-CN"/>
                    </w:rPr>
                  </w:pPr>
                  <w:r>
                    <w:rPr>
                      <w:rFonts w:hint="eastAsia"/>
                      <w:lang w:val="en-US" w:eastAsia="zh-CN"/>
                    </w:rPr>
                    <w:t>5</w:t>
                  </w:r>
                </w:p>
              </w:tc>
              <w:tc>
                <w:tcPr>
                  <w:tcW w:w="1231" w:type="dxa"/>
                  <w:tcBorders>
                    <w:tl2br w:val="nil"/>
                    <w:tr2bl w:val="nil"/>
                  </w:tcBorders>
                  <w:vAlign w:val="center"/>
                </w:tcPr>
                <w:p>
                  <w:pPr>
                    <w:topLinePunct w:val="0"/>
                    <w:autoSpaceDE w:val="0"/>
                    <w:autoSpaceDN w:val="0"/>
                    <w:spacing w:line="240" w:lineRule="auto"/>
                    <w:ind w:firstLine="0" w:firstLineChars="0"/>
                    <w:rPr>
                      <w:rFonts w:hint="eastAsia"/>
                      <w:lang w:val="en-US" w:eastAsia="zh-CN"/>
                    </w:rPr>
                  </w:pPr>
                  <w:r>
                    <w:rPr>
                      <w:rFonts w:hint="eastAsia"/>
                      <w:lang w:val="en-US" w:eastAsia="zh-CN"/>
                    </w:rPr>
                    <w:t>绿化用水</w:t>
                  </w:r>
                </w:p>
              </w:tc>
              <w:tc>
                <w:tcPr>
                  <w:tcW w:w="1075" w:type="dxa"/>
                  <w:tcBorders>
                    <w:tl2br w:val="nil"/>
                    <w:tr2bl w:val="nil"/>
                  </w:tcBorders>
                  <w:vAlign w:val="center"/>
                </w:tcPr>
                <w:p>
                  <w:pPr>
                    <w:topLinePunct w:val="0"/>
                    <w:autoSpaceDE w:val="0"/>
                    <w:autoSpaceDN w:val="0"/>
                    <w:spacing w:line="240" w:lineRule="auto"/>
                    <w:ind w:firstLine="0" w:firstLineChars="0"/>
                    <w:jc w:val="center"/>
                    <w:rPr>
                      <w:rFonts w:hint="default"/>
                      <w:lang w:val="en-US" w:eastAsia="zh-CN"/>
                    </w:rPr>
                  </w:pPr>
                  <w:r>
                    <w:rPr>
                      <w:rFonts w:hint="eastAsia"/>
                      <w:lang w:val="en-US" w:eastAsia="zh-CN"/>
                    </w:rPr>
                    <w:t>550</w:t>
                  </w:r>
                </w:p>
              </w:tc>
              <w:tc>
                <w:tcPr>
                  <w:tcW w:w="983" w:type="dxa"/>
                  <w:tcBorders>
                    <w:tl2br w:val="nil"/>
                    <w:tr2bl w:val="nil"/>
                  </w:tcBorders>
                  <w:vAlign w:val="center"/>
                </w:tcPr>
                <w:p>
                  <w:pPr>
                    <w:topLinePunct w:val="0"/>
                    <w:autoSpaceDE w:val="0"/>
                    <w:autoSpaceDN w:val="0"/>
                    <w:spacing w:line="240" w:lineRule="auto"/>
                    <w:ind w:firstLine="0" w:firstLineChars="0"/>
                    <w:rPr>
                      <w:rFonts w:hint="default"/>
                      <w:lang w:val="en-US" w:eastAsia="zh-CN"/>
                    </w:rPr>
                  </w:pPr>
                  <w:r>
                    <w:rPr>
                      <w:rFonts w:hint="eastAsia"/>
                      <w:lang w:val="en-US" w:eastAsia="zh-CN"/>
                    </w:rPr>
                    <w:t>/</w:t>
                  </w:r>
                </w:p>
              </w:tc>
              <w:tc>
                <w:tcPr>
                  <w:tcW w:w="983" w:type="dxa"/>
                  <w:tcBorders>
                    <w:tl2br w:val="nil"/>
                    <w:tr2bl w:val="nil"/>
                  </w:tcBorders>
                  <w:vAlign w:val="center"/>
                </w:tcPr>
                <w:p>
                  <w:pPr>
                    <w:topLinePunct w:val="0"/>
                    <w:autoSpaceDE w:val="0"/>
                    <w:autoSpaceDN w:val="0"/>
                    <w:spacing w:line="240" w:lineRule="auto"/>
                    <w:ind w:firstLine="0" w:firstLineChars="0"/>
                    <w:rPr>
                      <w:rFonts w:hint="default"/>
                      <w:lang w:val="en-US" w:eastAsia="zh-CN"/>
                    </w:rPr>
                  </w:pPr>
                  <w:r>
                    <w:rPr>
                      <w:rFonts w:hint="eastAsia"/>
                      <w:lang w:val="en-US" w:eastAsia="zh-CN"/>
                    </w:rPr>
                    <w:t>550</w:t>
                  </w:r>
                </w:p>
              </w:tc>
              <w:tc>
                <w:tcPr>
                  <w:tcW w:w="1059" w:type="dxa"/>
                  <w:tcBorders>
                    <w:tl2br w:val="nil"/>
                    <w:tr2bl w:val="nil"/>
                  </w:tcBorders>
                  <w:vAlign w:val="center"/>
                </w:tcPr>
                <w:p>
                  <w:pPr>
                    <w:topLinePunct w:val="0"/>
                    <w:autoSpaceDE w:val="0"/>
                    <w:autoSpaceDN w:val="0"/>
                    <w:spacing w:line="240" w:lineRule="auto"/>
                    <w:ind w:firstLine="0" w:firstLineChars="0"/>
                    <w:rPr>
                      <w:rFonts w:hint="default"/>
                      <w:lang w:val="en-US" w:eastAsia="zh-CN"/>
                    </w:rPr>
                  </w:pPr>
                  <w:r>
                    <w:rPr>
                      <w:rFonts w:hint="eastAsia"/>
                      <w:lang w:val="en-US" w:eastAsia="zh-CN"/>
                    </w:rPr>
                    <w:t>550</w:t>
                  </w:r>
                </w:p>
              </w:tc>
              <w:tc>
                <w:tcPr>
                  <w:tcW w:w="1075" w:type="dxa"/>
                  <w:tcBorders>
                    <w:tl2br w:val="nil"/>
                    <w:tr2bl w:val="nil"/>
                  </w:tcBorders>
                  <w:vAlign w:val="center"/>
                </w:tcPr>
                <w:p>
                  <w:pPr>
                    <w:topLinePunct w:val="0"/>
                    <w:autoSpaceDE w:val="0"/>
                    <w:autoSpaceDN w:val="0"/>
                    <w:spacing w:line="240" w:lineRule="auto"/>
                    <w:ind w:firstLine="0" w:firstLineChars="0"/>
                    <w:rPr>
                      <w:rFonts w:hint="default"/>
                      <w:lang w:val="en-US" w:eastAsia="zh-CN"/>
                    </w:rPr>
                  </w:pPr>
                  <w:r>
                    <w:rPr>
                      <w:rFonts w:hint="eastAsia"/>
                      <w:lang w:val="en-US" w:eastAsia="zh-CN"/>
                    </w:rPr>
                    <w:t>0</w:t>
                  </w:r>
                </w:p>
              </w:tc>
              <w:tc>
                <w:tcPr>
                  <w:tcW w:w="815" w:type="dxa"/>
                  <w:tcBorders>
                    <w:tl2br w:val="nil"/>
                    <w:tr2bl w:val="nil"/>
                  </w:tcBorders>
                  <w:vAlign w:val="center"/>
                </w:tcPr>
                <w:p>
                  <w:pPr>
                    <w:topLinePunct w:val="0"/>
                    <w:autoSpaceDE w:val="0"/>
                    <w:autoSpaceDN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871" w:type="dxa"/>
                  <w:gridSpan w:val="2"/>
                  <w:tcBorders>
                    <w:tl2br w:val="nil"/>
                    <w:tr2bl w:val="nil"/>
                  </w:tcBorders>
                  <w:vAlign w:val="center"/>
                </w:tcPr>
                <w:p>
                  <w:pPr>
                    <w:topLinePunct w:val="0"/>
                    <w:autoSpaceDE w:val="0"/>
                    <w:autoSpaceDN w:val="0"/>
                    <w:spacing w:line="240" w:lineRule="auto"/>
                    <w:ind w:firstLine="0" w:firstLineChars="0"/>
                    <w:rPr>
                      <w:lang w:val="en-US"/>
                    </w:rPr>
                  </w:pPr>
                  <w:r>
                    <w:rPr>
                      <w:rFonts w:hint="eastAsia"/>
                      <w:lang w:val="en-US"/>
                    </w:rPr>
                    <w:t>合计</w:t>
                  </w:r>
                </w:p>
              </w:tc>
              <w:tc>
                <w:tcPr>
                  <w:tcW w:w="1075" w:type="dxa"/>
                  <w:tcBorders>
                    <w:tl2br w:val="nil"/>
                    <w:tr2bl w:val="nil"/>
                  </w:tcBorders>
                  <w:vAlign w:val="center"/>
                </w:tcPr>
                <w:p>
                  <w:pPr>
                    <w:topLinePunct w:val="0"/>
                    <w:autoSpaceDE w:val="0"/>
                    <w:autoSpaceDN w:val="0"/>
                    <w:spacing w:line="240" w:lineRule="auto"/>
                    <w:ind w:firstLine="0" w:firstLineChars="0"/>
                    <w:jc w:val="center"/>
                    <w:rPr>
                      <w:lang w:val="en-US"/>
                    </w:rPr>
                  </w:pPr>
                  <w:r>
                    <w:rPr>
                      <w:rFonts w:hint="default"/>
                      <w:lang w:val="en-US" w:eastAsia="zh-CN"/>
                    </w:rPr>
                    <w:fldChar w:fldCharType="begin"/>
                  </w:r>
                  <w:r>
                    <w:rPr>
                      <w:rFonts w:hint="default"/>
                      <w:lang w:val="en-US" w:eastAsia="zh-CN"/>
                    </w:rPr>
                    <w:instrText xml:space="preserve"> = sum(C2:C7) \* MERGEFORMAT </w:instrText>
                  </w:r>
                  <w:r>
                    <w:rPr>
                      <w:rFonts w:hint="default"/>
                      <w:lang w:val="en-US" w:eastAsia="zh-CN"/>
                    </w:rPr>
                    <w:fldChar w:fldCharType="separate"/>
                  </w:r>
                  <w:r>
                    <w:rPr>
                      <w:rFonts w:hint="default"/>
                      <w:lang w:val="en-US" w:eastAsia="zh-CN"/>
                    </w:rPr>
                    <w:t>2706.16</w:t>
                  </w:r>
                  <w:r>
                    <w:rPr>
                      <w:rFonts w:hint="default"/>
                      <w:lang w:val="en-US" w:eastAsia="zh-CN"/>
                    </w:rPr>
                    <w:fldChar w:fldCharType="end"/>
                  </w:r>
                </w:p>
              </w:tc>
              <w:tc>
                <w:tcPr>
                  <w:tcW w:w="983" w:type="dxa"/>
                  <w:tcBorders>
                    <w:tl2br w:val="nil"/>
                    <w:tr2bl w:val="nil"/>
                  </w:tcBorders>
                  <w:vAlign w:val="center"/>
                </w:tcPr>
                <w:p>
                  <w:pPr>
                    <w:topLinePunct w:val="0"/>
                    <w:autoSpaceDE w:val="0"/>
                    <w:autoSpaceDN w:val="0"/>
                    <w:spacing w:line="240" w:lineRule="auto"/>
                    <w:ind w:firstLine="0" w:firstLineChars="0"/>
                    <w:rPr>
                      <w:rFonts w:hint="default"/>
                      <w:lang w:val="en-US" w:eastAsia="zh-CN"/>
                    </w:rPr>
                  </w:pPr>
                  <w:r>
                    <w:rPr>
                      <w:rFonts w:hint="eastAsia"/>
                      <w:lang w:val="en-US" w:eastAsia="zh-CN"/>
                    </w:rPr>
                    <w:t>19.04</w:t>
                  </w:r>
                </w:p>
              </w:tc>
              <w:tc>
                <w:tcPr>
                  <w:tcW w:w="983" w:type="dxa"/>
                  <w:tcBorders>
                    <w:tl2br w:val="nil"/>
                    <w:tr2bl w:val="nil"/>
                  </w:tcBorders>
                  <w:vAlign w:val="center"/>
                </w:tcPr>
                <w:p>
                  <w:pPr>
                    <w:topLinePunct w:val="0"/>
                    <w:autoSpaceDE w:val="0"/>
                    <w:autoSpaceDN w:val="0"/>
                    <w:spacing w:line="240" w:lineRule="auto"/>
                    <w:ind w:firstLine="0" w:firstLineChars="0"/>
                    <w:rPr>
                      <w:rFonts w:hint="default"/>
                      <w:lang w:val="en-US" w:eastAsia="zh-CN"/>
                    </w:rPr>
                  </w:pPr>
                  <w:r>
                    <w:rPr>
                      <w:rFonts w:hint="default" w:ascii="Times New Roman" w:hAnsi="Times New Roman" w:eastAsia="宋体" w:cs="Times New Roman"/>
                      <w:kern w:val="2"/>
                      <w:sz w:val="21"/>
                      <w:szCs w:val="24"/>
                      <w:lang w:val="en-US" w:eastAsia="zh-CN" w:bidi="ar-SA"/>
                    </w:rPr>
                    <w:fldChar w:fldCharType="begin"/>
                  </w:r>
                  <w:r>
                    <w:rPr>
                      <w:rFonts w:hint="default" w:ascii="Times New Roman" w:hAnsi="Times New Roman" w:eastAsia="宋体" w:cs="Times New Roman"/>
                      <w:kern w:val="2"/>
                      <w:sz w:val="21"/>
                      <w:szCs w:val="24"/>
                      <w:lang w:val="en-US" w:eastAsia="zh-CN" w:bidi="ar-SA"/>
                    </w:rPr>
                    <w:instrText xml:space="preserve"> = sum(E2:E7) \* MERGEFORMAT </w:instrText>
                  </w:r>
                  <w:r>
                    <w:rPr>
                      <w:rFonts w:hint="default" w:ascii="Times New Roman" w:hAnsi="Times New Roman" w:eastAsia="宋体" w:cs="Times New Roman"/>
                      <w:kern w:val="2"/>
                      <w:sz w:val="21"/>
                      <w:szCs w:val="24"/>
                      <w:lang w:val="en-US" w:eastAsia="zh-CN" w:bidi="ar-SA"/>
                    </w:rPr>
                    <w:fldChar w:fldCharType="separate"/>
                  </w:r>
                  <w:r>
                    <w:rPr>
                      <w:rFonts w:hint="default" w:ascii="Times New Roman" w:hAnsi="Times New Roman" w:eastAsia="宋体" w:cs="Times New Roman"/>
                      <w:kern w:val="2"/>
                      <w:sz w:val="21"/>
                      <w:szCs w:val="24"/>
                      <w:lang w:val="en-US" w:eastAsia="zh-CN" w:bidi="ar-SA"/>
                    </w:rPr>
                    <w:t>2706.16</w:t>
                  </w:r>
                  <w:r>
                    <w:rPr>
                      <w:rFonts w:hint="default" w:ascii="Times New Roman" w:hAnsi="Times New Roman" w:eastAsia="宋体" w:cs="Times New Roman"/>
                      <w:kern w:val="2"/>
                      <w:sz w:val="21"/>
                      <w:szCs w:val="24"/>
                      <w:lang w:val="en-US" w:eastAsia="zh-CN" w:bidi="ar-SA"/>
                    </w:rPr>
                    <w:fldChar w:fldCharType="end"/>
                  </w:r>
                </w:p>
              </w:tc>
              <w:tc>
                <w:tcPr>
                  <w:tcW w:w="1059" w:type="dxa"/>
                  <w:tcBorders>
                    <w:tl2br w:val="nil"/>
                    <w:tr2bl w:val="nil"/>
                  </w:tcBorders>
                  <w:vAlign w:val="center"/>
                </w:tcPr>
                <w:p>
                  <w:pPr>
                    <w:topLinePunct w:val="0"/>
                    <w:autoSpaceDE w:val="0"/>
                    <w:autoSpaceDN w:val="0"/>
                    <w:spacing w:line="240" w:lineRule="auto"/>
                    <w:ind w:firstLine="0" w:firstLineChars="0"/>
                    <w:rPr>
                      <w:rFonts w:hint="default" w:ascii="Times New Roman" w:hAnsi="Times New Roman" w:eastAsia="宋体" w:cs="Times New Roman"/>
                      <w:kern w:val="2"/>
                      <w:sz w:val="21"/>
                      <w:szCs w:val="24"/>
                      <w:lang w:val="en-US" w:eastAsia="zh-CN" w:bidi="ar-SA"/>
                    </w:rPr>
                  </w:pPr>
                  <w:r>
                    <w:rPr>
                      <w:rFonts w:hint="default" w:eastAsia="宋体"/>
                      <w:lang w:val="en-US" w:eastAsia="zh-CN"/>
                    </w:rPr>
                    <w:fldChar w:fldCharType="begin"/>
                  </w:r>
                  <w:r>
                    <w:rPr>
                      <w:rFonts w:hint="default" w:eastAsia="宋体"/>
                      <w:lang w:val="en-US" w:eastAsia="zh-CN"/>
                    </w:rPr>
                    <w:instrText xml:space="preserve"> = sum(F2:F7) \* MERGEFORMAT </w:instrText>
                  </w:r>
                  <w:r>
                    <w:rPr>
                      <w:rFonts w:hint="default" w:eastAsia="宋体"/>
                      <w:lang w:val="en-US" w:eastAsia="zh-CN"/>
                    </w:rPr>
                    <w:fldChar w:fldCharType="separate"/>
                  </w:r>
                  <w:r>
                    <w:rPr>
                      <w:rFonts w:hint="default" w:eastAsia="宋体"/>
                      <w:lang w:val="en-US" w:eastAsia="zh-CN"/>
                    </w:rPr>
                    <w:t>2686.16</w:t>
                  </w:r>
                  <w:r>
                    <w:rPr>
                      <w:rFonts w:hint="default" w:eastAsia="宋体"/>
                      <w:lang w:val="en-US" w:eastAsia="zh-CN"/>
                    </w:rPr>
                    <w:fldChar w:fldCharType="end"/>
                  </w:r>
                </w:p>
              </w:tc>
              <w:tc>
                <w:tcPr>
                  <w:tcW w:w="1075" w:type="dxa"/>
                  <w:tcBorders>
                    <w:tl2br w:val="nil"/>
                    <w:tr2bl w:val="nil"/>
                  </w:tcBorders>
                  <w:vAlign w:val="center"/>
                </w:tcPr>
                <w:p>
                  <w:pPr>
                    <w:topLinePunct w:val="0"/>
                    <w:autoSpaceDE w:val="0"/>
                    <w:autoSpaceDN w:val="0"/>
                    <w:spacing w:line="240" w:lineRule="auto"/>
                    <w:ind w:firstLine="0" w:firstLineChars="0"/>
                    <w:rPr>
                      <w:rFonts w:hint="default" w:eastAsia="宋体"/>
                      <w:lang w:val="en-US" w:eastAsia="zh-CN"/>
                    </w:rPr>
                  </w:pPr>
                  <w:r>
                    <w:fldChar w:fldCharType="begin"/>
                  </w:r>
                  <w:r>
                    <w:instrText xml:space="preserve"> = sum(G2:G7) \* MERGEFORMAT </w:instrText>
                  </w:r>
                  <w:r>
                    <w:fldChar w:fldCharType="separate"/>
                  </w:r>
                  <w:r>
                    <w:t>20</w:t>
                  </w:r>
                  <w:r>
                    <w:fldChar w:fldCharType="end"/>
                  </w:r>
                </w:p>
              </w:tc>
              <w:tc>
                <w:tcPr>
                  <w:tcW w:w="815" w:type="dxa"/>
                  <w:tcBorders>
                    <w:tl2br w:val="nil"/>
                    <w:tr2bl w:val="nil"/>
                  </w:tcBorders>
                  <w:vAlign w:val="center"/>
                </w:tcPr>
                <w:p>
                  <w:pPr>
                    <w:topLinePunct w:val="0"/>
                    <w:autoSpaceDE w:val="0"/>
                    <w:autoSpaceDN w:val="0"/>
                    <w:spacing w:line="240" w:lineRule="auto"/>
                    <w:ind w:firstLine="0" w:firstLineChars="0"/>
                  </w:pPr>
                </w:p>
              </w:tc>
            </w:tr>
          </w:tbl>
          <w:p>
            <w:pPr>
              <w:bidi w:val="0"/>
              <w:ind w:firstLine="0" w:firstLineChars="0"/>
              <w:jc w:val="center"/>
              <w:rPr>
                <w:rFonts w:hint="default"/>
                <w:b/>
                <w:bCs/>
                <w:lang w:val="en-US" w:eastAsia="zh-CN"/>
              </w:rPr>
            </w:pPr>
            <w:r>
              <w:rPr>
                <w:rFonts w:hint="default"/>
                <w:b/>
                <w:bCs/>
                <w:lang w:val="en-US" w:eastAsia="zh-CN"/>
              </w:rPr>
              <w:drawing>
                <wp:inline distT="0" distB="0" distL="114300" distR="114300">
                  <wp:extent cx="5033010" cy="3983355"/>
                  <wp:effectExtent l="0" t="0" r="0" b="0"/>
                  <wp:docPr id="30" name="ECB019B1-382A-4266-B25C-5B523AA43C14-1" descr="C:/Users/Lenovo/AppData/Local/Temp/wps.tzAOsd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ECB019B1-382A-4266-B25C-5B523AA43C14-1" descr="C:/Users/Lenovo/AppData/Local/Temp/wps.tzAOsdwps"/>
                          <pic:cNvPicPr>
                            <a:picLocks noChangeAspect="1"/>
                          </pic:cNvPicPr>
                        </pic:nvPicPr>
                        <pic:blipFill>
                          <a:blip r:embed="rId13"/>
                          <a:stretch>
                            <a:fillRect/>
                          </a:stretch>
                        </pic:blipFill>
                        <pic:spPr>
                          <a:xfrm>
                            <a:off x="0" y="0"/>
                            <a:ext cx="5033010" cy="3983355"/>
                          </a:xfrm>
                          <a:prstGeom prst="rect">
                            <a:avLst/>
                          </a:prstGeom>
                        </pic:spPr>
                      </pic:pic>
                    </a:graphicData>
                  </a:graphic>
                </wp:inline>
              </w:drawing>
            </w:r>
          </w:p>
          <w:p>
            <w:pPr>
              <w:bidi w:val="0"/>
              <w:jc w:val="center"/>
              <w:rPr>
                <w:rFonts w:hint="default"/>
                <w:b/>
                <w:bCs/>
                <w:lang w:val="en-US" w:eastAsia="zh-CN"/>
              </w:rPr>
            </w:pPr>
            <w:r>
              <w:rPr>
                <w:rFonts w:hint="eastAsia"/>
                <w:b/>
                <w:bCs/>
                <w:lang w:val="en-US" w:eastAsia="zh-CN"/>
              </w:rPr>
              <w:t>图2-1水平衡图（单位：m³/d）</w:t>
            </w:r>
          </w:p>
          <w:p>
            <w:pPr>
              <w:bidi w:val="0"/>
              <w:rPr>
                <w:rFonts w:hint="eastAsia"/>
                <w:b/>
                <w:bCs/>
                <w:lang w:val="en-US" w:eastAsia="zh-CN"/>
              </w:rPr>
            </w:pPr>
            <w:r>
              <w:rPr>
                <w:rFonts w:hint="eastAsia"/>
                <w:b/>
                <w:bCs/>
                <w:lang w:val="en-US" w:eastAsia="zh-CN"/>
              </w:rPr>
              <w:t>（3）供电工程</w:t>
            </w:r>
          </w:p>
          <w:p>
            <w:pPr>
              <w:bidi w:val="0"/>
              <w:rPr>
                <w:rFonts w:hint="eastAsia"/>
                <w:lang w:val="en-US" w:eastAsia="zh-CN"/>
              </w:rPr>
            </w:pPr>
            <w:r>
              <w:rPr>
                <w:rFonts w:hint="eastAsia"/>
                <w:szCs w:val="21"/>
                <w:highlight w:val="none"/>
                <w:lang w:val="en-US" w:eastAsia="zh-CN"/>
              </w:rPr>
              <w:t>接入市政电网，厂区设置1座配电间，年用电量约150万kWh。</w:t>
            </w:r>
          </w:p>
          <w:p>
            <w:pPr>
              <w:bidi w:val="0"/>
              <w:rPr>
                <w:rFonts w:hint="eastAsia"/>
                <w:b/>
                <w:bCs/>
                <w:lang w:val="en-US" w:eastAsia="zh-CN"/>
              </w:rPr>
            </w:pPr>
            <w:r>
              <w:rPr>
                <w:rFonts w:hint="eastAsia"/>
                <w:b/>
                <w:bCs/>
                <w:lang w:val="en-US" w:eastAsia="zh-CN"/>
              </w:rPr>
              <w:t>（4）供暖工程</w:t>
            </w:r>
          </w:p>
          <w:p>
            <w:pPr>
              <w:bidi w:val="0"/>
              <w:rPr>
                <w:rFonts w:hint="default"/>
                <w:lang w:val="en-US" w:eastAsia="zh-CN"/>
              </w:rPr>
            </w:pPr>
            <w:r>
              <w:rPr>
                <w:rFonts w:hint="eastAsia"/>
                <w:lang w:val="en-US" w:eastAsia="zh-CN"/>
              </w:rPr>
              <w:t>本项目冬季不生产，无需供热。</w:t>
            </w:r>
          </w:p>
          <w:p>
            <w:pPr>
              <w:bidi w:val="0"/>
              <w:rPr>
                <w:rFonts w:hint="eastAsia"/>
                <w:b/>
                <w:bCs/>
                <w:lang w:val="en-US" w:eastAsia="zh-CN"/>
              </w:rPr>
            </w:pPr>
            <w:r>
              <w:rPr>
                <w:rFonts w:hint="eastAsia"/>
                <w:b/>
                <w:bCs/>
                <w:lang w:val="en-US" w:eastAsia="zh-CN"/>
              </w:rPr>
              <w:t>（5）气动系统</w:t>
            </w:r>
          </w:p>
          <w:p>
            <w:pPr>
              <w:bidi w:val="0"/>
              <w:rPr>
                <w:rFonts w:hint="eastAsia"/>
                <w:highlight w:val="yellow"/>
                <w:lang w:val="en-US" w:eastAsia="zh-CN"/>
              </w:rPr>
            </w:pPr>
            <w:r>
              <w:rPr>
                <w:rFonts w:hint="eastAsia"/>
                <w:lang w:val="en-US" w:eastAsia="zh-CN"/>
              </w:rPr>
              <w:t>项目设置空压机2台，位于筒仓底部，分别配套1组0.5m³储气罐，台空压机设计流量2m³/min，合计4m³/min，为原料、成品装卸，混凝土搅拌过程和气缸开关，水气阀的开启关闭提供压缩空气。</w:t>
            </w:r>
            <w:r>
              <w:rPr>
                <w:rFonts w:hint="eastAsia"/>
                <w:highlight w:val="none"/>
                <w:lang w:val="en-US" w:eastAsia="zh-CN"/>
              </w:rPr>
              <w:t>压缩空气年需求约9.0万Nm³/a。</w:t>
            </w:r>
          </w:p>
          <w:p>
            <w:pPr>
              <w:bidi w:val="0"/>
              <w:rPr>
                <w:rFonts w:hint="eastAsia"/>
                <w:b/>
                <w:bCs/>
                <w:lang w:val="en-US" w:eastAsia="zh-CN"/>
              </w:rPr>
            </w:pPr>
            <w:r>
              <w:rPr>
                <w:rFonts w:hint="eastAsia"/>
                <w:b/>
                <w:bCs/>
                <w:lang w:val="en-US" w:eastAsia="zh-CN"/>
              </w:rPr>
              <w:t>7、平面布置</w:t>
            </w:r>
          </w:p>
          <w:p>
            <w:pPr>
              <w:bidi w:val="0"/>
            </w:pPr>
            <w:r>
              <w:rPr>
                <w:rFonts w:hint="eastAsia"/>
              </w:rPr>
              <w:t>本项目总占地面积</w:t>
            </w:r>
            <w:r>
              <w:rPr>
                <w:rFonts w:hint="eastAsia" w:ascii="Times New Roman" w:hAnsi="Times New Roman" w:cs="Times New Roman"/>
                <w:szCs w:val="21"/>
                <w:lang w:val="en-US" w:eastAsia="zh-CN"/>
              </w:rPr>
              <w:t>100443.8</w:t>
            </w:r>
            <w:r>
              <w:rPr>
                <w:rFonts w:hint="eastAsia"/>
                <w:lang w:val="en-US" w:eastAsia="zh-CN"/>
              </w:rPr>
              <w:t>㎡</w:t>
            </w:r>
            <w:r>
              <w:rPr>
                <w:rFonts w:hint="eastAsia"/>
              </w:rPr>
              <w:t>，出入口位于场地</w:t>
            </w:r>
            <w:r>
              <w:rPr>
                <w:rFonts w:hint="eastAsia"/>
                <w:lang w:val="en-US" w:eastAsia="zh-CN"/>
              </w:rPr>
              <w:t>东</w:t>
            </w:r>
            <w:r>
              <w:rPr>
                <w:rFonts w:hint="eastAsia"/>
              </w:rPr>
              <w:t>部，搅拌机及筒仓布设于厂区中央，搅拌机北侧为办公生活区，搅拌机西侧为</w:t>
            </w:r>
            <w:r>
              <w:rPr>
                <w:rFonts w:hint="eastAsia"/>
                <w:lang w:val="en-US" w:eastAsia="zh-CN"/>
              </w:rPr>
              <w:t>原料堆场</w:t>
            </w:r>
            <w:r>
              <w:rPr>
                <w:rFonts w:hint="eastAsia"/>
              </w:rPr>
              <w:t>，水泥筒仓、粉煤灰筒仓、</w:t>
            </w:r>
            <w:r>
              <w:rPr>
                <w:rFonts w:hint="eastAsia"/>
                <w:lang w:val="en-US" w:eastAsia="zh-CN"/>
              </w:rPr>
              <w:t>矿粉筒仓</w:t>
            </w:r>
            <w:r>
              <w:rPr>
                <w:rFonts w:hint="eastAsia"/>
              </w:rPr>
              <w:t>等</w:t>
            </w:r>
            <w:r>
              <w:rPr>
                <w:rFonts w:hint="eastAsia"/>
                <w:lang w:val="en-US" w:eastAsia="zh-CN"/>
              </w:rPr>
              <w:t>均分布于</w:t>
            </w:r>
            <w:r>
              <w:rPr>
                <w:rFonts w:hint="eastAsia"/>
              </w:rPr>
              <w:t>搅拌机</w:t>
            </w:r>
            <w:r>
              <w:rPr>
                <w:rFonts w:hint="eastAsia"/>
                <w:lang w:val="en-US" w:eastAsia="zh-CN"/>
              </w:rPr>
              <w:t>两侧</w:t>
            </w:r>
            <w:r>
              <w:rPr>
                <w:rFonts w:hint="eastAsia"/>
              </w:rPr>
              <w:t>。本项目总平面布置基本合理。厂区平面示意见附图</w:t>
            </w:r>
            <w:r>
              <w:rPr>
                <w:rFonts w:hint="eastAsia"/>
                <w:lang w:val="en-US" w:eastAsia="zh-CN"/>
              </w:rPr>
              <w:t>2</w:t>
            </w:r>
            <w:r>
              <w:rPr>
                <w:rFonts w:hint="eastAsia"/>
              </w:rPr>
              <w:t>。</w:t>
            </w:r>
          </w:p>
          <w:p>
            <w:pPr>
              <w:bidi w:val="0"/>
              <w:rPr>
                <w:rFonts w:hint="eastAsia"/>
                <w:b/>
                <w:bCs/>
                <w:lang w:val="en-US" w:eastAsia="zh-CN"/>
              </w:rPr>
            </w:pPr>
            <w:r>
              <w:rPr>
                <w:rFonts w:hint="eastAsia"/>
                <w:b/>
                <w:bCs/>
                <w:lang w:val="en-US" w:eastAsia="zh-CN"/>
              </w:rPr>
              <w:t>8、运输</w:t>
            </w:r>
          </w:p>
          <w:p>
            <w:pPr>
              <w:bidi w:val="0"/>
              <w:rPr>
                <w:rFonts w:hint="eastAsia"/>
                <w:lang w:val="en-US" w:eastAsia="zh-CN"/>
              </w:rPr>
            </w:pPr>
            <w:r>
              <w:rPr>
                <w:rFonts w:hint="eastAsia"/>
                <w:lang w:val="en-US" w:eastAsia="zh-CN"/>
              </w:rPr>
              <w:t>按生产天数270d计，项目各类原辅料及产品运输情况见表2-5。运输车辆运送频次取决于工程需求，项目单位小时最大运输量约为41辆/小时，夜间不进行运输。</w:t>
            </w:r>
          </w:p>
          <w:p>
            <w:pPr>
              <w:bidi w:val="0"/>
              <w:ind w:left="0" w:leftChars="0" w:firstLine="0" w:firstLineChars="0"/>
              <w:jc w:val="center"/>
              <w:rPr>
                <w:rFonts w:hint="eastAsia"/>
                <w:b/>
                <w:bCs/>
                <w:vertAlign w:val="baseline"/>
                <w:lang w:val="en-US" w:eastAsia="zh-CN"/>
              </w:rPr>
            </w:pPr>
            <w:r>
              <w:rPr>
                <w:rFonts w:hint="eastAsia"/>
                <w:b/>
                <w:bCs/>
                <w:lang w:val="en-US" w:eastAsia="zh-CN"/>
              </w:rPr>
              <w:t>表2-5各类原辅料及产品运输情况表</w:t>
            </w:r>
          </w:p>
          <w:tbl>
            <w:tblPr>
              <w:tblStyle w:val="10"/>
              <w:tblW w:w="794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313"/>
              <w:gridCol w:w="1135"/>
              <w:gridCol w:w="1135"/>
              <w:gridCol w:w="1135"/>
              <w:gridCol w:w="1324"/>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类型</w:t>
                  </w:r>
                </w:p>
              </w:tc>
              <w:tc>
                <w:tcPr>
                  <w:tcW w:w="1313"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物料名称</w:t>
                  </w:r>
                </w:p>
              </w:tc>
              <w:tc>
                <w:tcPr>
                  <w:tcW w:w="1135"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年周转量</w:t>
                  </w:r>
                </w:p>
              </w:tc>
              <w:tc>
                <w:tcPr>
                  <w:tcW w:w="1135"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运输车辆装载量</w:t>
                  </w:r>
                </w:p>
              </w:tc>
              <w:tc>
                <w:tcPr>
                  <w:tcW w:w="1135"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每天周转车辆次</w:t>
                  </w:r>
                </w:p>
              </w:tc>
              <w:tc>
                <w:tcPr>
                  <w:tcW w:w="1324"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自有车辆还是外来车辆</w:t>
                  </w:r>
                </w:p>
              </w:tc>
              <w:tc>
                <w:tcPr>
                  <w:tcW w:w="946"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车辆类型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957" w:type="dxa"/>
                  <w:vMerge w:val="restart"/>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原料</w:t>
                  </w:r>
                </w:p>
              </w:tc>
              <w:tc>
                <w:tcPr>
                  <w:tcW w:w="1313"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水泥</w:t>
                  </w:r>
                </w:p>
              </w:tc>
              <w:tc>
                <w:tcPr>
                  <w:tcW w:w="1135"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90万t</w:t>
                  </w:r>
                </w:p>
              </w:tc>
              <w:tc>
                <w:tcPr>
                  <w:tcW w:w="1135"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50吨车</w:t>
                  </w:r>
                </w:p>
              </w:tc>
              <w:tc>
                <w:tcPr>
                  <w:tcW w:w="1135"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67</w:t>
                  </w:r>
                </w:p>
              </w:tc>
              <w:tc>
                <w:tcPr>
                  <w:tcW w:w="1324"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外来</w:t>
                  </w:r>
                </w:p>
              </w:tc>
              <w:tc>
                <w:tcPr>
                  <w:tcW w:w="946"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罐车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957" w:type="dxa"/>
                  <w:vMerge w:val="continue"/>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vertAlign w:val="baseline"/>
                      <w:lang w:val="en-US" w:eastAsia="zh-CN"/>
                    </w:rPr>
                  </w:pPr>
                </w:p>
              </w:tc>
              <w:tc>
                <w:tcPr>
                  <w:tcW w:w="1313"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砂子</w:t>
                  </w:r>
                </w:p>
              </w:tc>
              <w:tc>
                <w:tcPr>
                  <w:tcW w:w="1135"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vertAlign w:val="baseline"/>
                      <w:lang w:val="en-US" w:eastAsia="zh-CN"/>
                    </w:rPr>
                  </w:pPr>
                  <w:r>
                    <w:rPr>
                      <w:rFonts w:hint="eastAsia"/>
                      <w:vertAlign w:val="baseline"/>
                      <w:lang w:val="en-US" w:eastAsia="zh-CN"/>
                    </w:rPr>
                    <w:t>270万t</w:t>
                  </w:r>
                </w:p>
              </w:tc>
              <w:tc>
                <w:tcPr>
                  <w:tcW w:w="1135"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vertAlign w:val="baseline"/>
                      <w:lang w:val="en-US" w:eastAsia="zh-CN"/>
                    </w:rPr>
                  </w:pPr>
                  <w:r>
                    <w:rPr>
                      <w:rFonts w:hint="eastAsia"/>
                      <w:vertAlign w:val="baseline"/>
                      <w:lang w:val="en-US" w:eastAsia="zh-CN"/>
                    </w:rPr>
                    <w:t>50吨车</w:t>
                  </w:r>
                </w:p>
              </w:tc>
              <w:tc>
                <w:tcPr>
                  <w:tcW w:w="1135"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200</w:t>
                  </w:r>
                </w:p>
              </w:tc>
              <w:tc>
                <w:tcPr>
                  <w:tcW w:w="1324"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外来</w:t>
                  </w:r>
                </w:p>
              </w:tc>
              <w:tc>
                <w:tcPr>
                  <w:tcW w:w="946"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卡车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Merge w:val="continue"/>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vertAlign w:val="baseline"/>
                      <w:lang w:val="en-US" w:eastAsia="zh-CN"/>
                    </w:rPr>
                  </w:pPr>
                </w:p>
              </w:tc>
              <w:tc>
                <w:tcPr>
                  <w:tcW w:w="1313"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碎石</w:t>
                  </w:r>
                </w:p>
              </w:tc>
              <w:tc>
                <w:tcPr>
                  <w:tcW w:w="1135"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vertAlign w:val="baseline"/>
                      <w:lang w:val="en-US" w:eastAsia="zh-CN"/>
                    </w:rPr>
                  </w:pPr>
                  <w:r>
                    <w:rPr>
                      <w:rFonts w:hint="eastAsia"/>
                      <w:vertAlign w:val="baseline"/>
                      <w:lang w:val="en-US" w:eastAsia="zh-CN"/>
                    </w:rPr>
                    <w:t>360万t</w:t>
                  </w:r>
                </w:p>
              </w:tc>
              <w:tc>
                <w:tcPr>
                  <w:tcW w:w="1135"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vertAlign w:val="baseline"/>
                      <w:lang w:val="en-US" w:eastAsia="zh-CN"/>
                    </w:rPr>
                  </w:pPr>
                  <w:r>
                    <w:rPr>
                      <w:rFonts w:hint="eastAsia"/>
                      <w:vertAlign w:val="baseline"/>
                      <w:lang w:val="en-US" w:eastAsia="zh-CN"/>
                    </w:rPr>
                    <w:t>50吨车</w:t>
                  </w:r>
                </w:p>
              </w:tc>
              <w:tc>
                <w:tcPr>
                  <w:tcW w:w="1135"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267</w:t>
                  </w:r>
                </w:p>
              </w:tc>
              <w:tc>
                <w:tcPr>
                  <w:tcW w:w="1324"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vertAlign w:val="baseline"/>
                      <w:lang w:val="en-US" w:eastAsia="zh-CN"/>
                    </w:rPr>
                  </w:pPr>
                  <w:r>
                    <w:rPr>
                      <w:rFonts w:hint="eastAsia"/>
                      <w:vertAlign w:val="baseline"/>
                      <w:lang w:val="en-US" w:eastAsia="zh-CN"/>
                    </w:rPr>
                    <w:t>外来</w:t>
                  </w:r>
                </w:p>
              </w:tc>
              <w:tc>
                <w:tcPr>
                  <w:tcW w:w="946"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vertAlign w:val="baseline"/>
                      <w:lang w:val="en-US" w:eastAsia="zh-CN"/>
                    </w:rPr>
                  </w:pPr>
                  <w:r>
                    <w:rPr>
                      <w:rFonts w:hint="eastAsia"/>
                      <w:vertAlign w:val="baseline"/>
                      <w:lang w:val="en-US" w:eastAsia="zh-CN"/>
                    </w:rPr>
                    <w:t>卡车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Merge w:val="continue"/>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vertAlign w:val="baseline"/>
                      <w:lang w:val="en-US" w:eastAsia="zh-CN"/>
                    </w:rPr>
                  </w:pPr>
                </w:p>
              </w:tc>
              <w:tc>
                <w:tcPr>
                  <w:tcW w:w="1313"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粉煤灰</w:t>
                  </w:r>
                </w:p>
              </w:tc>
              <w:tc>
                <w:tcPr>
                  <w:tcW w:w="1135"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vertAlign w:val="baseline"/>
                      <w:lang w:val="en-US" w:eastAsia="zh-CN"/>
                    </w:rPr>
                  </w:pPr>
                  <w:r>
                    <w:rPr>
                      <w:rFonts w:hint="eastAsia"/>
                      <w:vertAlign w:val="baseline"/>
                      <w:lang w:val="en-US" w:eastAsia="zh-CN"/>
                    </w:rPr>
                    <w:t>36万t</w:t>
                  </w:r>
                </w:p>
              </w:tc>
              <w:tc>
                <w:tcPr>
                  <w:tcW w:w="1135"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vertAlign w:val="baseline"/>
                      <w:lang w:val="en-US" w:eastAsia="zh-CN"/>
                    </w:rPr>
                  </w:pPr>
                  <w:r>
                    <w:rPr>
                      <w:rFonts w:hint="eastAsia"/>
                      <w:vertAlign w:val="baseline"/>
                      <w:lang w:val="en-US" w:eastAsia="zh-CN"/>
                    </w:rPr>
                    <w:t>50吨车</w:t>
                  </w:r>
                </w:p>
              </w:tc>
              <w:tc>
                <w:tcPr>
                  <w:tcW w:w="1135"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27</w:t>
                  </w:r>
                </w:p>
              </w:tc>
              <w:tc>
                <w:tcPr>
                  <w:tcW w:w="1324"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vertAlign w:val="baseline"/>
                      <w:lang w:val="en-US" w:eastAsia="zh-CN"/>
                    </w:rPr>
                  </w:pPr>
                  <w:r>
                    <w:rPr>
                      <w:rFonts w:hint="eastAsia"/>
                      <w:vertAlign w:val="baseline"/>
                      <w:lang w:val="en-US" w:eastAsia="zh-CN"/>
                    </w:rPr>
                    <w:t>外来</w:t>
                  </w:r>
                </w:p>
              </w:tc>
              <w:tc>
                <w:tcPr>
                  <w:tcW w:w="946"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vertAlign w:val="baseline"/>
                      <w:lang w:val="en-US" w:eastAsia="zh-CN"/>
                    </w:rPr>
                  </w:pPr>
                  <w:r>
                    <w:rPr>
                      <w:rFonts w:hint="eastAsia"/>
                      <w:vertAlign w:val="baseline"/>
                      <w:lang w:val="en-US" w:eastAsia="zh-CN"/>
                    </w:rPr>
                    <w:t>卡车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957" w:type="dxa"/>
                  <w:vMerge w:val="continue"/>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vertAlign w:val="baseline"/>
                      <w:lang w:val="en-US" w:eastAsia="zh-CN"/>
                    </w:rPr>
                  </w:pPr>
                </w:p>
              </w:tc>
              <w:tc>
                <w:tcPr>
                  <w:tcW w:w="1313"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矿粉</w:t>
                  </w:r>
                </w:p>
              </w:tc>
              <w:tc>
                <w:tcPr>
                  <w:tcW w:w="1135"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vertAlign w:val="baseline"/>
                      <w:lang w:val="en-US" w:eastAsia="zh-CN"/>
                    </w:rPr>
                  </w:pPr>
                  <w:r>
                    <w:rPr>
                      <w:rFonts w:hint="eastAsia"/>
                      <w:vertAlign w:val="baseline"/>
                      <w:lang w:val="en-US" w:eastAsia="zh-CN"/>
                    </w:rPr>
                    <w:t>28.8万t</w:t>
                  </w:r>
                </w:p>
              </w:tc>
              <w:tc>
                <w:tcPr>
                  <w:tcW w:w="1135"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vertAlign w:val="baseline"/>
                      <w:lang w:val="en-US" w:eastAsia="zh-CN"/>
                    </w:rPr>
                  </w:pPr>
                  <w:r>
                    <w:rPr>
                      <w:rFonts w:hint="eastAsia"/>
                      <w:vertAlign w:val="baseline"/>
                      <w:lang w:val="en-US" w:eastAsia="zh-CN"/>
                    </w:rPr>
                    <w:t>50吨车</w:t>
                  </w:r>
                </w:p>
              </w:tc>
              <w:tc>
                <w:tcPr>
                  <w:tcW w:w="1135"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22</w:t>
                  </w:r>
                </w:p>
              </w:tc>
              <w:tc>
                <w:tcPr>
                  <w:tcW w:w="1324"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vertAlign w:val="baseline"/>
                      <w:lang w:val="en-US" w:eastAsia="zh-CN"/>
                    </w:rPr>
                  </w:pPr>
                  <w:r>
                    <w:rPr>
                      <w:rFonts w:hint="eastAsia"/>
                      <w:vertAlign w:val="baseline"/>
                      <w:lang w:val="en-US" w:eastAsia="zh-CN"/>
                    </w:rPr>
                    <w:t>外来</w:t>
                  </w:r>
                </w:p>
              </w:tc>
              <w:tc>
                <w:tcPr>
                  <w:tcW w:w="946"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vertAlign w:val="baseline"/>
                      <w:lang w:val="en-US" w:eastAsia="zh-CN"/>
                    </w:rPr>
                  </w:pPr>
                  <w:r>
                    <w:rPr>
                      <w:rFonts w:hint="eastAsia"/>
                      <w:vertAlign w:val="baseline"/>
                      <w:lang w:val="en-US" w:eastAsia="zh-CN"/>
                    </w:rPr>
                    <w:t>卡车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Merge w:val="continue"/>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vertAlign w:val="baseline"/>
                      <w:lang w:val="en-US" w:eastAsia="zh-CN"/>
                    </w:rPr>
                  </w:pPr>
                </w:p>
              </w:tc>
              <w:tc>
                <w:tcPr>
                  <w:tcW w:w="1313"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外加剂</w:t>
                  </w:r>
                </w:p>
              </w:tc>
              <w:tc>
                <w:tcPr>
                  <w:tcW w:w="1135"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vertAlign w:val="baseline"/>
                      <w:lang w:val="en-US" w:eastAsia="zh-CN"/>
                    </w:rPr>
                  </w:pPr>
                  <w:r>
                    <w:rPr>
                      <w:rFonts w:hint="eastAsia"/>
                      <w:vertAlign w:val="baseline"/>
                      <w:lang w:val="en-US" w:eastAsia="zh-CN"/>
                    </w:rPr>
                    <w:t>20万t</w:t>
                  </w:r>
                </w:p>
              </w:tc>
              <w:tc>
                <w:tcPr>
                  <w:tcW w:w="1135"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vertAlign w:val="baseline"/>
                      <w:lang w:val="en-US" w:eastAsia="zh-CN"/>
                    </w:rPr>
                  </w:pPr>
                  <w:r>
                    <w:rPr>
                      <w:rFonts w:hint="eastAsia"/>
                      <w:vertAlign w:val="baseline"/>
                      <w:lang w:val="en-US" w:eastAsia="zh-CN"/>
                    </w:rPr>
                    <w:t>20吨车</w:t>
                  </w:r>
                </w:p>
              </w:tc>
              <w:tc>
                <w:tcPr>
                  <w:tcW w:w="1135"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15</w:t>
                  </w:r>
                </w:p>
              </w:tc>
              <w:tc>
                <w:tcPr>
                  <w:tcW w:w="1324"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vertAlign w:val="baseline"/>
                      <w:lang w:val="en-US" w:eastAsia="zh-CN"/>
                    </w:rPr>
                  </w:pPr>
                  <w:r>
                    <w:rPr>
                      <w:rFonts w:hint="eastAsia"/>
                      <w:vertAlign w:val="baseline"/>
                      <w:lang w:val="en-US" w:eastAsia="zh-CN"/>
                    </w:rPr>
                    <w:t>外来</w:t>
                  </w:r>
                </w:p>
              </w:tc>
              <w:tc>
                <w:tcPr>
                  <w:tcW w:w="946"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vertAlign w:val="baseline"/>
                      <w:lang w:val="en-US" w:eastAsia="zh-CN"/>
                    </w:rPr>
                  </w:pPr>
                  <w:r>
                    <w:rPr>
                      <w:rFonts w:hint="eastAsia"/>
                      <w:vertAlign w:val="baseline"/>
                      <w:lang w:val="en-US" w:eastAsia="zh-CN"/>
                    </w:rPr>
                    <w:t>卡车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产品</w:t>
                  </w:r>
                </w:p>
              </w:tc>
              <w:tc>
                <w:tcPr>
                  <w:tcW w:w="1313"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混凝土</w:t>
                  </w:r>
                </w:p>
              </w:tc>
              <w:tc>
                <w:tcPr>
                  <w:tcW w:w="1135"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vertAlign w:val="baseline"/>
                      <w:lang w:val="en-US" w:eastAsia="zh-CN"/>
                    </w:rPr>
                  </w:pPr>
                  <w:r>
                    <w:rPr>
                      <w:rFonts w:hint="eastAsia"/>
                      <w:vertAlign w:val="baseline"/>
                      <w:lang w:val="en-US" w:eastAsia="zh-CN"/>
                    </w:rPr>
                    <w:t>486万t/a</w:t>
                  </w:r>
                </w:p>
              </w:tc>
              <w:tc>
                <w:tcPr>
                  <w:tcW w:w="1135"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vertAlign w:val="baseline"/>
                      <w:lang w:val="en-US" w:eastAsia="zh-CN"/>
                    </w:rPr>
                  </w:pPr>
                  <w:r>
                    <w:rPr>
                      <w:rFonts w:hint="eastAsia"/>
                      <w:vertAlign w:val="baseline"/>
                      <w:lang w:val="en-US" w:eastAsia="zh-CN"/>
                    </w:rPr>
                    <w:t>50吨车</w:t>
                  </w:r>
                </w:p>
              </w:tc>
              <w:tc>
                <w:tcPr>
                  <w:tcW w:w="1135"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360</w:t>
                  </w:r>
                </w:p>
              </w:tc>
              <w:tc>
                <w:tcPr>
                  <w:tcW w:w="1324"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自有</w:t>
                  </w:r>
                </w:p>
              </w:tc>
              <w:tc>
                <w:tcPr>
                  <w:tcW w:w="946" w:type="dxa"/>
                  <w:vAlign w:val="top"/>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vertAlign w:val="baseline"/>
                      <w:lang w:val="en-US" w:eastAsia="zh-CN"/>
                    </w:rPr>
                  </w:pPr>
                  <w:r>
                    <w:rPr>
                      <w:rFonts w:hint="eastAsia"/>
                      <w:vertAlign w:val="baseline"/>
                      <w:lang w:val="en-US" w:eastAsia="zh-CN"/>
                    </w:rPr>
                    <w:t>罐车</w:t>
                  </w:r>
                </w:p>
              </w:tc>
            </w:tr>
          </w:tbl>
          <w:p>
            <w:pPr>
              <w:bidi w:val="0"/>
              <w:ind w:left="0" w:leftChars="0" w:firstLine="0" w:firstLineChars="0"/>
              <w:rPr>
                <w:rFonts w:hint="default"/>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00" w:hRule="atLeast"/>
          <w:jc w:val="center"/>
        </w:trPr>
        <w:tc>
          <w:tcPr>
            <w:tcW w:w="823" w:type="dxa"/>
            <w:vAlign w:val="center"/>
          </w:tcPr>
          <w:p>
            <w:pPr>
              <w:pStyle w:val="8"/>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工艺流程和产排污环节</w:t>
            </w:r>
          </w:p>
        </w:tc>
        <w:tc>
          <w:tcPr>
            <w:tcW w:w="8161" w:type="dxa"/>
            <w:gridSpan w:val="2"/>
            <w:vAlign w:val="top"/>
          </w:tcPr>
          <w:p>
            <w:pPr>
              <w:adjustRightInd w:val="0"/>
              <w:snapToGrid w:val="0"/>
              <w:rPr>
                <w:rFonts w:hint="eastAsia" w:cs="Times New Roman"/>
                <w:b/>
                <w:bCs w:val="0"/>
                <w:szCs w:val="21"/>
                <w:lang w:val="en-US" w:eastAsia="zh-CN"/>
              </w:rPr>
            </w:pPr>
            <w:r>
              <w:rPr>
                <w:rFonts w:hint="eastAsia" w:cs="Times New Roman"/>
                <w:b/>
                <w:bCs w:val="0"/>
                <w:szCs w:val="21"/>
                <w:lang w:val="en-US" w:eastAsia="zh-CN"/>
              </w:rPr>
              <w:t>一、施工期工艺流程及产排污环节</w:t>
            </w:r>
          </w:p>
          <w:p>
            <w:pPr>
              <w:adjustRightInd w:val="0"/>
              <w:snapToGrid w:val="0"/>
              <w:rPr>
                <w:rFonts w:hint="eastAsia" w:cs="Times New Roman"/>
                <w:b/>
                <w:bCs w:val="0"/>
                <w:szCs w:val="21"/>
                <w:lang w:val="en-US" w:eastAsia="zh-CN"/>
              </w:rPr>
            </w:pPr>
            <w:r>
              <w:rPr>
                <w:rFonts w:hint="eastAsia" w:cs="Times New Roman"/>
                <w:b/>
                <w:bCs w:val="0"/>
                <w:szCs w:val="21"/>
                <w:lang w:val="en-US" w:eastAsia="zh-CN"/>
              </w:rPr>
              <w:t>1、施工期工艺流程</w:t>
            </w:r>
          </w:p>
          <w:p>
            <w:pPr>
              <w:adjustRightInd w:val="0"/>
              <w:snapToGrid w:val="0"/>
            </w:pPr>
            <w:r>
              <w:rPr>
                <w:rFonts w:hint="eastAsia" w:cs="Times New Roman"/>
                <w:bCs/>
                <w:szCs w:val="21"/>
                <w:highlight w:val="none"/>
                <w:lang w:val="en-US" w:eastAsia="zh-CN"/>
              </w:rPr>
              <w:t>本项目施工期间的基础工程、主体工程、设备安装、工程验收等建设工序将产生噪声、扬尘、固体废弃物、少量污水和废气等污染物。施工流程及产污节点见图2-1。</w:t>
            </w:r>
            <w:r>
              <w:drawing>
                <wp:inline distT="0" distB="0" distL="114300" distR="114300">
                  <wp:extent cx="5043805" cy="1604645"/>
                  <wp:effectExtent l="0" t="0" r="4445" b="14605"/>
                  <wp:docPr id="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3"/>
                          <pic:cNvPicPr>
                            <a:picLocks noChangeAspect="1"/>
                          </pic:cNvPicPr>
                        </pic:nvPicPr>
                        <pic:blipFill>
                          <a:blip r:embed="rId14"/>
                          <a:stretch>
                            <a:fillRect/>
                          </a:stretch>
                        </pic:blipFill>
                        <pic:spPr>
                          <a:xfrm>
                            <a:off x="0" y="0"/>
                            <a:ext cx="5043805" cy="1604645"/>
                          </a:xfrm>
                          <a:prstGeom prst="rect">
                            <a:avLst/>
                          </a:prstGeom>
                          <a:noFill/>
                          <a:ln>
                            <a:noFill/>
                          </a:ln>
                        </pic:spPr>
                      </pic:pic>
                    </a:graphicData>
                  </a:graphic>
                </wp:inline>
              </w:drawing>
            </w:r>
          </w:p>
          <w:p>
            <w:pPr>
              <w:bidi w:val="0"/>
              <w:rPr>
                <w:rFonts w:hint="eastAsia"/>
                <w:b/>
                <w:bCs/>
                <w:lang w:val="en-US" w:eastAsia="zh-CN"/>
              </w:rPr>
            </w:pPr>
            <w:r>
              <w:rPr>
                <w:rFonts w:hint="eastAsia"/>
                <w:b/>
                <w:bCs/>
                <w:lang w:val="en-US" w:eastAsia="zh-CN"/>
              </w:rPr>
              <w:t>2、施工期产排污环节</w:t>
            </w:r>
          </w:p>
          <w:p>
            <w:pPr>
              <w:bidi w:val="0"/>
              <w:rPr>
                <w:rFonts w:hint="eastAsia"/>
                <w:lang w:val="en-US" w:eastAsia="zh-CN"/>
              </w:rPr>
            </w:pPr>
            <w:r>
              <w:rPr>
                <w:rFonts w:hint="eastAsia"/>
                <w:lang w:val="en-US" w:eastAsia="zh-CN"/>
              </w:rPr>
              <w:t>（1）废气：地基开挖、建筑物料、弃土堆存等在风力作用下产生的地面扬尘；</w:t>
            </w:r>
          </w:p>
          <w:p>
            <w:pPr>
              <w:bidi w:val="0"/>
              <w:rPr>
                <w:rFonts w:hint="eastAsia"/>
                <w:lang w:val="en-US" w:eastAsia="zh-CN"/>
              </w:rPr>
            </w:pPr>
            <w:r>
              <w:rPr>
                <w:rFonts w:hint="eastAsia"/>
                <w:lang w:val="en-US" w:eastAsia="zh-CN"/>
              </w:rPr>
              <w:t>（2）废水：施工泥浆废水、施工人员生活污水；</w:t>
            </w:r>
          </w:p>
          <w:p>
            <w:pPr>
              <w:bidi w:val="0"/>
              <w:rPr>
                <w:rFonts w:hint="eastAsia"/>
                <w:lang w:val="en-US" w:eastAsia="zh-CN"/>
              </w:rPr>
            </w:pPr>
            <w:r>
              <w:rPr>
                <w:rFonts w:hint="eastAsia"/>
                <w:lang w:val="en-US" w:eastAsia="zh-CN"/>
              </w:rPr>
              <w:t>（3）噪声：建筑施工机械噪声及运输车辆噪声；</w:t>
            </w:r>
          </w:p>
          <w:p>
            <w:pPr>
              <w:bidi w:val="0"/>
              <w:rPr>
                <w:rFonts w:hint="eastAsia"/>
                <w:lang w:val="en-US" w:eastAsia="zh-CN"/>
              </w:rPr>
            </w:pPr>
            <w:r>
              <w:rPr>
                <w:rFonts w:hint="eastAsia"/>
                <w:lang w:val="en-US" w:eastAsia="zh-CN"/>
              </w:rPr>
              <w:t>（4）固体废物：主要为建筑垃圾及施工人员产生的生活垃圾；</w:t>
            </w:r>
          </w:p>
          <w:p>
            <w:pPr>
              <w:bidi w:val="0"/>
              <w:rPr>
                <w:rFonts w:hint="eastAsia"/>
                <w:lang w:val="en-US" w:eastAsia="zh-CN"/>
              </w:rPr>
            </w:pPr>
            <w:r>
              <w:rPr>
                <w:rFonts w:hint="eastAsia"/>
                <w:lang w:val="en-US" w:eastAsia="zh-CN"/>
              </w:rPr>
              <w:t>（5）生态：地基开挖产生的弃土和建筑垃圾对自然景观和植被的破坏。</w:t>
            </w:r>
          </w:p>
          <w:p>
            <w:pPr>
              <w:bidi w:val="0"/>
              <w:rPr>
                <w:rFonts w:hint="eastAsia"/>
                <w:b/>
                <w:bCs/>
                <w:lang w:val="en-US" w:eastAsia="zh-CN"/>
              </w:rPr>
            </w:pPr>
            <w:r>
              <w:rPr>
                <w:rFonts w:hint="eastAsia"/>
                <w:b/>
                <w:bCs/>
                <w:lang w:val="en-US" w:eastAsia="zh-CN"/>
              </w:rPr>
              <w:t>二、运营期工艺流程和产排污环节</w:t>
            </w:r>
          </w:p>
          <w:p>
            <w:pPr>
              <w:pStyle w:val="2"/>
              <w:rPr>
                <w:rFonts w:hint="eastAsia"/>
                <w:b/>
                <w:bCs/>
                <w:lang w:val="en-US" w:eastAsia="zh-CN"/>
              </w:rPr>
            </w:pPr>
            <w:r>
              <w:rPr>
                <w:rFonts w:hint="eastAsia"/>
                <w:b/>
                <w:bCs/>
                <w:lang w:val="en-US" w:eastAsia="zh-CN"/>
              </w:rPr>
              <w:t>1、原料卸料</w:t>
            </w:r>
          </w:p>
          <w:p>
            <w:pPr>
              <w:pStyle w:val="2"/>
              <w:rPr>
                <w:rFonts w:hint="eastAsia"/>
                <w:lang w:val="en-US" w:eastAsia="zh-CN"/>
              </w:rPr>
            </w:pPr>
            <w:r>
              <w:rPr>
                <w:rFonts w:hint="eastAsia"/>
                <w:lang w:val="en-US" w:eastAsia="zh-CN"/>
              </w:rPr>
              <w:t>砂子、碎石用带顶盖密闭运输车运输至厂内，运输车驶入原料堆场后运输车辆进行自卸料，卸料</w:t>
            </w:r>
            <w:r>
              <w:rPr>
                <w:rFonts w:hint="eastAsia"/>
                <w:highlight w:val="none"/>
                <w:lang w:val="en-US" w:eastAsia="zh-CN"/>
              </w:rPr>
              <w:t>时喷雾系统开启。</w:t>
            </w:r>
            <w:r>
              <w:rPr>
                <w:rFonts w:hint="eastAsia"/>
                <w:lang w:val="en-US" w:eastAsia="zh-CN"/>
              </w:rPr>
              <w:t>之后通过密闭输送带送至原料堆场各隔仓内，原料堆场设置铲车辅助堆料。卸料会产生砂子卸料、堆存粉尘废气G1、碎石卸料、堆存粉尘G2。</w:t>
            </w:r>
          </w:p>
          <w:p>
            <w:pPr>
              <w:pStyle w:val="2"/>
              <w:rPr>
                <w:rFonts w:hint="eastAsia"/>
                <w:lang w:val="en-US" w:eastAsia="zh-CN"/>
              </w:rPr>
            </w:pPr>
            <w:r>
              <w:rPr>
                <w:rFonts w:hint="eastAsia"/>
                <w:lang w:val="en-US" w:eastAsia="zh-CN"/>
              </w:rPr>
              <w:t>水泥、粉煤灰、矿粉由密闭的罐车运输至厂内，使用软管气力直接输送至搅拌棚内的8个筒仓（4个水泥筒仓、2个粉煤灰筒仓、2个矿粉筒仓）。粉料卸料时运输车驶入卸料车位，确保软管连接妥当后开始气力输送至筒仓。使用压缩气体将粉料卸料至筒仓时，筒仓内的多余气体会从仓顶排出，卸料过程会产生水泥筒仓进输送、储存尘废气G3，粉煤灰筒仓输送、储存粉尘废气G4，矿粉筒仓输送、储存粉尘废气G5。</w:t>
            </w:r>
          </w:p>
          <w:p>
            <w:pPr>
              <w:pStyle w:val="2"/>
              <w:rPr>
                <w:rFonts w:hint="eastAsia"/>
                <w:lang w:val="en-US" w:eastAsia="zh-CN"/>
              </w:rPr>
            </w:pPr>
            <w:r>
              <w:rPr>
                <w:rFonts w:hint="eastAsia"/>
                <w:lang w:val="en-US" w:eastAsia="zh-CN"/>
              </w:rPr>
              <w:t>外加剂为液态聚羟酸类外加剂。采用运输车运至厂内，包装方式为吨桶包装，利用泵将液体移至搅拌棚内的4个10m³储罐内。外加剂为液态，不属于VOCs物料，因此，卸料、暂存过程中不排放粉尘，也不涉及有机废气排放。</w:t>
            </w:r>
          </w:p>
          <w:p>
            <w:pPr>
              <w:pStyle w:val="2"/>
              <w:rPr>
                <w:rFonts w:hint="eastAsia"/>
                <w:b/>
                <w:bCs/>
                <w:lang w:val="en-US" w:eastAsia="zh-CN"/>
              </w:rPr>
            </w:pPr>
            <w:r>
              <w:rPr>
                <w:rFonts w:hint="eastAsia"/>
                <w:b/>
                <w:bCs/>
                <w:lang w:val="en-US" w:eastAsia="zh-CN"/>
              </w:rPr>
              <w:t>（2）混凝土搅拌和出料</w:t>
            </w:r>
          </w:p>
          <w:p>
            <w:pPr>
              <w:pStyle w:val="2"/>
              <w:rPr>
                <w:rFonts w:hint="eastAsia"/>
                <w:lang w:val="en-US" w:eastAsia="zh-CN"/>
              </w:rPr>
            </w:pPr>
            <w:r>
              <w:rPr>
                <w:rFonts w:hint="eastAsia"/>
                <w:lang w:val="en-US" w:eastAsia="zh-CN"/>
              </w:rPr>
              <w:t>计量后的物料密闭送至搅拌机内，在其中充分混合，混合完成后利用仓底出料口后直接形成预混好的混凝土用于外售，产生物料搅拌混合废气G6，装料过程中搅拌机内同步加入水，搅拌过程为密闭搅拌，因此搅拌过程中无粉尘排放。搅拌机搅拌会产生噪声N1。</w:t>
            </w:r>
          </w:p>
          <w:p>
            <w:pPr>
              <w:pStyle w:val="2"/>
              <w:rPr>
                <w:rFonts w:hint="eastAsia"/>
                <w:lang w:val="en-US" w:eastAsia="zh-CN"/>
              </w:rPr>
            </w:pPr>
            <w:r>
              <w:rPr>
                <w:rFonts w:hint="eastAsia"/>
                <w:lang w:val="en-US" w:eastAsia="zh-CN"/>
              </w:rPr>
              <w:t>搅拌完成后，搅拌机打开下方的集料斗，熟料跌落至混凝土罐车罐体内。混凝土出料过程不产生废气和废水。</w:t>
            </w:r>
          </w:p>
          <w:p>
            <w:pPr>
              <w:pStyle w:val="2"/>
              <w:rPr>
                <w:rFonts w:hint="eastAsia"/>
                <w:b/>
                <w:bCs/>
                <w:lang w:val="en-US" w:eastAsia="zh-CN"/>
              </w:rPr>
            </w:pPr>
            <w:r>
              <w:rPr>
                <w:rFonts w:hint="eastAsia"/>
                <w:b/>
                <w:bCs/>
                <w:lang w:val="en-US" w:eastAsia="zh-CN"/>
              </w:rPr>
              <w:t>（4）其他工序</w:t>
            </w:r>
          </w:p>
          <w:p>
            <w:pPr>
              <w:pStyle w:val="2"/>
              <w:rPr>
                <w:rFonts w:hint="eastAsia"/>
                <w:b/>
                <w:bCs/>
                <w:lang w:val="en-US" w:eastAsia="zh-CN"/>
              </w:rPr>
            </w:pPr>
            <w:r>
              <w:rPr>
                <w:rFonts w:hint="eastAsia"/>
                <w:b/>
                <w:bCs/>
                <w:lang w:val="en-US" w:eastAsia="zh-CN"/>
              </w:rPr>
              <w:t>实验室</w:t>
            </w:r>
          </w:p>
          <w:p>
            <w:pPr>
              <w:pStyle w:val="2"/>
              <w:rPr>
                <w:rFonts w:hint="eastAsia" w:ascii="Times New Roman" w:hAnsi="Times New Roman" w:eastAsia="宋体" w:cs="Times New Roman"/>
                <w:lang w:val="en-US" w:eastAsia="zh-CN"/>
              </w:rPr>
            </w:pPr>
            <w:r>
              <w:rPr>
                <w:rFonts w:hint="eastAsia"/>
                <w:lang w:val="en-US" w:eastAsia="zh-CN"/>
              </w:rPr>
              <w:t>本项目在厂区设置实验室，用于原材料和混凝土产品的厂内检测，采用小型实验仪器由人工操作完成，检测内容均为一些物理指标，如</w:t>
            </w:r>
            <w:r>
              <w:rPr>
                <w:rFonts w:hint="eastAsia"/>
                <w:highlight w:val="none"/>
                <w:lang w:val="en-US" w:eastAsia="zh-CN"/>
              </w:rPr>
              <w:t>砂子、碎石颗粒级配</w:t>
            </w:r>
            <w:r>
              <w:rPr>
                <w:rFonts w:hint="eastAsia"/>
                <w:lang w:val="en-US" w:eastAsia="zh-CN"/>
              </w:rPr>
              <w:t>、含水率，外加剂pH值（使用pH计或试纸）、含固量，混凝土产品抗压强度、抗渗性能等。检测过程不使用其他化学品，无实验废水、废气和废液产生，实验操作噪声轻微，检测完产生后部分无法回用的混</w:t>
            </w:r>
            <w:r>
              <w:rPr>
                <w:rFonts w:hint="eastAsia" w:ascii="Times New Roman" w:hAnsi="Times New Roman" w:eastAsia="宋体" w:cs="Times New Roman"/>
                <w:lang w:val="en-US" w:eastAsia="zh-CN"/>
              </w:rPr>
              <w:t>凝土样品作为</w:t>
            </w:r>
            <w:r>
              <w:rPr>
                <w:rFonts w:hint="eastAsia" w:cs="Times New Roman"/>
                <w:lang w:val="en-US" w:eastAsia="zh-CN"/>
              </w:rPr>
              <w:t>混凝土废渣S1</w:t>
            </w:r>
            <w:r>
              <w:rPr>
                <w:rFonts w:hint="eastAsia" w:ascii="Times New Roman" w:hAnsi="Times New Roman" w:eastAsia="宋体" w:cs="Times New Roman"/>
                <w:lang w:val="en-US" w:eastAsia="zh-CN"/>
              </w:rPr>
              <w:t>处理</w:t>
            </w:r>
            <w:r>
              <w:rPr>
                <w:rFonts w:hint="eastAsia" w:cs="Times New Roman"/>
                <w:lang w:val="en-US" w:eastAsia="zh-CN"/>
              </w:rPr>
              <w:t>，</w:t>
            </w:r>
            <w:r>
              <w:rPr>
                <w:rFonts w:hint="eastAsia"/>
                <w:szCs w:val="21"/>
                <w:highlight w:val="none"/>
                <w:lang w:val="en-US" w:eastAsia="zh-CN"/>
              </w:rPr>
              <w:t>拉运过程中也会产生的少量掉落废渣S1作为原料及时重新回用于搅拌机搅拌</w:t>
            </w:r>
            <w:r>
              <w:rPr>
                <w:rFonts w:hint="eastAsia" w:ascii="Times New Roman" w:hAnsi="Times New Roman" w:eastAsia="宋体" w:cs="Times New Roman"/>
                <w:lang w:val="en-US" w:eastAsia="zh-CN"/>
              </w:rPr>
              <w:t>。</w:t>
            </w:r>
          </w:p>
          <w:p>
            <w:pPr>
              <w:pStyle w:val="2"/>
              <w:rPr>
                <w:rFonts w:hint="default"/>
                <w:b/>
                <w:bCs/>
                <w:lang w:val="en-US" w:eastAsia="zh-CN"/>
              </w:rPr>
            </w:pPr>
            <w:r>
              <w:rPr>
                <w:rFonts w:hint="eastAsia"/>
                <w:b/>
                <w:bCs/>
                <w:lang w:val="en-US" w:eastAsia="zh-CN"/>
              </w:rPr>
              <w:t>清洗用水</w:t>
            </w:r>
          </w:p>
          <w:p>
            <w:pPr>
              <w:pStyle w:val="2"/>
              <w:rPr>
                <w:rFonts w:hint="eastAsia"/>
                <w:lang w:val="en-US" w:eastAsia="zh-CN"/>
              </w:rPr>
            </w:pPr>
            <w:r>
              <w:rPr>
                <w:rFonts w:hint="eastAsia"/>
                <w:lang w:val="en-US" w:eastAsia="zh-CN"/>
              </w:rPr>
              <w:t>本项目在搅拌机下设置了洗车机，主要用于冲洗车辆车轮及外表面，洗车产生的洗车废水W1含有的主要污染物为SS、COD，不含有石油类污染物，收集后排放至沉淀系统处理并回用至原料堆场洒水抑尘、</w:t>
            </w:r>
            <w:r>
              <w:rPr>
                <w:rFonts w:hint="default"/>
                <w:lang w:val="en-US" w:eastAsia="zh-CN"/>
              </w:rPr>
              <w:t>混凝土产线</w:t>
            </w:r>
            <w:r>
              <w:rPr>
                <w:rFonts w:hint="eastAsia"/>
                <w:lang w:val="en-US" w:eastAsia="zh-CN"/>
              </w:rPr>
              <w:t>。搅拌机清洗每天生产结束后搅拌机需要清洗，防止残留混凝土凝固，产生搅拌机清洗废水W2，排放至沉淀系统处理并回用至原料堆场洒水抑尘、</w:t>
            </w:r>
            <w:r>
              <w:rPr>
                <w:rFonts w:hint="default"/>
                <w:lang w:val="en-US" w:eastAsia="zh-CN"/>
              </w:rPr>
              <w:t>混凝土产线</w:t>
            </w:r>
            <w:r>
              <w:rPr>
                <w:rFonts w:hint="eastAsia"/>
                <w:lang w:val="en-US" w:eastAsia="zh-CN"/>
              </w:rPr>
              <w:t>。。</w:t>
            </w:r>
          </w:p>
          <w:p>
            <w:pPr>
              <w:pStyle w:val="2"/>
              <w:rPr>
                <w:rFonts w:hint="eastAsia"/>
                <w:b/>
                <w:bCs/>
                <w:lang w:val="en-US" w:eastAsia="zh-CN"/>
              </w:rPr>
            </w:pPr>
            <w:r>
              <w:rPr>
                <w:rFonts w:hint="eastAsia"/>
                <w:b/>
                <w:bCs/>
                <w:lang w:val="en-US" w:eastAsia="zh-CN"/>
              </w:rPr>
              <w:t>办公、生活区域</w:t>
            </w:r>
          </w:p>
          <w:p>
            <w:pPr>
              <w:pStyle w:val="2"/>
              <w:rPr>
                <w:rFonts w:hint="eastAsia"/>
                <w:lang w:val="en-US" w:eastAsia="zh-CN"/>
              </w:rPr>
            </w:pPr>
            <w:r>
              <w:rPr>
                <w:rFonts w:hint="eastAsia"/>
                <w:lang w:val="en-US" w:eastAsia="zh-CN"/>
              </w:rPr>
              <w:t>本项目办公楼和生活区域会产生生活污水W3及生活垃圾S2。</w:t>
            </w:r>
          </w:p>
          <w:p>
            <w:pPr>
              <w:pStyle w:val="2"/>
              <w:rPr>
                <w:rFonts w:hint="eastAsia"/>
                <w:b/>
                <w:bCs/>
                <w:highlight w:val="none"/>
                <w:lang w:val="en-US" w:eastAsia="zh-CN"/>
              </w:rPr>
            </w:pPr>
            <w:r>
              <w:rPr>
                <w:rFonts w:hint="eastAsia"/>
                <w:b/>
                <w:bCs/>
                <w:highlight w:val="none"/>
                <w:lang w:val="en-US" w:eastAsia="zh-CN"/>
              </w:rPr>
              <w:t>废气处理设施</w:t>
            </w:r>
          </w:p>
          <w:p>
            <w:pPr>
              <w:pStyle w:val="2"/>
              <w:rPr>
                <w:rFonts w:hint="eastAsia"/>
                <w:highlight w:val="none"/>
                <w:lang w:val="en-US" w:eastAsia="zh-CN"/>
              </w:rPr>
            </w:pPr>
            <w:r>
              <w:rPr>
                <w:rFonts w:hint="eastAsia"/>
                <w:highlight w:val="none"/>
                <w:lang w:val="en-US" w:eastAsia="zh-CN"/>
              </w:rPr>
              <w:t>厂内的除尘器均为袋式除尘器，会产生收集的除尘灰S3，各个除尘器收集的粉尘直接回用于混凝土生产，不外排。</w:t>
            </w:r>
          </w:p>
          <w:p>
            <w:pPr>
              <w:pStyle w:val="2"/>
              <w:rPr>
                <w:rFonts w:hint="eastAsia"/>
                <w:b/>
                <w:bCs/>
                <w:lang w:val="en-US" w:eastAsia="zh-CN"/>
              </w:rPr>
            </w:pPr>
            <w:r>
              <w:rPr>
                <w:rFonts w:hint="eastAsia"/>
                <w:b/>
                <w:bCs/>
                <w:lang w:val="en-US" w:eastAsia="zh-CN"/>
              </w:rPr>
              <w:t>废水处理设施</w:t>
            </w:r>
          </w:p>
          <w:p>
            <w:pPr>
              <w:bidi w:val="0"/>
              <w:rPr>
                <w:rFonts w:hint="default"/>
                <w:lang w:val="en-US" w:eastAsia="zh-CN"/>
              </w:rPr>
            </w:pPr>
            <w:r>
              <w:rPr>
                <w:rFonts w:hint="default"/>
                <w:lang w:val="en-US" w:eastAsia="zh-CN"/>
              </w:rPr>
              <w:t>各类生产废水和初期雨水送厂区内沉淀系统处理后，回用于</w:t>
            </w:r>
            <w:r>
              <w:rPr>
                <w:rFonts w:hint="eastAsia"/>
                <w:lang w:val="en-US" w:eastAsia="zh-CN"/>
              </w:rPr>
              <w:t>原料堆场洒水抑尘、</w:t>
            </w:r>
            <w:r>
              <w:rPr>
                <w:rFonts w:hint="default"/>
                <w:lang w:val="en-US" w:eastAsia="zh-CN"/>
              </w:rPr>
              <w:t>混凝土产线，不外排；本项目的二级沉淀系统定期清理，会产生</w:t>
            </w:r>
            <w:r>
              <w:rPr>
                <w:rFonts w:hint="eastAsia"/>
                <w:lang w:val="en-US" w:eastAsia="zh-CN"/>
              </w:rPr>
              <w:t>沉淀池底泥</w:t>
            </w:r>
            <w:r>
              <w:rPr>
                <w:rFonts w:hint="default"/>
                <w:lang w:val="en-US" w:eastAsia="zh-CN"/>
              </w:rPr>
              <w:t>S</w:t>
            </w:r>
            <w:r>
              <w:rPr>
                <w:rFonts w:hint="eastAsia"/>
                <w:lang w:val="en-US" w:eastAsia="zh-CN"/>
              </w:rPr>
              <w:t>4</w:t>
            </w:r>
            <w:r>
              <w:rPr>
                <w:rFonts w:hint="default"/>
                <w:lang w:val="en-US" w:eastAsia="zh-CN"/>
              </w:rPr>
              <w:t>。</w:t>
            </w:r>
          </w:p>
          <w:p>
            <w:pPr>
              <w:pStyle w:val="2"/>
              <w:ind w:left="0" w:leftChars="0" w:firstLine="0" w:firstLineChars="0"/>
              <w:jc w:val="center"/>
              <w:rPr>
                <w:rFonts w:hint="eastAsia"/>
                <w:lang w:val="en-US" w:eastAsia="zh-CN"/>
              </w:rPr>
            </w:pPr>
            <w:r>
              <w:rPr>
                <w:rFonts w:hint="eastAsia"/>
                <w:lang w:val="en-US" w:eastAsia="zh-CN"/>
              </w:rPr>
              <w:drawing>
                <wp:inline distT="0" distB="0" distL="114300" distR="114300">
                  <wp:extent cx="4632960" cy="3230245"/>
                  <wp:effectExtent l="0" t="0" r="15240" b="0"/>
                  <wp:docPr id="21" name="ECB019B1-382A-4266-B25C-5B523AA43C14-2" descr="C:/Users/Lenovo/AppData/Local/Temp/wps.mZdcVW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ECB019B1-382A-4266-B25C-5B523AA43C14-2" descr="C:/Users/Lenovo/AppData/Local/Temp/wps.mZdcVWwps"/>
                          <pic:cNvPicPr>
                            <a:picLocks noChangeAspect="1"/>
                          </pic:cNvPicPr>
                        </pic:nvPicPr>
                        <pic:blipFill>
                          <a:blip r:embed="rId15"/>
                          <a:stretch>
                            <a:fillRect/>
                          </a:stretch>
                        </pic:blipFill>
                        <pic:spPr>
                          <a:xfrm>
                            <a:off x="0" y="0"/>
                            <a:ext cx="4632960" cy="3230245"/>
                          </a:xfrm>
                          <a:prstGeom prst="rect">
                            <a:avLst/>
                          </a:prstGeom>
                          <a:noFill/>
                          <a:ln>
                            <a:noFill/>
                          </a:ln>
                        </pic:spPr>
                      </pic:pic>
                    </a:graphicData>
                  </a:graphic>
                </wp:inline>
              </w:drawing>
            </w:r>
          </w:p>
          <w:p>
            <w:pPr>
              <w:pStyle w:val="2"/>
              <w:jc w:val="center"/>
              <w:rPr>
                <w:rFonts w:hint="default"/>
                <w:b/>
                <w:bCs/>
                <w:lang w:val="en-US" w:eastAsia="zh-CN"/>
              </w:rPr>
            </w:pPr>
            <w:r>
              <w:rPr>
                <w:rFonts w:hint="eastAsia"/>
                <w:b/>
                <w:bCs/>
                <w:lang w:val="en-US" w:eastAsia="zh-CN"/>
              </w:rPr>
              <w:t>图2-2运营期生产工艺流程及产排污环节</w:t>
            </w:r>
          </w:p>
          <w:p>
            <w:pPr>
              <w:pStyle w:val="2"/>
              <w:rPr>
                <w:rFonts w:hint="eastAsia"/>
                <w:lang w:val="en-US" w:eastAsia="zh-CN"/>
              </w:rPr>
            </w:pPr>
            <w:r>
              <w:rPr>
                <w:rFonts w:hint="eastAsia"/>
                <w:lang w:val="en-US" w:eastAsia="zh-CN"/>
              </w:rPr>
              <w:t>本项目产污情况见表2-8。</w:t>
            </w:r>
          </w:p>
          <w:p>
            <w:pPr>
              <w:pStyle w:val="2"/>
              <w:ind w:left="0" w:leftChars="0" w:firstLine="0" w:firstLineChars="0"/>
              <w:jc w:val="center"/>
              <w:rPr>
                <w:rFonts w:hint="default"/>
                <w:b/>
                <w:bCs/>
                <w:vertAlign w:val="baseline"/>
                <w:lang w:val="en-US" w:eastAsia="zh-CN"/>
              </w:rPr>
            </w:pPr>
            <w:r>
              <w:rPr>
                <w:rFonts w:hint="eastAsia"/>
                <w:b/>
                <w:bCs/>
                <w:lang w:val="en-US" w:eastAsia="zh-CN"/>
              </w:rPr>
              <w:t>表2-8本项目运营期主要产污工序及污染物产生情况表</w:t>
            </w:r>
          </w:p>
          <w:tbl>
            <w:tblPr>
              <w:tblStyle w:val="10"/>
              <w:tblW w:w="7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592"/>
              <w:gridCol w:w="2339"/>
              <w:gridCol w:w="2657"/>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污染源类型</w:t>
                  </w:r>
                </w:p>
              </w:tc>
              <w:tc>
                <w:tcPr>
                  <w:tcW w:w="59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编号</w:t>
                  </w:r>
                </w:p>
              </w:tc>
              <w:tc>
                <w:tcPr>
                  <w:tcW w:w="233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产污环节</w:t>
                  </w:r>
                </w:p>
              </w:tc>
              <w:tc>
                <w:tcPr>
                  <w:tcW w:w="26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污染物类别</w:t>
                  </w:r>
                </w:p>
              </w:tc>
              <w:tc>
                <w:tcPr>
                  <w:tcW w:w="142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主要污染物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废气</w:t>
                  </w:r>
                </w:p>
              </w:tc>
              <w:tc>
                <w:tcPr>
                  <w:tcW w:w="59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G1</w:t>
                  </w:r>
                </w:p>
              </w:tc>
              <w:tc>
                <w:tcPr>
                  <w:tcW w:w="233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砂子卸料、堆存</w:t>
                  </w:r>
                </w:p>
              </w:tc>
              <w:tc>
                <w:tcPr>
                  <w:tcW w:w="26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砂子卸料、堆存粉尘废气</w:t>
                  </w:r>
                </w:p>
              </w:tc>
              <w:tc>
                <w:tcPr>
                  <w:tcW w:w="142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2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p>
              </w:tc>
              <w:tc>
                <w:tcPr>
                  <w:tcW w:w="59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G2</w:t>
                  </w:r>
                </w:p>
              </w:tc>
              <w:tc>
                <w:tcPr>
                  <w:tcW w:w="233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碎石卸料、堆存</w:t>
                  </w:r>
                </w:p>
              </w:tc>
              <w:tc>
                <w:tcPr>
                  <w:tcW w:w="26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碎石卸料、堆存粉尘废气</w:t>
                  </w:r>
                </w:p>
              </w:tc>
              <w:tc>
                <w:tcPr>
                  <w:tcW w:w="142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p>
              </w:tc>
              <w:tc>
                <w:tcPr>
                  <w:tcW w:w="59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G3</w:t>
                  </w:r>
                </w:p>
              </w:tc>
              <w:tc>
                <w:tcPr>
                  <w:tcW w:w="233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水泥输送、储存</w:t>
                  </w:r>
                </w:p>
              </w:tc>
              <w:tc>
                <w:tcPr>
                  <w:tcW w:w="26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水泥输送、储存粉尘废气</w:t>
                  </w:r>
                </w:p>
              </w:tc>
              <w:tc>
                <w:tcPr>
                  <w:tcW w:w="142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p>
              </w:tc>
              <w:tc>
                <w:tcPr>
                  <w:tcW w:w="59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G4</w:t>
                  </w:r>
                </w:p>
              </w:tc>
              <w:tc>
                <w:tcPr>
                  <w:tcW w:w="233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粉煤灰输送、储存</w:t>
                  </w:r>
                </w:p>
              </w:tc>
              <w:tc>
                <w:tcPr>
                  <w:tcW w:w="26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粉煤灰输送、储存粉尘废气</w:t>
                  </w:r>
                </w:p>
              </w:tc>
              <w:tc>
                <w:tcPr>
                  <w:tcW w:w="142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p>
              </w:tc>
              <w:tc>
                <w:tcPr>
                  <w:tcW w:w="59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G5</w:t>
                  </w:r>
                </w:p>
              </w:tc>
              <w:tc>
                <w:tcPr>
                  <w:tcW w:w="233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矿粉输送、储存</w:t>
                  </w:r>
                </w:p>
              </w:tc>
              <w:tc>
                <w:tcPr>
                  <w:tcW w:w="26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矿粉输送、储存粉尘废气</w:t>
                  </w:r>
                </w:p>
              </w:tc>
              <w:tc>
                <w:tcPr>
                  <w:tcW w:w="142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p>
              </w:tc>
              <w:tc>
                <w:tcPr>
                  <w:tcW w:w="59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G6</w:t>
                  </w:r>
                </w:p>
              </w:tc>
              <w:tc>
                <w:tcPr>
                  <w:tcW w:w="233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物料搅拌混合</w:t>
                  </w:r>
                </w:p>
              </w:tc>
              <w:tc>
                <w:tcPr>
                  <w:tcW w:w="26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物料搅拌混合废气</w:t>
                  </w:r>
                </w:p>
              </w:tc>
              <w:tc>
                <w:tcPr>
                  <w:tcW w:w="142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废水</w:t>
                  </w:r>
                </w:p>
              </w:tc>
              <w:tc>
                <w:tcPr>
                  <w:tcW w:w="59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W1</w:t>
                  </w:r>
                </w:p>
              </w:tc>
              <w:tc>
                <w:tcPr>
                  <w:tcW w:w="233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车辆冲洗</w:t>
                  </w:r>
                </w:p>
              </w:tc>
              <w:tc>
                <w:tcPr>
                  <w:tcW w:w="26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洗车废水</w:t>
                  </w:r>
                </w:p>
              </w:tc>
              <w:tc>
                <w:tcPr>
                  <w:tcW w:w="142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COD、SS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p>
              </w:tc>
              <w:tc>
                <w:tcPr>
                  <w:tcW w:w="59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W2</w:t>
                  </w:r>
                </w:p>
              </w:tc>
              <w:tc>
                <w:tcPr>
                  <w:tcW w:w="233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搅拌机冲洗</w:t>
                  </w:r>
                </w:p>
              </w:tc>
              <w:tc>
                <w:tcPr>
                  <w:tcW w:w="26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搅拌机清洗废水</w:t>
                  </w:r>
                </w:p>
              </w:tc>
              <w:tc>
                <w:tcPr>
                  <w:tcW w:w="142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COD、SS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92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p>
              </w:tc>
              <w:tc>
                <w:tcPr>
                  <w:tcW w:w="59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W3</w:t>
                  </w:r>
                </w:p>
              </w:tc>
              <w:tc>
                <w:tcPr>
                  <w:tcW w:w="233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职工生活</w:t>
                  </w:r>
                </w:p>
              </w:tc>
              <w:tc>
                <w:tcPr>
                  <w:tcW w:w="26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生活污水</w:t>
                  </w:r>
                </w:p>
              </w:tc>
              <w:tc>
                <w:tcPr>
                  <w:tcW w:w="142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COD、SS、BOD</w:t>
                  </w:r>
                  <w:r>
                    <w:rPr>
                      <w:rFonts w:hint="default"/>
                      <w:vertAlign w:val="subscript"/>
                      <w:lang w:val="en-US" w:eastAsia="zh-CN"/>
                    </w:rPr>
                    <w:t>5</w:t>
                  </w:r>
                  <w:r>
                    <w:rPr>
                      <w:rFonts w:hint="default"/>
                      <w:lang w:val="en-US" w:eastAsia="zh-CN"/>
                    </w:rPr>
                    <w:t>、氨氮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固废</w:t>
                  </w:r>
                </w:p>
              </w:tc>
              <w:tc>
                <w:tcPr>
                  <w:tcW w:w="59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S1</w:t>
                  </w:r>
                </w:p>
              </w:tc>
              <w:tc>
                <w:tcPr>
                  <w:tcW w:w="233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实验室、运输车辆拉运</w:t>
                  </w:r>
                </w:p>
              </w:tc>
              <w:tc>
                <w:tcPr>
                  <w:tcW w:w="26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cs="Times New Roman"/>
                      <w:lang w:val="en-US" w:eastAsia="zh-CN"/>
                    </w:rPr>
                    <w:t>混凝土废渣</w:t>
                  </w:r>
                </w:p>
              </w:tc>
              <w:tc>
                <w:tcPr>
                  <w:tcW w:w="142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p>
              </w:tc>
              <w:tc>
                <w:tcPr>
                  <w:tcW w:w="59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S2</w:t>
                  </w:r>
                </w:p>
              </w:tc>
              <w:tc>
                <w:tcPr>
                  <w:tcW w:w="233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职工生活</w:t>
                  </w:r>
                </w:p>
              </w:tc>
              <w:tc>
                <w:tcPr>
                  <w:tcW w:w="26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生活垃圾</w:t>
                  </w:r>
                </w:p>
              </w:tc>
              <w:tc>
                <w:tcPr>
                  <w:tcW w:w="142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塑料、纸张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p>
              </w:tc>
              <w:tc>
                <w:tcPr>
                  <w:tcW w:w="59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S3</w:t>
                  </w:r>
                </w:p>
              </w:tc>
              <w:tc>
                <w:tcPr>
                  <w:tcW w:w="233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废气处理</w:t>
                  </w:r>
                </w:p>
              </w:tc>
              <w:tc>
                <w:tcPr>
                  <w:tcW w:w="26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除尘灰</w:t>
                  </w:r>
                </w:p>
              </w:tc>
              <w:tc>
                <w:tcPr>
                  <w:tcW w:w="142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粉尘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p>
              </w:tc>
              <w:tc>
                <w:tcPr>
                  <w:tcW w:w="59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S4</w:t>
                  </w:r>
                </w:p>
              </w:tc>
              <w:tc>
                <w:tcPr>
                  <w:tcW w:w="233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废水处理</w:t>
                  </w:r>
                </w:p>
              </w:tc>
              <w:tc>
                <w:tcPr>
                  <w:tcW w:w="26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沉淀池底泥</w:t>
                  </w:r>
                </w:p>
              </w:tc>
              <w:tc>
                <w:tcPr>
                  <w:tcW w:w="142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泥沙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噪声</w:t>
                  </w:r>
                </w:p>
              </w:tc>
              <w:tc>
                <w:tcPr>
                  <w:tcW w:w="59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N1</w:t>
                  </w:r>
                </w:p>
              </w:tc>
              <w:tc>
                <w:tcPr>
                  <w:tcW w:w="233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混凝土搅拌</w:t>
                  </w:r>
                </w:p>
              </w:tc>
              <w:tc>
                <w:tcPr>
                  <w:tcW w:w="26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搅拌过程中产生的噪声</w:t>
                  </w:r>
                </w:p>
              </w:tc>
              <w:tc>
                <w:tcPr>
                  <w:tcW w:w="142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Leq（A）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p>
              </w:tc>
              <w:tc>
                <w:tcPr>
                  <w:tcW w:w="59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N2</w:t>
                  </w:r>
                </w:p>
              </w:tc>
              <w:tc>
                <w:tcPr>
                  <w:tcW w:w="233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设备运行</w:t>
                  </w:r>
                </w:p>
              </w:tc>
              <w:tc>
                <w:tcPr>
                  <w:tcW w:w="26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各类空压机、风机、泵、传送带运行噪声</w:t>
                  </w:r>
                </w:p>
              </w:tc>
              <w:tc>
                <w:tcPr>
                  <w:tcW w:w="142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Leq（A）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p>
              </w:tc>
              <w:tc>
                <w:tcPr>
                  <w:tcW w:w="59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N3</w:t>
                  </w:r>
                </w:p>
              </w:tc>
              <w:tc>
                <w:tcPr>
                  <w:tcW w:w="233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原料、产品车辆</w:t>
                  </w:r>
                </w:p>
              </w:tc>
              <w:tc>
                <w:tcPr>
                  <w:tcW w:w="265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运输车辆产生的噪声</w:t>
                  </w:r>
                </w:p>
              </w:tc>
              <w:tc>
                <w:tcPr>
                  <w:tcW w:w="142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Leq（A）</w:t>
                  </w:r>
                </w:p>
              </w:tc>
            </w:tr>
          </w:tbl>
          <w:p>
            <w:pPr>
              <w:pStyle w:val="2"/>
              <w:rPr>
                <w:rFonts w:hint="default"/>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663" w:type="dxa"/>
            <w:gridSpan w:val="2"/>
            <w:vAlign w:val="center"/>
          </w:tcPr>
          <w:p>
            <w:pPr>
              <w:pStyle w:val="8"/>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bCs/>
                <w:kern w:val="2"/>
                <w:sz w:val="21"/>
                <w:szCs w:val="21"/>
              </w:rPr>
              <w:t>与项目有关的原有环境污染问题</w:t>
            </w:r>
          </w:p>
        </w:tc>
        <w:tc>
          <w:tcPr>
            <w:tcW w:w="6321" w:type="dxa"/>
            <w:vAlign w:val="center"/>
          </w:tcPr>
          <w:p>
            <w:pPr>
              <w:adjustRightInd w:val="0"/>
              <w:snapToGrid w:val="0"/>
              <w:jc w:val="center"/>
              <w:rPr>
                <w:rFonts w:hint="eastAsia" w:ascii="Times New Roman" w:hAnsi="Times New Roman" w:eastAsia="宋体" w:cs="Times New Roman"/>
                <w:bCs/>
                <w:szCs w:val="21"/>
                <w:lang w:val="en-US" w:eastAsia="zh-CN"/>
              </w:rPr>
            </w:pPr>
            <w:r>
              <w:rPr>
                <w:rFonts w:hint="eastAsia" w:cs="Times New Roman"/>
                <w:bCs/>
                <w:szCs w:val="21"/>
                <w:lang w:val="en-US" w:eastAsia="zh-CN"/>
              </w:rPr>
              <w:t>无</w:t>
            </w:r>
          </w:p>
        </w:tc>
      </w:tr>
    </w:tbl>
    <w:p>
      <w:pPr>
        <w:pStyle w:val="8"/>
        <w:jc w:val="center"/>
        <w:rPr>
          <w:rFonts w:hint="default" w:ascii="Times New Roman" w:hAnsi="Times New Roman" w:eastAsia="黑体" w:cs="Times New Roman"/>
          <w:snapToGrid w:val="0"/>
          <w:sz w:val="36"/>
          <w:szCs w:val="36"/>
        </w:rPr>
        <w:sectPr>
          <w:footerReference r:id="rId7" w:type="default"/>
          <w:pgSz w:w="11906" w:h="16838"/>
          <w:pgMar w:top="1440" w:right="1800" w:bottom="1440" w:left="1800" w:header="851" w:footer="851" w:gutter="0"/>
          <w:pgNumType w:fmt="numberInDash"/>
          <w:cols w:space="720" w:num="1"/>
          <w:docGrid w:linePitch="312" w:charSpace="0"/>
        </w:sectPr>
      </w:pPr>
    </w:p>
    <w:p>
      <w:pPr>
        <w:pStyle w:val="8"/>
        <w:jc w:val="center"/>
        <w:outlineLvl w:val="0"/>
        <w:rPr>
          <w:rFonts w:hint="default" w:ascii="Times New Roman" w:hAnsi="Times New Roman" w:eastAsia="黑体" w:cs="Times New Roman"/>
          <w:snapToGrid w:val="0"/>
          <w:sz w:val="30"/>
          <w:szCs w:val="30"/>
        </w:rPr>
      </w:pPr>
      <w:r>
        <w:rPr>
          <w:rFonts w:hint="default" w:ascii="Times New Roman" w:hAnsi="Times New Roman" w:eastAsia="黑体" w:cs="Times New Roman"/>
          <w:snapToGrid w:val="0"/>
          <w:sz w:val="30"/>
          <w:szCs w:val="30"/>
        </w:rPr>
        <w:t>三、区域环境质量现状、环境保护目标及评价标准</w:t>
      </w:r>
    </w:p>
    <w:tbl>
      <w:tblPr>
        <w:tblStyle w:val="9"/>
        <w:tblW w:w="899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759"/>
        <w:gridCol w:w="74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00" w:type="dxa"/>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区域</w:t>
            </w:r>
          </w:p>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环境</w:t>
            </w:r>
          </w:p>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质量</w:t>
            </w:r>
          </w:p>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现状</w:t>
            </w:r>
          </w:p>
        </w:tc>
        <w:tc>
          <w:tcPr>
            <w:tcW w:w="8190" w:type="dxa"/>
            <w:gridSpan w:val="2"/>
            <w:vAlign w:val="center"/>
          </w:tcPr>
          <w:p>
            <w:pPr>
              <w:adjustRightInd w:val="0"/>
              <w:snapToGrid w:val="0"/>
              <w:jc w:val="left"/>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1、环境空气质量现状</w:t>
            </w:r>
          </w:p>
          <w:p>
            <w:pPr>
              <w:adjustRightInd w:val="0"/>
              <w:snapToGrid w:val="0"/>
              <w:jc w:val="left"/>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eastAsia="zh-CN"/>
              </w:rPr>
              <w:t>（</w:t>
            </w:r>
            <w:r>
              <w:rPr>
                <w:rFonts w:hint="default" w:ascii="Times New Roman" w:hAnsi="Times New Roman" w:cs="Times New Roman"/>
                <w:color w:val="auto"/>
                <w:kern w:val="0"/>
                <w:szCs w:val="21"/>
                <w:lang w:val="en-US" w:eastAsia="zh-CN"/>
              </w:rPr>
              <w:t>1</w:t>
            </w:r>
            <w:r>
              <w:rPr>
                <w:rFonts w:hint="default" w:ascii="Times New Roman" w:hAnsi="Times New Roman" w:cs="Times New Roman"/>
                <w:color w:val="auto"/>
                <w:kern w:val="0"/>
                <w:szCs w:val="21"/>
                <w:lang w:eastAsia="zh-CN"/>
              </w:rPr>
              <w:t>）</w:t>
            </w:r>
            <w:r>
              <w:rPr>
                <w:rFonts w:hint="default" w:ascii="Times New Roman" w:hAnsi="Times New Roman" w:cs="Times New Roman"/>
                <w:color w:val="auto"/>
                <w:kern w:val="0"/>
                <w:szCs w:val="21"/>
                <w:lang w:val="en-US" w:eastAsia="zh-CN"/>
              </w:rPr>
              <w:t>区域环境质量达标分析</w:t>
            </w:r>
          </w:p>
          <w:p>
            <w:pPr>
              <w:adjustRightInd w:val="0"/>
              <w:snapToGrid w:val="0"/>
              <w:jc w:val="left"/>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rPr>
              <w:t>项目所在区域达标判定，优先采用国家或地方生态环境主管部门公开发布的评价基准年环境质量公告或环境质量报告中的数据或结论。其中评价基准年为近3年中数据相对完整的1个日历年作为评价基准年。本次区域环境质量现状采用内蒙古自治区生态环境厅发布的202</w:t>
            </w:r>
            <w:r>
              <w:rPr>
                <w:rFonts w:hint="eastAsia" w:ascii="Times New Roman" w:hAnsi="Times New Roman" w:cs="Times New Roman"/>
                <w:color w:val="auto"/>
                <w:kern w:val="0"/>
                <w:szCs w:val="21"/>
                <w:lang w:val="en-US" w:eastAsia="zh-CN"/>
              </w:rPr>
              <w:t>2</w:t>
            </w:r>
            <w:r>
              <w:rPr>
                <w:rFonts w:hint="default" w:ascii="Times New Roman" w:hAnsi="Times New Roman" w:cs="Times New Roman"/>
                <w:color w:val="auto"/>
                <w:kern w:val="0"/>
                <w:szCs w:val="21"/>
              </w:rPr>
              <w:t>年《内蒙古自治区生态环境状况公报》公报数据。鄂尔多斯市区域基本污染物监测统计结果见表</w:t>
            </w:r>
            <w:r>
              <w:rPr>
                <w:rFonts w:hint="default" w:ascii="Times New Roman" w:hAnsi="Times New Roman" w:cs="Times New Roman"/>
                <w:color w:val="auto"/>
                <w:kern w:val="0"/>
                <w:szCs w:val="21"/>
                <w:lang w:val="en-US" w:eastAsia="zh-CN"/>
              </w:rPr>
              <w:t>3-1</w:t>
            </w:r>
            <w:r>
              <w:rPr>
                <w:rFonts w:hint="default" w:ascii="Times New Roman" w:hAnsi="Times New Roman" w:cs="Times New Roman"/>
                <w:color w:val="auto"/>
                <w:kern w:val="0"/>
                <w:szCs w:val="21"/>
              </w:rPr>
              <w:t>。</w:t>
            </w:r>
          </w:p>
          <w:p>
            <w:pPr>
              <w:adjustRightInd w:val="0"/>
              <w:snapToGrid w:val="0"/>
              <w:ind w:left="0" w:leftChars="0" w:firstLine="0" w:firstLineChars="0"/>
              <w:jc w:val="center"/>
              <w:rPr>
                <w:rFonts w:hint="default" w:ascii="Times New Roman" w:hAnsi="Times New Roman" w:cs="Times New Roman"/>
                <w:b/>
                <w:bCs/>
                <w:color w:val="auto"/>
                <w:kern w:val="0"/>
                <w:szCs w:val="21"/>
                <w:lang w:val="en-US" w:eastAsia="zh-CN"/>
              </w:rPr>
            </w:pPr>
            <w:r>
              <w:rPr>
                <w:rFonts w:hint="default" w:ascii="Times New Roman" w:hAnsi="Times New Roman" w:cs="Times New Roman"/>
                <w:b/>
                <w:bCs/>
                <w:color w:val="auto"/>
                <w:kern w:val="0"/>
                <w:szCs w:val="21"/>
                <w:lang w:val="en-US" w:eastAsia="zh-CN"/>
              </w:rPr>
              <w:t>表3-1区域大气环境质量现状评价表</w:t>
            </w:r>
          </w:p>
          <w:tbl>
            <w:tblPr>
              <w:tblStyle w:val="10"/>
              <w:tblW w:w="78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917"/>
              <w:gridCol w:w="1236"/>
              <w:gridCol w:w="1316"/>
              <w:gridCol w:w="1316"/>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污染物</w:t>
                  </w:r>
                </w:p>
              </w:tc>
              <w:tc>
                <w:tcPr>
                  <w:tcW w:w="19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年评价指标</w:t>
                  </w:r>
                </w:p>
              </w:tc>
              <w:tc>
                <w:tcPr>
                  <w:tcW w:w="123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现状浓度（μg/m³）</w:t>
                  </w:r>
                </w:p>
              </w:tc>
              <w:tc>
                <w:tcPr>
                  <w:tcW w:w="13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标准值</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（μg/m³）</w:t>
                  </w:r>
                </w:p>
              </w:tc>
              <w:tc>
                <w:tcPr>
                  <w:tcW w:w="13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占标率（%）</w:t>
                  </w:r>
                </w:p>
              </w:tc>
              <w:tc>
                <w:tcPr>
                  <w:tcW w:w="13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val="en-US" w:eastAsia="zh-CN"/>
                    </w:rPr>
                    <w:t>SO</w:t>
                  </w:r>
                  <w:r>
                    <w:rPr>
                      <w:rFonts w:hint="default" w:ascii="Times New Roman" w:hAnsi="Times New Roman" w:cs="Times New Roman"/>
                      <w:color w:val="auto"/>
                      <w:kern w:val="0"/>
                      <w:szCs w:val="21"/>
                      <w:vertAlign w:val="subscript"/>
                      <w:lang w:val="en-US" w:eastAsia="zh-CN"/>
                    </w:rPr>
                    <w:t>2</w:t>
                  </w:r>
                </w:p>
              </w:tc>
              <w:tc>
                <w:tcPr>
                  <w:tcW w:w="19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val="en-US" w:eastAsia="zh-CN"/>
                    </w:rPr>
                    <w:t>年平均质量浓度</w:t>
                  </w:r>
                </w:p>
              </w:tc>
              <w:tc>
                <w:tcPr>
                  <w:tcW w:w="123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10</w:t>
                  </w:r>
                </w:p>
              </w:tc>
              <w:tc>
                <w:tcPr>
                  <w:tcW w:w="13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60</w:t>
                  </w:r>
                </w:p>
              </w:tc>
              <w:tc>
                <w:tcPr>
                  <w:tcW w:w="13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16.7</w:t>
                  </w:r>
                </w:p>
              </w:tc>
              <w:tc>
                <w:tcPr>
                  <w:tcW w:w="13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val="en-US" w:eastAsia="zh-CN"/>
                    </w:rPr>
                    <w:t>NO</w:t>
                  </w:r>
                  <w:r>
                    <w:rPr>
                      <w:rFonts w:hint="default" w:ascii="Times New Roman" w:hAnsi="Times New Roman" w:cs="Times New Roman"/>
                      <w:color w:val="auto"/>
                      <w:kern w:val="0"/>
                      <w:szCs w:val="21"/>
                      <w:vertAlign w:val="subscript"/>
                      <w:lang w:val="en-US" w:eastAsia="zh-CN"/>
                    </w:rPr>
                    <w:t>2</w:t>
                  </w:r>
                </w:p>
              </w:tc>
              <w:tc>
                <w:tcPr>
                  <w:tcW w:w="19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val="en-US" w:eastAsia="zh-CN"/>
                    </w:rPr>
                    <w:t>年平均质量浓度</w:t>
                  </w:r>
                </w:p>
              </w:tc>
              <w:tc>
                <w:tcPr>
                  <w:tcW w:w="123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23</w:t>
                  </w:r>
                </w:p>
              </w:tc>
              <w:tc>
                <w:tcPr>
                  <w:tcW w:w="13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40</w:t>
                  </w:r>
                </w:p>
              </w:tc>
              <w:tc>
                <w:tcPr>
                  <w:tcW w:w="13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57.5</w:t>
                  </w:r>
                </w:p>
              </w:tc>
              <w:tc>
                <w:tcPr>
                  <w:tcW w:w="13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PM</w:t>
                  </w:r>
                  <w:r>
                    <w:rPr>
                      <w:rFonts w:hint="default" w:ascii="Times New Roman" w:hAnsi="Times New Roman" w:cs="Times New Roman"/>
                      <w:color w:val="auto"/>
                      <w:kern w:val="0"/>
                      <w:szCs w:val="21"/>
                      <w:vertAlign w:val="subscript"/>
                      <w:lang w:val="en-US" w:eastAsia="zh-CN"/>
                    </w:rPr>
                    <w:t>10</w:t>
                  </w:r>
                </w:p>
              </w:tc>
              <w:tc>
                <w:tcPr>
                  <w:tcW w:w="19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val="en-US" w:eastAsia="zh-CN"/>
                    </w:rPr>
                    <w:t>年平均质量浓度</w:t>
                  </w:r>
                </w:p>
              </w:tc>
              <w:tc>
                <w:tcPr>
                  <w:tcW w:w="123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51</w:t>
                  </w:r>
                </w:p>
              </w:tc>
              <w:tc>
                <w:tcPr>
                  <w:tcW w:w="13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70</w:t>
                  </w:r>
                </w:p>
              </w:tc>
              <w:tc>
                <w:tcPr>
                  <w:tcW w:w="13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72.9</w:t>
                  </w:r>
                </w:p>
              </w:tc>
              <w:tc>
                <w:tcPr>
                  <w:tcW w:w="13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P</w:t>
                  </w:r>
                  <w:r>
                    <w:rPr>
                      <w:rFonts w:hint="eastAsia" w:cs="Times New Roman"/>
                      <w:color w:val="auto"/>
                      <w:kern w:val="0"/>
                      <w:szCs w:val="21"/>
                      <w:lang w:val="en-US" w:eastAsia="zh-CN"/>
                    </w:rPr>
                    <w:t>M</w:t>
                  </w:r>
                  <w:r>
                    <w:rPr>
                      <w:rFonts w:hint="eastAsia" w:cs="Times New Roman"/>
                      <w:color w:val="auto"/>
                      <w:kern w:val="0"/>
                      <w:szCs w:val="21"/>
                      <w:vertAlign w:val="subscript"/>
                      <w:lang w:val="en-US" w:eastAsia="zh-CN"/>
                    </w:rPr>
                    <w:t>2.5</w:t>
                  </w:r>
                </w:p>
              </w:tc>
              <w:tc>
                <w:tcPr>
                  <w:tcW w:w="19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val="en-US" w:eastAsia="zh-CN"/>
                    </w:rPr>
                    <w:t>年平均质量浓度</w:t>
                  </w:r>
                </w:p>
              </w:tc>
              <w:tc>
                <w:tcPr>
                  <w:tcW w:w="123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20</w:t>
                  </w:r>
                </w:p>
              </w:tc>
              <w:tc>
                <w:tcPr>
                  <w:tcW w:w="13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35</w:t>
                  </w:r>
                </w:p>
              </w:tc>
              <w:tc>
                <w:tcPr>
                  <w:tcW w:w="13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57.1</w:t>
                  </w:r>
                </w:p>
              </w:tc>
              <w:tc>
                <w:tcPr>
                  <w:tcW w:w="13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CO</w:t>
                  </w:r>
                </w:p>
              </w:tc>
              <w:tc>
                <w:tcPr>
                  <w:tcW w:w="19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日最大8小时滑动平均值第95百分位数浓度</w:t>
                  </w:r>
                </w:p>
              </w:tc>
              <w:tc>
                <w:tcPr>
                  <w:tcW w:w="123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0.9mg/m³</w:t>
                  </w:r>
                </w:p>
              </w:tc>
              <w:tc>
                <w:tcPr>
                  <w:tcW w:w="13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4mg/m³</w:t>
                  </w:r>
                </w:p>
              </w:tc>
              <w:tc>
                <w:tcPr>
                  <w:tcW w:w="13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22.5</w:t>
                  </w:r>
                </w:p>
              </w:tc>
              <w:tc>
                <w:tcPr>
                  <w:tcW w:w="13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O</w:t>
                  </w:r>
                  <w:r>
                    <w:rPr>
                      <w:rFonts w:hint="default" w:ascii="Times New Roman" w:hAnsi="Times New Roman" w:cs="Times New Roman"/>
                      <w:color w:val="auto"/>
                      <w:kern w:val="0"/>
                      <w:szCs w:val="21"/>
                      <w:vertAlign w:val="subscript"/>
                      <w:lang w:val="en-US" w:eastAsia="zh-CN"/>
                    </w:rPr>
                    <w:t>3</w:t>
                  </w:r>
                </w:p>
              </w:tc>
              <w:tc>
                <w:tcPr>
                  <w:tcW w:w="19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24小时平均第90百分位数浓度</w:t>
                  </w:r>
                </w:p>
              </w:tc>
              <w:tc>
                <w:tcPr>
                  <w:tcW w:w="123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148</w:t>
                  </w:r>
                </w:p>
              </w:tc>
              <w:tc>
                <w:tcPr>
                  <w:tcW w:w="13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160</w:t>
                  </w:r>
                </w:p>
              </w:tc>
              <w:tc>
                <w:tcPr>
                  <w:tcW w:w="13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92.5</w:t>
                  </w:r>
                </w:p>
              </w:tc>
              <w:tc>
                <w:tcPr>
                  <w:tcW w:w="13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达标</w:t>
                  </w:r>
                </w:p>
              </w:tc>
            </w:tr>
          </w:tbl>
          <w:p>
            <w:pPr>
              <w:adjustRightInd w:val="0"/>
              <w:snapToGrid w:val="0"/>
              <w:jc w:val="left"/>
              <w:rPr>
                <w:rFonts w:hint="default" w:ascii="Times New Roman" w:hAnsi="Times New Roman" w:cs="Times New Roman"/>
                <w:b/>
                <w:bCs/>
                <w:color w:val="auto"/>
                <w:kern w:val="0"/>
                <w:szCs w:val="21"/>
                <w:highlight w:val="none"/>
                <w:lang w:val="en-US" w:eastAsia="zh-CN"/>
              </w:rPr>
            </w:pPr>
            <w:r>
              <w:rPr>
                <w:rFonts w:hint="default" w:ascii="Times New Roman" w:hAnsi="Times New Roman" w:cs="Times New Roman"/>
                <w:b/>
                <w:bCs/>
                <w:color w:val="auto"/>
                <w:kern w:val="0"/>
                <w:szCs w:val="21"/>
                <w:highlight w:val="none"/>
                <w:lang w:eastAsia="zh-CN"/>
              </w:rPr>
              <w:t>（</w:t>
            </w:r>
            <w:r>
              <w:rPr>
                <w:rFonts w:hint="default" w:ascii="Times New Roman" w:hAnsi="Times New Roman" w:cs="Times New Roman"/>
                <w:b/>
                <w:bCs/>
                <w:color w:val="auto"/>
                <w:kern w:val="0"/>
                <w:szCs w:val="21"/>
                <w:highlight w:val="none"/>
                <w:lang w:val="en-US" w:eastAsia="zh-CN"/>
              </w:rPr>
              <w:t>2</w:t>
            </w:r>
            <w:r>
              <w:rPr>
                <w:rFonts w:hint="default" w:ascii="Times New Roman" w:hAnsi="Times New Roman" w:cs="Times New Roman"/>
                <w:b/>
                <w:bCs/>
                <w:color w:val="auto"/>
                <w:kern w:val="0"/>
                <w:szCs w:val="21"/>
                <w:highlight w:val="none"/>
                <w:lang w:eastAsia="zh-CN"/>
              </w:rPr>
              <w:t>）</w:t>
            </w:r>
            <w:r>
              <w:rPr>
                <w:rFonts w:hint="default" w:ascii="Times New Roman" w:hAnsi="Times New Roman" w:cs="Times New Roman"/>
                <w:b/>
                <w:bCs/>
                <w:color w:val="auto"/>
                <w:kern w:val="0"/>
                <w:szCs w:val="21"/>
                <w:highlight w:val="none"/>
                <w:lang w:val="en-US" w:eastAsia="zh-CN"/>
              </w:rPr>
              <w:t>其他污染物环境质量现状监测</w:t>
            </w:r>
          </w:p>
          <w:p>
            <w:pPr>
              <w:adjustRightInd w:val="0"/>
              <w:snapToGrid w:val="0"/>
              <w:jc w:val="left"/>
              <w:rPr>
                <w:rFonts w:hint="default" w:cs="Times New Roman"/>
                <w:b w:val="0"/>
                <w:bCs w:val="0"/>
                <w:color w:val="auto"/>
                <w:kern w:val="0"/>
                <w:szCs w:val="21"/>
                <w:lang w:val="en-US" w:eastAsia="zh-CN"/>
              </w:rPr>
            </w:pPr>
            <w:r>
              <w:rPr>
                <w:rFonts w:hint="default" w:ascii="Times New Roman" w:hAnsi="Times New Roman" w:cs="Times New Roman"/>
                <w:b w:val="0"/>
                <w:bCs w:val="0"/>
                <w:color w:val="auto"/>
                <w:kern w:val="0"/>
                <w:szCs w:val="21"/>
                <w:lang w:val="en-US" w:eastAsia="zh-CN"/>
              </w:rPr>
              <w:t>根据本项目的特点，确定环境空气质量现状的其它污染物为</w:t>
            </w:r>
            <w:r>
              <w:rPr>
                <w:rFonts w:hint="eastAsia" w:cs="Times New Roman"/>
                <w:b w:val="0"/>
                <w:bCs w:val="0"/>
                <w:color w:val="auto"/>
                <w:kern w:val="0"/>
                <w:szCs w:val="21"/>
                <w:lang w:val="en-US" w:eastAsia="zh-CN"/>
              </w:rPr>
              <w:t>TSP</w:t>
            </w:r>
            <w:r>
              <w:rPr>
                <w:rFonts w:hint="default" w:ascii="Times New Roman" w:hAnsi="Times New Roman" w:cs="Times New Roman"/>
                <w:b w:val="0"/>
                <w:bCs w:val="0"/>
                <w:color w:val="auto"/>
                <w:kern w:val="0"/>
                <w:szCs w:val="21"/>
                <w:lang w:val="en-US" w:eastAsia="zh-CN"/>
              </w:rPr>
              <w:t>。本项目位于鄂尔多斯市伊金霍洛旗，鄂尔多斯市行政范围内无</w:t>
            </w:r>
            <w:r>
              <w:rPr>
                <w:rFonts w:hint="eastAsia" w:cs="Times New Roman"/>
                <w:b w:val="0"/>
                <w:bCs w:val="0"/>
                <w:color w:val="auto"/>
                <w:kern w:val="0"/>
                <w:szCs w:val="21"/>
                <w:lang w:val="en-US" w:eastAsia="zh-CN"/>
              </w:rPr>
              <w:t>TSP</w:t>
            </w:r>
            <w:r>
              <w:rPr>
                <w:rFonts w:hint="default" w:ascii="Times New Roman" w:hAnsi="Times New Roman" w:cs="Times New Roman"/>
                <w:b w:val="0"/>
                <w:bCs w:val="0"/>
                <w:color w:val="auto"/>
                <w:kern w:val="0"/>
                <w:szCs w:val="21"/>
                <w:lang w:val="en-US" w:eastAsia="zh-CN"/>
              </w:rPr>
              <w:t>的环境空气质量监测网数据或公开发布的环境空气质量现状数据，</w:t>
            </w:r>
            <w:r>
              <w:rPr>
                <w:rFonts w:hint="eastAsia" w:cs="Times New Roman"/>
                <w:b w:val="0"/>
                <w:bCs w:val="0"/>
                <w:color w:val="auto"/>
                <w:kern w:val="0"/>
                <w:szCs w:val="21"/>
                <w:lang w:val="en-US" w:eastAsia="zh-CN"/>
              </w:rPr>
              <w:t>本项目委托内蒙古庚泰环保科技有限公司对本项目的特征污染物TSP进行监测，结合厂址所在区域地形特点以及当地气象特征，本次评价共设置1个大气环境质量现状补充监测点，内蒙古庚泰环保科技有限公司于2024年5月13日-2024年5月16日连续3天在项目厂区内对TSP进行采样。</w:t>
            </w:r>
          </w:p>
          <w:p>
            <w:pPr>
              <w:adjustRightInd w:val="0"/>
              <w:snapToGrid w:val="0"/>
              <w:jc w:val="left"/>
              <w:rPr>
                <w:rFonts w:hint="eastAsia" w:cs="Times New Roman"/>
                <w:b w:val="0"/>
                <w:bCs w:val="0"/>
                <w:color w:val="auto"/>
                <w:kern w:val="0"/>
                <w:szCs w:val="21"/>
                <w:lang w:val="en-US" w:eastAsia="zh-CN"/>
              </w:rPr>
            </w:pPr>
            <w:r>
              <w:rPr>
                <w:rFonts w:hint="eastAsia" w:cs="Times New Roman"/>
                <w:b w:val="0"/>
                <w:bCs w:val="0"/>
                <w:color w:val="auto"/>
                <w:kern w:val="0"/>
                <w:szCs w:val="21"/>
                <w:lang w:val="en-US" w:eastAsia="zh-CN"/>
              </w:rPr>
              <w:t>①监测项目及监测点位</w:t>
            </w:r>
          </w:p>
          <w:p>
            <w:pPr>
              <w:adjustRightInd w:val="0"/>
              <w:snapToGrid w:val="0"/>
              <w:jc w:val="left"/>
              <w:rPr>
                <w:rFonts w:hint="eastAsia" w:cs="Times New Roman"/>
                <w:b w:val="0"/>
                <w:bCs w:val="0"/>
                <w:color w:val="auto"/>
                <w:kern w:val="0"/>
                <w:szCs w:val="21"/>
                <w:lang w:val="en-US" w:eastAsia="zh-CN"/>
              </w:rPr>
            </w:pPr>
            <w:r>
              <w:rPr>
                <w:rFonts w:hint="eastAsia" w:cs="Times New Roman"/>
                <w:b w:val="0"/>
                <w:bCs w:val="0"/>
                <w:color w:val="auto"/>
                <w:kern w:val="0"/>
                <w:szCs w:val="21"/>
                <w:lang w:val="en-US" w:eastAsia="zh-CN"/>
              </w:rPr>
              <w:t>本次环评在评价范围内设置1个大气环境质量现状监测点，监测点具体位置见下表。</w:t>
            </w:r>
          </w:p>
          <w:p>
            <w:pPr>
              <w:adjustRightInd w:val="0"/>
              <w:snapToGrid w:val="0"/>
              <w:ind w:left="0" w:leftChars="0" w:firstLine="0" w:firstLineChars="0"/>
              <w:jc w:val="center"/>
              <w:rPr>
                <w:rFonts w:hint="eastAsia" w:cs="Times New Roman"/>
                <w:b/>
                <w:bCs/>
                <w:color w:val="auto"/>
                <w:kern w:val="0"/>
                <w:szCs w:val="21"/>
                <w:lang w:val="en-US" w:eastAsia="zh-CN"/>
              </w:rPr>
            </w:pPr>
            <w:r>
              <w:rPr>
                <w:rFonts w:hint="eastAsia" w:cs="Times New Roman"/>
                <w:b/>
                <w:bCs/>
                <w:color w:val="auto"/>
                <w:kern w:val="0"/>
                <w:szCs w:val="21"/>
                <w:lang w:val="en-US" w:eastAsia="zh-CN"/>
              </w:rPr>
              <w:t>表3-2环境空气质量现状监测点一览表</w:t>
            </w:r>
          </w:p>
          <w:tbl>
            <w:tblPr>
              <w:tblStyle w:val="9"/>
              <w:tblW w:w="7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553"/>
              <w:gridCol w:w="1810"/>
              <w:gridCol w:w="2175"/>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6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编号</w:t>
                  </w:r>
                </w:p>
              </w:tc>
              <w:tc>
                <w:tcPr>
                  <w:tcW w:w="155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监测点位</w:t>
                  </w:r>
                </w:p>
              </w:tc>
              <w:tc>
                <w:tcPr>
                  <w:tcW w:w="181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相对本项目方位</w:t>
                  </w:r>
                </w:p>
              </w:tc>
              <w:tc>
                <w:tcPr>
                  <w:tcW w:w="217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相对本项目距离（m）</w:t>
                  </w:r>
                </w:p>
              </w:tc>
              <w:tc>
                <w:tcPr>
                  <w:tcW w:w="170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6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1</w:t>
                  </w:r>
                </w:p>
              </w:tc>
              <w:tc>
                <w:tcPr>
                  <w:tcW w:w="155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厂址下风向</w:t>
                  </w:r>
                </w:p>
              </w:tc>
              <w:tc>
                <w:tcPr>
                  <w:tcW w:w="181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EN</w:t>
                  </w:r>
                </w:p>
              </w:tc>
              <w:tc>
                <w:tcPr>
                  <w:tcW w:w="217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100米内</w:t>
                  </w:r>
                </w:p>
              </w:tc>
              <w:tc>
                <w:tcPr>
                  <w:tcW w:w="170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TSP</w:t>
                  </w:r>
                </w:p>
              </w:tc>
            </w:tr>
          </w:tbl>
          <w:p>
            <w:pPr>
              <w:adjustRightInd w:val="0"/>
              <w:snapToGrid w:val="0"/>
              <w:jc w:val="left"/>
              <w:rPr>
                <w:rFonts w:hint="eastAsia" w:cs="Times New Roman"/>
                <w:b w:val="0"/>
                <w:bCs w:val="0"/>
                <w:color w:val="auto"/>
                <w:kern w:val="0"/>
                <w:szCs w:val="21"/>
                <w:lang w:val="en-US" w:eastAsia="zh-CN"/>
              </w:rPr>
            </w:pPr>
            <w:r>
              <w:rPr>
                <w:rFonts w:hint="eastAsia" w:cs="Times New Roman"/>
                <w:b w:val="0"/>
                <w:bCs w:val="0"/>
                <w:color w:val="auto"/>
                <w:kern w:val="0"/>
                <w:szCs w:val="21"/>
                <w:lang w:val="en-US" w:eastAsia="zh-CN"/>
              </w:rPr>
              <w:t>②监测方法</w:t>
            </w:r>
          </w:p>
          <w:p>
            <w:pPr>
              <w:adjustRightInd w:val="0"/>
              <w:snapToGrid w:val="0"/>
              <w:jc w:val="left"/>
              <w:rPr>
                <w:rFonts w:hint="eastAsia" w:cs="Times New Roman"/>
                <w:b w:val="0"/>
                <w:bCs w:val="0"/>
                <w:color w:val="auto"/>
                <w:kern w:val="0"/>
                <w:szCs w:val="21"/>
                <w:lang w:val="en-US" w:eastAsia="zh-CN"/>
              </w:rPr>
            </w:pPr>
            <w:r>
              <w:rPr>
                <w:rFonts w:hint="eastAsia" w:cs="Times New Roman"/>
                <w:b w:val="0"/>
                <w:bCs w:val="0"/>
                <w:color w:val="auto"/>
                <w:kern w:val="0"/>
                <w:szCs w:val="21"/>
                <w:lang w:val="en-US" w:eastAsia="zh-CN"/>
              </w:rPr>
              <w:t>环境空气监测方法按《环境空气质量标准》（GB3095-2012）二级标准及其修改单，</w:t>
            </w:r>
          </w:p>
          <w:p>
            <w:pPr>
              <w:adjustRightInd w:val="0"/>
              <w:snapToGrid w:val="0"/>
              <w:jc w:val="left"/>
              <w:rPr>
                <w:rFonts w:hint="eastAsia" w:cs="Times New Roman"/>
                <w:b w:val="0"/>
                <w:bCs w:val="0"/>
                <w:color w:val="auto"/>
                <w:kern w:val="0"/>
                <w:szCs w:val="21"/>
                <w:lang w:val="en-US" w:eastAsia="zh-CN"/>
              </w:rPr>
            </w:pPr>
            <w:r>
              <w:rPr>
                <w:rFonts w:hint="eastAsia" w:cs="Times New Roman"/>
                <w:b w:val="0"/>
                <w:bCs w:val="0"/>
                <w:color w:val="auto"/>
                <w:kern w:val="0"/>
                <w:szCs w:val="21"/>
                <w:lang w:val="en-US" w:eastAsia="zh-CN"/>
              </w:rPr>
              <w:t>和《环境监测技术规范》（大气部分）和国家环保局《空气和废气监测分析方法》的规定执行。</w:t>
            </w:r>
          </w:p>
          <w:p>
            <w:pPr>
              <w:adjustRightInd w:val="0"/>
              <w:snapToGrid w:val="0"/>
              <w:jc w:val="left"/>
              <w:rPr>
                <w:rFonts w:hint="eastAsia" w:cs="Times New Roman"/>
                <w:b w:val="0"/>
                <w:bCs w:val="0"/>
                <w:color w:val="auto"/>
                <w:kern w:val="0"/>
                <w:szCs w:val="21"/>
                <w:lang w:val="en-US" w:eastAsia="zh-CN"/>
              </w:rPr>
            </w:pPr>
            <w:r>
              <w:rPr>
                <w:rFonts w:hint="eastAsia" w:cs="Times New Roman"/>
                <w:b w:val="0"/>
                <w:bCs w:val="0"/>
                <w:color w:val="auto"/>
                <w:kern w:val="0"/>
                <w:szCs w:val="21"/>
                <w:lang w:val="en-US" w:eastAsia="zh-CN"/>
              </w:rPr>
              <w:t>③执行标准</w:t>
            </w:r>
          </w:p>
          <w:p>
            <w:pPr>
              <w:adjustRightInd w:val="0"/>
              <w:snapToGrid w:val="0"/>
              <w:jc w:val="left"/>
              <w:rPr>
                <w:rFonts w:hint="eastAsia" w:cs="Times New Roman"/>
                <w:b w:val="0"/>
                <w:bCs w:val="0"/>
                <w:color w:val="auto"/>
                <w:kern w:val="0"/>
                <w:szCs w:val="21"/>
                <w:lang w:val="en-US" w:eastAsia="zh-CN"/>
              </w:rPr>
            </w:pPr>
            <w:r>
              <w:rPr>
                <w:rFonts w:hint="eastAsia" w:cs="Times New Roman"/>
                <w:b w:val="0"/>
                <w:bCs w:val="0"/>
                <w:color w:val="auto"/>
                <w:kern w:val="0"/>
                <w:szCs w:val="21"/>
                <w:lang w:val="en-US" w:eastAsia="zh-CN"/>
              </w:rPr>
              <w:t>本次评价采用《环境空气质量标准》（GB3095-2012）二级标准及其修改单</w:t>
            </w:r>
            <w:r>
              <w:rPr>
                <w:rFonts w:hint="eastAsia" w:cs="Times New Roman"/>
                <w:b w:val="0"/>
                <w:bCs w:val="0"/>
                <w:color w:val="0000FF"/>
                <w:kern w:val="0"/>
                <w:szCs w:val="21"/>
                <w:lang w:val="en-US" w:eastAsia="zh-CN"/>
              </w:rPr>
              <w:t>。</w:t>
            </w:r>
          </w:p>
          <w:p>
            <w:pPr>
              <w:adjustRightInd w:val="0"/>
              <w:snapToGrid w:val="0"/>
              <w:jc w:val="center"/>
              <w:rPr>
                <w:rFonts w:hint="eastAsia" w:cs="Times New Roman"/>
                <w:b/>
                <w:bCs/>
                <w:color w:val="auto"/>
                <w:kern w:val="0"/>
                <w:szCs w:val="21"/>
                <w:lang w:val="en-US" w:eastAsia="zh-CN"/>
              </w:rPr>
            </w:pPr>
            <w:r>
              <w:rPr>
                <w:rFonts w:hint="eastAsia" w:cs="Times New Roman"/>
                <w:b/>
                <w:bCs/>
                <w:color w:val="auto"/>
                <w:kern w:val="0"/>
                <w:szCs w:val="21"/>
                <w:lang w:val="en-US" w:eastAsia="zh-CN"/>
              </w:rPr>
              <w:t>表3-3环境空气质量标准</w:t>
            </w:r>
          </w:p>
          <w:tbl>
            <w:tblPr>
              <w:tblStyle w:val="9"/>
              <w:tblW w:w="7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2"/>
              <w:gridCol w:w="3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4062"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cs="Times New Roman"/>
                      <w:b w:val="0"/>
                      <w:bCs w:val="0"/>
                      <w:color w:val="auto"/>
                      <w:kern w:val="0"/>
                      <w:szCs w:val="21"/>
                      <w:lang w:val="en-US" w:eastAsia="zh-CN"/>
                    </w:rPr>
                  </w:pPr>
                  <w:r>
                    <w:rPr>
                      <w:rFonts w:hint="eastAsia" w:cs="Times New Roman"/>
                      <w:b w:val="0"/>
                      <w:bCs w:val="0"/>
                      <w:color w:val="auto"/>
                      <w:kern w:val="0"/>
                      <w:szCs w:val="21"/>
                      <w:lang w:val="en-US" w:eastAsia="zh-CN"/>
                    </w:rPr>
                    <w:t>污染因子</w:t>
                  </w:r>
                </w:p>
              </w:tc>
              <w:tc>
                <w:tcPr>
                  <w:tcW w:w="387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cs="Times New Roman"/>
                      <w:b w:val="0"/>
                      <w:bCs w:val="0"/>
                      <w:color w:val="auto"/>
                      <w:kern w:val="0"/>
                      <w:szCs w:val="21"/>
                      <w:lang w:val="en-US" w:eastAsia="zh-CN"/>
                    </w:rPr>
                  </w:pPr>
                  <w:r>
                    <w:rPr>
                      <w:rFonts w:hint="eastAsia" w:cs="Times New Roman"/>
                      <w:b w:val="0"/>
                      <w:bCs w:val="0"/>
                      <w:color w:val="auto"/>
                      <w:kern w:val="0"/>
                      <w:szCs w:val="21"/>
                      <w:lang w:val="en-US" w:eastAsia="zh-CN"/>
                    </w:rPr>
                    <w:t>TSP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4062"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cs="Times New Roman"/>
                      <w:b w:val="0"/>
                      <w:bCs w:val="0"/>
                      <w:color w:val="auto"/>
                      <w:kern w:val="0"/>
                      <w:szCs w:val="21"/>
                      <w:lang w:val="en-US" w:eastAsia="zh-CN"/>
                    </w:rPr>
                  </w:pPr>
                  <w:r>
                    <w:rPr>
                      <w:rFonts w:hint="eastAsia" w:cs="Times New Roman"/>
                      <w:b w:val="0"/>
                      <w:bCs w:val="0"/>
                      <w:color w:val="auto"/>
                      <w:kern w:val="0"/>
                      <w:szCs w:val="21"/>
                      <w:lang w:val="en-US" w:eastAsia="zh-CN"/>
                    </w:rPr>
                    <w:t>日平均浓度限值</w:t>
                  </w:r>
                </w:p>
              </w:tc>
              <w:tc>
                <w:tcPr>
                  <w:tcW w:w="387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cs="Times New Roman"/>
                      <w:b w:val="0"/>
                      <w:bCs w:val="0"/>
                      <w:color w:val="auto"/>
                      <w:kern w:val="0"/>
                      <w:szCs w:val="21"/>
                      <w:lang w:val="en-US" w:eastAsia="zh-CN"/>
                    </w:rPr>
                  </w:pPr>
                  <w:r>
                    <w:rPr>
                      <w:rFonts w:hint="eastAsia" w:cs="Times New Roman"/>
                      <w:b w:val="0"/>
                      <w:bCs w:val="0"/>
                      <w:color w:val="auto"/>
                      <w:kern w:val="0"/>
                      <w:szCs w:val="21"/>
                      <w:lang w:val="en-US" w:eastAsia="zh-CN"/>
                    </w:rPr>
                    <w:t>300μg/m³</w:t>
                  </w:r>
                </w:p>
              </w:tc>
            </w:tr>
          </w:tbl>
          <w:p>
            <w:pPr>
              <w:adjustRightInd w:val="0"/>
              <w:snapToGrid w:val="0"/>
              <w:jc w:val="left"/>
              <w:rPr>
                <w:rFonts w:hint="eastAsia" w:cs="Times New Roman"/>
                <w:b w:val="0"/>
                <w:bCs w:val="0"/>
                <w:color w:val="auto"/>
                <w:kern w:val="0"/>
                <w:szCs w:val="21"/>
                <w:lang w:val="en-US" w:eastAsia="zh-CN"/>
              </w:rPr>
            </w:pPr>
            <w:r>
              <w:rPr>
                <w:rFonts w:hint="eastAsia" w:cs="Times New Roman"/>
                <w:b w:val="0"/>
                <w:bCs w:val="0"/>
                <w:color w:val="auto"/>
                <w:kern w:val="0"/>
                <w:szCs w:val="21"/>
                <w:lang w:val="en-US" w:eastAsia="zh-CN"/>
              </w:rPr>
              <w:t>④监测结果</w:t>
            </w:r>
          </w:p>
          <w:p>
            <w:pPr>
              <w:adjustRightInd w:val="0"/>
              <w:snapToGrid w:val="0"/>
              <w:jc w:val="left"/>
              <w:rPr>
                <w:rFonts w:hint="eastAsia" w:cs="Times New Roman"/>
                <w:b w:val="0"/>
                <w:bCs w:val="0"/>
                <w:color w:val="auto"/>
                <w:kern w:val="0"/>
                <w:szCs w:val="21"/>
                <w:lang w:val="en-US" w:eastAsia="zh-CN"/>
              </w:rPr>
            </w:pPr>
            <w:r>
              <w:rPr>
                <w:rFonts w:hint="eastAsia" w:cs="Times New Roman"/>
                <w:b w:val="0"/>
                <w:bCs w:val="0"/>
                <w:color w:val="auto"/>
                <w:kern w:val="0"/>
                <w:szCs w:val="21"/>
                <w:lang w:val="en-US" w:eastAsia="zh-CN"/>
              </w:rPr>
              <w:t>大气现状监测结果及评价统计见下表。</w:t>
            </w:r>
          </w:p>
          <w:p>
            <w:pPr>
              <w:adjustRightInd w:val="0"/>
              <w:snapToGrid w:val="0"/>
              <w:jc w:val="center"/>
              <w:rPr>
                <w:rFonts w:hint="eastAsia" w:cs="Times New Roman"/>
                <w:b/>
                <w:bCs/>
                <w:color w:val="auto"/>
                <w:kern w:val="0"/>
                <w:szCs w:val="21"/>
                <w:lang w:val="en-US" w:eastAsia="zh-CN"/>
              </w:rPr>
            </w:pPr>
            <w:r>
              <w:rPr>
                <w:rFonts w:hint="eastAsia" w:cs="Times New Roman"/>
                <w:b/>
                <w:bCs/>
                <w:color w:val="auto"/>
                <w:kern w:val="0"/>
                <w:szCs w:val="21"/>
                <w:lang w:val="en-US" w:eastAsia="zh-CN"/>
              </w:rPr>
              <w:t>表3-4其他污染物现状监测结果统计</w:t>
            </w:r>
          </w:p>
          <w:tbl>
            <w:tblPr>
              <w:tblStyle w:val="9"/>
              <w:tblW w:w="7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1408"/>
              <w:gridCol w:w="5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810"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cs="Times New Roman"/>
                      <w:b w:val="0"/>
                      <w:bCs w:val="0"/>
                      <w:color w:val="auto"/>
                      <w:kern w:val="0"/>
                      <w:szCs w:val="21"/>
                      <w:lang w:val="en-US" w:eastAsia="zh-CN"/>
                    </w:rPr>
                  </w:pPr>
                  <w:r>
                    <w:rPr>
                      <w:rFonts w:hint="eastAsia" w:cs="Times New Roman"/>
                      <w:b w:val="0"/>
                      <w:bCs w:val="0"/>
                      <w:color w:val="auto"/>
                      <w:kern w:val="0"/>
                      <w:szCs w:val="21"/>
                      <w:lang w:val="en-US" w:eastAsia="zh-CN"/>
                    </w:rPr>
                    <w:t>采样日期、采样点位名称及编号、检测结果</w:t>
                  </w:r>
                </w:p>
              </w:tc>
              <w:tc>
                <w:tcPr>
                  <w:tcW w:w="507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cs="Times New Roman"/>
                      <w:b w:val="0"/>
                      <w:bCs w:val="0"/>
                      <w:color w:val="auto"/>
                      <w:kern w:val="0"/>
                      <w:szCs w:val="21"/>
                      <w:lang w:val="en-US" w:eastAsia="zh-CN"/>
                    </w:rPr>
                  </w:pPr>
                  <w:r>
                    <w:rPr>
                      <w:rFonts w:hint="eastAsia" w:cs="Times New Roman"/>
                      <w:b w:val="0"/>
                      <w:bCs w:val="0"/>
                      <w:color w:val="auto"/>
                      <w:kern w:val="0"/>
                      <w:szCs w:val="21"/>
                      <w:lang w:val="en-US" w:eastAsia="zh-CN"/>
                    </w:rPr>
                    <w:t>项目区下风向TSP日均值（μg/m³）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exact"/>
                <w:jc w:val="center"/>
              </w:trPr>
              <w:tc>
                <w:tcPr>
                  <w:tcW w:w="140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cs="Times New Roman"/>
                      <w:b w:val="0"/>
                      <w:bCs w:val="0"/>
                      <w:color w:val="auto"/>
                      <w:kern w:val="0"/>
                      <w:szCs w:val="21"/>
                      <w:lang w:val="en-US" w:eastAsia="zh-CN"/>
                    </w:rPr>
                  </w:pPr>
                  <w:r>
                    <w:rPr>
                      <w:rFonts w:hint="eastAsia" w:cs="Times New Roman"/>
                      <w:b w:val="0"/>
                      <w:bCs w:val="0"/>
                      <w:color w:val="auto"/>
                      <w:kern w:val="0"/>
                      <w:szCs w:val="21"/>
                      <w:lang w:val="en-US" w:eastAsia="zh-CN"/>
                    </w:rPr>
                    <w:t>2024.5.13</w:t>
                  </w:r>
                </w:p>
              </w:tc>
              <w:tc>
                <w:tcPr>
                  <w:tcW w:w="1408"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cs="Times New Roman"/>
                      <w:b w:val="0"/>
                      <w:bCs w:val="0"/>
                      <w:color w:val="auto"/>
                      <w:kern w:val="0"/>
                      <w:szCs w:val="21"/>
                      <w:lang w:val="en-US" w:eastAsia="zh-CN"/>
                    </w:rPr>
                  </w:pPr>
                  <w:r>
                    <w:rPr>
                      <w:rFonts w:hint="eastAsia" w:cs="Times New Roman"/>
                      <w:b w:val="0"/>
                      <w:bCs w:val="0"/>
                      <w:color w:val="auto"/>
                      <w:kern w:val="0"/>
                      <w:szCs w:val="21"/>
                      <w:lang w:val="en-US" w:eastAsia="zh-CN"/>
                    </w:rPr>
                    <w:t>厂界下风向</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cs="Times New Roman"/>
                      <w:b w:val="0"/>
                      <w:bCs w:val="0"/>
                      <w:color w:val="auto"/>
                      <w:kern w:val="0"/>
                      <w:szCs w:val="21"/>
                      <w:lang w:val="en-US" w:eastAsia="zh-CN"/>
                    </w:rPr>
                  </w:pPr>
                  <w:r>
                    <w:rPr>
                      <w:rFonts w:hint="eastAsia" w:cs="Times New Roman"/>
                      <w:b w:val="0"/>
                      <w:bCs w:val="0"/>
                      <w:color w:val="auto"/>
                      <w:kern w:val="0"/>
                      <w:szCs w:val="21"/>
                      <w:lang w:val="en-US" w:eastAsia="zh-CN"/>
                    </w:rPr>
                    <w:t>（1#测点）</w:t>
                  </w:r>
                </w:p>
              </w:tc>
              <w:tc>
                <w:tcPr>
                  <w:tcW w:w="507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cs="Times New Roman"/>
                      <w:b w:val="0"/>
                      <w:bCs w:val="0"/>
                      <w:color w:val="auto"/>
                      <w:kern w:val="0"/>
                      <w:szCs w:val="21"/>
                      <w:lang w:val="en-US" w:eastAsia="zh-CN"/>
                    </w:rPr>
                  </w:pPr>
                  <w:r>
                    <w:rPr>
                      <w:rFonts w:hint="eastAsia" w:cs="Times New Roman"/>
                      <w:b w:val="0"/>
                      <w:bCs w:val="0"/>
                      <w:color w:val="auto"/>
                      <w:kern w:val="0"/>
                      <w:szCs w:val="21"/>
                      <w:lang w:val="en-US" w:eastAsia="zh-CN"/>
                    </w:rPr>
                    <w:t>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exact"/>
                <w:jc w:val="center"/>
              </w:trPr>
              <w:tc>
                <w:tcPr>
                  <w:tcW w:w="140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cs="Times New Roman"/>
                      <w:b w:val="0"/>
                      <w:bCs w:val="0"/>
                      <w:color w:val="auto"/>
                      <w:kern w:val="0"/>
                      <w:szCs w:val="21"/>
                      <w:lang w:val="en-US" w:eastAsia="zh-CN"/>
                    </w:rPr>
                  </w:pPr>
                  <w:r>
                    <w:rPr>
                      <w:rFonts w:hint="eastAsia" w:cs="Times New Roman"/>
                      <w:b w:val="0"/>
                      <w:bCs w:val="0"/>
                      <w:color w:val="auto"/>
                      <w:kern w:val="0"/>
                      <w:szCs w:val="21"/>
                      <w:lang w:val="en-US" w:eastAsia="zh-CN"/>
                    </w:rPr>
                    <w:t>2024.5.14</w:t>
                  </w:r>
                </w:p>
              </w:tc>
              <w:tc>
                <w:tcPr>
                  <w:tcW w:w="1408"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cs="Times New Roman"/>
                      <w:b w:val="0"/>
                      <w:bCs w:val="0"/>
                      <w:color w:val="auto"/>
                      <w:kern w:val="0"/>
                      <w:szCs w:val="21"/>
                      <w:lang w:val="en-US" w:eastAsia="zh-CN"/>
                    </w:rPr>
                  </w:pPr>
                </w:p>
              </w:tc>
              <w:tc>
                <w:tcPr>
                  <w:tcW w:w="507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cs="Times New Roman"/>
                      <w:b w:val="0"/>
                      <w:bCs w:val="0"/>
                      <w:color w:val="auto"/>
                      <w:kern w:val="0"/>
                      <w:szCs w:val="21"/>
                      <w:lang w:val="en-US" w:eastAsia="zh-CN"/>
                    </w:rPr>
                  </w:pPr>
                  <w:r>
                    <w:rPr>
                      <w:rFonts w:hint="eastAsia" w:cs="Times New Roman"/>
                      <w:b w:val="0"/>
                      <w:bCs w:val="0"/>
                      <w:color w:val="auto"/>
                      <w:kern w:val="0"/>
                      <w:szCs w:val="21"/>
                      <w:lang w:val="en-US" w:eastAsia="zh-CN"/>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exact"/>
                <w:jc w:val="center"/>
              </w:trPr>
              <w:tc>
                <w:tcPr>
                  <w:tcW w:w="140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cs="Times New Roman"/>
                      <w:b w:val="0"/>
                      <w:bCs w:val="0"/>
                      <w:color w:val="auto"/>
                      <w:kern w:val="0"/>
                      <w:szCs w:val="21"/>
                      <w:lang w:val="en-US" w:eastAsia="zh-CN"/>
                    </w:rPr>
                  </w:pPr>
                  <w:r>
                    <w:rPr>
                      <w:rFonts w:hint="eastAsia" w:cs="Times New Roman"/>
                      <w:b w:val="0"/>
                      <w:bCs w:val="0"/>
                      <w:color w:val="auto"/>
                      <w:kern w:val="0"/>
                      <w:szCs w:val="21"/>
                      <w:lang w:val="en-US" w:eastAsia="zh-CN"/>
                    </w:rPr>
                    <w:t>2024.5.16</w:t>
                  </w:r>
                </w:p>
              </w:tc>
              <w:tc>
                <w:tcPr>
                  <w:tcW w:w="1408"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cs="Times New Roman"/>
                      <w:b w:val="0"/>
                      <w:bCs w:val="0"/>
                      <w:color w:val="auto"/>
                      <w:kern w:val="0"/>
                      <w:szCs w:val="21"/>
                      <w:lang w:val="en-US" w:eastAsia="zh-CN"/>
                    </w:rPr>
                  </w:pPr>
                </w:p>
              </w:tc>
              <w:tc>
                <w:tcPr>
                  <w:tcW w:w="507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cs="Times New Roman"/>
                      <w:b w:val="0"/>
                      <w:bCs w:val="0"/>
                      <w:color w:val="auto"/>
                      <w:kern w:val="0"/>
                      <w:szCs w:val="21"/>
                      <w:lang w:val="en-US" w:eastAsia="zh-CN"/>
                    </w:rPr>
                  </w:pPr>
                  <w:r>
                    <w:rPr>
                      <w:rFonts w:hint="eastAsia" w:cs="Times New Roman"/>
                      <w:b w:val="0"/>
                      <w:bCs w:val="0"/>
                      <w:color w:val="auto"/>
                      <w:kern w:val="0"/>
                      <w:szCs w:val="21"/>
                      <w:lang w:val="en-US" w:eastAsia="zh-CN"/>
                    </w:rPr>
                    <w:t>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2810"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cs="Times New Roman"/>
                      <w:b w:val="0"/>
                      <w:bCs w:val="0"/>
                      <w:color w:val="auto"/>
                      <w:kern w:val="0"/>
                      <w:szCs w:val="21"/>
                      <w:lang w:val="en-US" w:eastAsia="zh-CN"/>
                    </w:rPr>
                  </w:pPr>
                  <w:r>
                    <w:rPr>
                      <w:rFonts w:hint="eastAsia" w:cs="Times New Roman"/>
                      <w:b w:val="0"/>
                      <w:bCs w:val="0"/>
                      <w:color w:val="auto"/>
                      <w:kern w:val="0"/>
                      <w:szCs w:val="21"/>
                      <w:lang w:val="en-US" w:eastAsia="zh-CN"/>
                    </w:rPr>
                    <w:t>标准值（μg/m³）</w:t>
                  </w:r>
                </w:p>
              </w:tc>
              <w:tc>
                <w:tcPr>
                  <w:tcW w:w="507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cs="Times New Roman"/>
                      <w:b w:val="0"/>
                      <w:bCs w:val="0"/>
                      <w:color w:val="auto"/>
                      <w:kern w:val="0"/>
                      <w:szCs w:val="21"/>
                      <w:lang w:val="en-US" w:eastAsia="zh-CN"/>
                    </w:rPr>
                  </w:pPr>
                  <w:r>
                    <w:rPr>
                      <w:rFonts w:hint="eastAsia" w:cs="Times New Roman"/>
                      <w:b w:val="0"/>
                      <w:bCs w:val="0"/>
                      <w:color w:val="auto"/>
                      <w:kern w:val="0"/>
                      <w:szCs w:val="21"/>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40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cs="Times New Roman"/>
                      <w:b w:val="0"/>
                      <w:bCs w:val="0"/>
                      <w:color w:val="auto"/>
                      <w:kern w:val="0"/>
                      <w:szCs w:val="21"/>
                      <w:lang w:val="en-US" w:eastAsia="zh-CN"/>
                    </w:rPr>
                  </w:pPr>
                  <w:r>
                    <w:rPr>
                      <w:rFonts w:hint="eastAsia" w:cs="Times New Roman"/>
                      <w:b w:val="0"/>
                      <w:bCs w:val="0"/>
                      <w:color w:val="auto"/>
                      <w:kern w:val="0"/>
                      <w:szCs w:val="21"/>
                      <w:lang w:val="en-US" w:eastAsia="zh-CN"/>
                    </w:rPr>
                    <w:t>备注</w:t>
                  </w:r>
                </w:p>
              </w:tc>
              <w:tc>
                <w:tcPr>
                  <w:tcW w:w="6486"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cs="Times New Roman"/>
                      <w:b w:val="0"/>
                      <w:bCs w:val="0"/>
                      <w:color w:val="auto"/>
                      <w:kern w:val="0"/>
                      <w:szCs w:val="21"/>
                      <w:lang w:val="en-US" w:eastAsia="zh-CN"/>
                    </w:rPr>
                  </w:pPr>
                  <w:r>
                    <w:rPr>
                      <w:rFonts w:hint="eastAsia" w:cs="Times New Roman"/>
                      <w:b w:val="0"/>
                      <w:bCs w:val="0"/>
                      <w:color w:val="auto"/>
                      <w:kern w:val="0"/>
                      <w:szCs w:val="21"/>
                      <w:lang w:val="en-US" w:eastAsia="zh-CN"/>
                    </w:rPr>
                    <w:t>标准参考：《环境空气质量标准》（GB3095-2012）及修改单中二级标准要求</w:t>
                  </w:r>
                </w:p>
              </w:tc>
            </w:tr>
          </w:tbl>
          <w:p>
            <w:pPr>
              <w:adjustRightInd w:val="0"/>
              <w:snapToGrid w:val="0"/>
              <w:jc w:val="left"/>
              <w:rPr>
                <w:rFonts w:hint="eastAsia" w:cs="Times New Roman"/>
                <w:b w:val="0"/>
                <w:bCs w:val="0"/>
                <w:color w:val="auto"/>
                <w:kern w:val="0"/>
                <w:szCs w:val="21"/>
                <w:lang w:val="en-US" w:eastAsia="zh-CN"/>
              </w:rPr>
            </w:pPr>
            <w:r>
              <w:rPr>
                <w:rFonts w:hint="eastAsia" w:cs="Times New Roman"/>
                <w:b w:val="0"/>
                <w:bCs w:val="0"/>
                <w:color w:val="auto"/>
                <w:kern w:val="0"/>
                <w:szCs w:val="21"/>
                <w:lang w:val="en-US" w:eastAsia="zh-CN"/>
              </w:rPr>
              <w:t>由监测结果可知，监测点浓度满足《环境空气质量标准》）（GB3095-2012）及其年修改单表2环境空气污染物其他项目浓度限值二级要求。</w:t>
            </w:r>
          </w:p>
          <w:p>
            <w:pPr>
              <w:adjustRightInd w:val="0"/>
              <w:snapToGrid w:val="0"/>
              <w:jc w:val="left"/>
              <w:rPr>
                <w:rFonts w:hint="default" w:ascii="Times New Roman" w:hAnsi="Times New Roman" w:cs="Times New Roman"/>
                <w:b/>
                <w:bCs/>
                <w:color w:val="auto"/>
                <w:kern w:val="0"/>
                <w:szCs w:val="21"/>
                <w:lang w:val="en-US" w:eastAsia="zh-CN"/>
              </w:rPr>
            </w:pPr>
            <w:r>
              <w:rPr>
                <w:rFonts w:hint="default" w:ascii="Times New Roman" w:hAnsi="Times New Roman" w:cs="Times New Roman"/>
                <w:b/>
                <w:bCs/>
                <w:color w:val="auto"/>
                <w:kern w:val="0"/>
                <w:szCs w:val="21"/>
                <w:lang w:val="en-US" w:eastAsia="zh-CN"/>
              </w:rPr>
              <w:t>2、声环境质量现状</w:t>
            </w:r>
          </w:p>
          <w:p>
            <w:pPr>
              <w:adjustRightInd w:val="0"/>
              <w:snapToGrid w:val="0"/>
              <w:jc w:val="left"/>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根据《建设项目环境影响报告表编制技术指南（污染影响类）》（试行），厂界外周边50米范围内存在声环境保护目标的建设项目，应监测保护目标声环境质量现状并评价达标情况</w:t>
            </w:r>
            <w:r>
              <w:rPr>
                <w:rFonts w:hint="eastAsia" w:cs="Times New Roman"/>
                <w:color w:val="auto"/>
                <w:kern w:val="0"/>
                <w:szCs w:val="21"/>
                <w:lang w:val="en-US" w:eastAsia="zh-CN"/>
              </w:rPr>
              <w:t>；</w:t>
            </w:r>
            <w:r>
              <w:rPr>
                <w:rFonts w:hint="default" w:ascii="Times New Roman" w:hAnsi="Times New Roman" w:cs="Times New Roman"/>
                <w:color w:val="auto"/>
                <w:kern w:val="0"/>
                <w:szCs w:val="21"/>
                <w:lang w:val="en-US" w:eastAsia="zh-CN"/>
              </w:rPr>
              <w:t>根据现场踏勘本项目厂界范围50米范围内无声环境保护目标，因此本次不对声环境质量现状进行评价。</w:t>
            </w:r>
          </w:p>
          <w:p>
            <w:pPr>
              <w:adjustRightInd w:val="0"/>
              <w:snapToGrid w:val="0"/>
              <w:jc w:val="left"/>
              <w:rPr>
                <w:rFonts w:hint="default" w:ascii="Times New Roman" w:hAnsi="Times New Roman" w:cs="Times New Roman"/>
                <w:b/>
                <w:bCs/>
                <w:color w:val="auto"/>
                <w:kern w:val="0"/>
                <w:szCs w:val="21"/>
                <w:highlight w:val="none"/>
                <w:lang w:val="en-US" w:eastAsia="zh-CN"/>
              </w:rPr>
            </w:pPr>
            <w:r>
              <w:rPr>
                <w:rFonts w:hint="default" w:ascii="Times New Roman" w:hAnsi="Times New Roman" w:cs="Times New Roman"/>
                <w:b/>
                <w:bCs/>
                <w:color w:val="auto"/>
                <w:kern w:val="0"/>
                <w:szCs w:val="21"/>
                <w:highlight w:val="none"/>
                <w:lang w:val="en-US" w:eastAsia="zh-CN"/>
              </w:rPr>
              <w:t>3、地下水和土壤环境质量现状</w:t>
            </w:r>
          </w:p>
          <w:p>
            <w:pPr>
              <w:adjustRightInd w:val="0"/>
              <w:snapToGrid w:val="0"/>
              <w:jc w:val="left"/>
              <w:rPr>
                <w:rFonts w:hint="default" w:ascii="Times New Roman" w:hAnsi="Times New Roman" w:cs="Times New Roman"/>
                <w:kern w:val="0"/>
                <w:szCs w:val="21"/>
              </w:rPr>
            </w:pPr>
            <w:r>
              <w:rPr>
                <w:rFonts w:hint="default" w:ascii="Times New Roman" w:hAnsi="Times New Roman" w:cs="Times New Roman"/>
                <w:color w:val="auto"/>
                <w:kern w:val="0"/>
                <w:szCs w:val="21"/>
                <w:highlight w:val="none"/>
                <w:lang w:val="en-US" w:eastAsia="zh-CN"/>
              </w:rPr>
              <w:t>根据《关于印发&lt;建设项目环境影响报告表&gt;内容、格式及编制技术指南的通知》（环办环评〔2020〕33号），原则上不开展环境质量现状调查。建设项目存在土壤、地下水环境污染途径的，应结合污染源、保护目标分布情况开展现状调查以留作背景值。</w:t>
            </w:r>
            <w:r>
              <w:rPr>
                <w:rFonts w:hint="default" w:ascii="Times New Roman" w:hAnsi="Times New Roman" w:cs="Times New Roman"/>
                <w:color w:val="auto"/>
                <w:kern w:val="0"/>
                <w:szCs w:val="21"/>
                <w:highlight w:val="none"/>
              </w:rPr>
              <w:t>本项目不取用地下水，且无废水排放；据分析，项目工艺、工程不存在地下水、土壤环境污染途径，一般不会对地下水、土壤环境造成不利影响，</w:t>
            </w:r>
            <w:r>
              <w:rPr>
                <w:rFonts w:hint="eastAsia" w:cs="Times New Roman"/>
                <w:color w:val="auto"/>
                <w:kern w:val="0"/>
                <w:szCs w:val="21"/>
                <w:highlight w:val="none"/>
                <w:lang w:val="en-US" w:eastAsia="zh-CN"/>
              </w:rPr>
              <w:t>本项目沉淀池、初期雨水池、化粪池进行一般防渗，防渗技术要求等效黏土防渗层Mb≥1.5m，K≤1×10</w:t>
            </w:r>
            <w:r>
              <w:rPr>
                <w:rFonts w:hint="eastAsia" w:cs="Times New Roman"/>
                <w:color w:val="auto"/>
                <w:kern w:val="0"/>
                <w:szCs w:val="21"/>
                <w:highlight w:val="none"/>
                <w:vertAlign w:val="superscript"/>
                <w:lang w:val="en-US" w:eastAsia="zh-CN"/>
              </w:rPr>
              <w:t>-7</w:t>
            </w:r>
            <w:r>
              <w:rPr>
                <w:rFonts w:hint="eastAsia" w:cs="Times New Roman"/>
                <w:color w:val="auto"/>
                <w:kern w:val="0"/>
                <w:szCs w:val="21"/>
                <w:highlight w:val="none"/>
                <w:lang w:val="en-US" w:eastAsia="zh-CN"/>
              </w:rPr>
              <w:t>cm/s，原料堆场、混凝土搅拌站、办公区、实验室、厂区内路面进行水泥硬化简单防渗。综合考虑，本次评价不开展地下水环境质量现状监测。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20" w:hRule="atLeast"/>
          <w:jc w:val="center"/>
        </w:trPr>
        <w:tc>
          <w:tcPr>
            <w:tcW w:w="800" w:type="dxa"/>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环境</w:t>
            </w:r>
          </w:p>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保护</w:t>
            </w:r>
          </w:p>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目标</w:t>
            </w:r>
          </w:p>
        </w:tc>
        <w:tc>
          <w:tcPr>
            <w:tcW w:w="8190" w:type="dxa"/>
            <w:gridSpan w:val="2"/>
            <w:vAlign w:val="center"/>
          </w:tcPr>
          <w:p>
            <w:pPr>
              <w:adjustRightInd w:val="0"/>
              <w:snapToGrid w:val="0"/>
              <w:jc w:val="both"/>
              <w:rPr>
                <w:rFonts w:hint="default" w:ascii="Times New Roman" w:hAnsi="Times New Roman" w:cs="Times New Roman"/>
                <w:color w:val="auto"/>
                <w:kern w:val="0"/>
                <w:szCs w:val="21"/>
                <w:lang w:eastAsia="zh-CN"/>
              </w:rPr>
            </w:pPr>
            <w:r>
              <w:rPr>
                <w:rFonts w:hint="default" w:ascii="Times New Roman" w:hAnsi="Times New Roman" w:cs="Times New Roman"/>
                <w:color w:val="auto"/>
                <w:kern w:val="0"/>
                <w:szCs w:val="21"/>
              </w:rPr>
              <w:t>根据</w:t>
            </w:r>
            <w:r>
              <w:rPr>
                <w:rFonts w:hint="eastAsia" w:cs="Times New Roman"/>
                <w:color w:val="auto"/>
                <w:kern w:val="0"/>
                <w:szCs w:val="21"/>
                <w:lang w:eastAsia="zh-CN"/>
              </w:rPr>
              <w:t>现场勘查</w:t>
            </w:r>
            <w:r>
              <w:rPr>
                <w:rFonts w:hint="default" w:ascii="Times New Roman" w:hAnsi="Times New Roman" w:cs="Times New Roman"/>
                <w:color w:val="auto"/>
                <w:kern w:val="0"/>
                <w:szCs w:val="21"/>
              </w:rPr>
              <w:t>，本项目所在区域及其附近</w:t>
            </w:r>
            <w:r>
              <w:rPr>
                <w:rFonts w:hint="eastAsia" w:cs="Times New Roman"/>
                <w:color w:val="auto"/>
                <w:kern w:val="0"/>
                <w:szCs w:val="21"/>
                <w:lang w:val="en-US" w:eastAsia="zh-CN"/>
              </w:rPr>
              <w:t>无</w:t>
            </w:r>
            <w:r>
              <w:rPr>
                <w:rFonts w:hint="default" w:ascii="Times New Roman" w:hAnsi="Times New Roman" w:cs="Times New Roman"/>
                <w:color w:val="auto"/>
                <w:kern w:val="0"/>
                <w:szCs w:val="21"/>
              </w:rPr>
              <w:t>自然保护区、水源地、重点文物、珍稀动植物资源等重点保护目标。主要保护目标见表3-</w:t>
            </w:r>
            <w:r>
              <w:rPr>
                <w:rFonts w:hint="eastAsia" w:cs="Times New Roman"/>
                <w:color w:val="auto"/>
                <w:kern w:val="0"/>
                <w:szCs w:val="21"/>
                <w:lang w:val="en-US" w:eastAsia="zh-CN"/>
              </w:rPr>
              <w:t>5</w:t>
            </w:r>
            <w:r>
              <w:rPr>
                <w:rFonts w:hint="default" w:ascii="Times New Roman" w:hAnsi="Times New Roman" w:cs="Times New Roman"/>
                <w:color w:val="auto"/>
                <w:kern w:val="0"/>
                <w:szCs w:val="21"/>
              </w:rPr>
              <w:t>。</w:t>
            </w:r>
          </w:p>
          <w:p>
            <w:pPr>
              <w:adjustRightInd w:val="0"/>
              <w:snapToGrid w:val="0"/>
              <w:ind w:left="0" w:leftChars="0" w:firstLine="0" w:firstLineChars="0"/>
              <w:jc w:val="center"/>
              <w:rPr>
                <w:rFonts w:hint="default" w:ascii="Times New Roman" w:hAnsi="Times New Roman" w:cs="Times New Roman"/>
                <w:b/>
                <w:bCs/>
                <w:color w:val="auto"/>
                <w:kern w:val="0"/>
                <w:szCs w:val="21"/>
              </w:rPr>
            </w:pPr>
            <w:r>
              <w:rPr>
                <w:rFonts w:hint="default" w:ascii="Times New Roman" w:hAnsi="Times New Roman" w:cs="Times New Roman"/>
                <w:b/>
                <w:bCs/>
                <w:color w:val="auto"/>
                <w:kern w:val="0"/>
                <w:szCs w:val="21"/>
              </w:rPr>
              <w:t>表3-</w:t>
            </w:r>
            <w:r>
              <w:rPr>
                <w:rFonts w:hint="eastAsia" w:cs="Times New Roman"/>
                <w:b/>
                <w:bCs/>
                <w:color w:val="auto"/>
                <w:kern w:val="0"/>
                <w:szCs w:val="21"/>
                <w:lang w:val="en-US" w:eastAsia="zh-CN"/>
              </w:rPr>
              <w:t>5</w:t>
            </w:r>
            <w:r>
              <w:rPr>
                <w:rFonts w:hint="default" w:ascii="Times New Roman" w:hAnsi="Times New Roman" w:cs="Times New Roman"/>
                <w:b/>
                <w:bCs/>
                <w:color w:val="auto"/>
                <w:kern w:val="0"/>
                <w:szCs w:val="21"/>
              </w:rPr>
              <w:t>环境保护目标一览表</w:t>
            </w:r>
          </w:p>
          <w:tbl>
            <w:tblPr>
              <w:tblStyle w:val="9"/>
              <w:tblW w:w="7917"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582"/>
              <w:gridCol w:w="662"/>
              <w:gridCol w:w="1213"/>
              <w:gridCol w:w="806"/>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7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环境要素</w:t>
                  </w:r>
                </w:p>
              </w:tc>
              <w:tc>
                <w:tcPr>
                  <w:tcW w:w="158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环境保护对象名称</w:t>
                  </w:r>
                </w:p>
              </w:tc>
              <w:tc>
                <w:tcPr>
                  <w:tcW w:w="6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方位</w:t>
                  </w:r>
                </w:p>
              </w:tc>
              <w:tc>
                <w:tcPr>
                  <w:tcW w:w="12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与本项目距离（m）</w:t>
                  </w:r>
                </w:p>
              </w:tc>
              <w:tc>
                <w:tcPr>
                  <w:tcW w:w="8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规模</w:t>
                  </w:r>
                </w:p>
              </w:tc>
              <w:tc>
                <w:tcPr>
                  <w:tcW w:w="285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环境功能区划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环境空气</w:t>
                  </w:r>
                </w:p>
              </w:tc>
              <w:tc>
                <w:tcPr>
                  <w:tcW w:w="426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项目厂界外500m范围内无环境空气保护目标</w:t>
                  </w:r>
                </w:p>
              </w:tc>
              <w:tc>
                <w:tcPr>
                  <w:tcW w:w="285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《环境空气质量标准》(GB3095-2012</w:t>
                  </w:r>
                  <w:r>
                    <w:rPr>
                      <w:rFonts w:hint="eastAsia" w:cs="Times New Roman"/>
                      <w:color w:val="auto"/>
                      <w:kern w:val="0"/>
                      <w:szCs w:val="21"/>
                      <w:lang w:eastAsia="zh-CN"/>
                    </w:rPr>
                    <w:t>）</w:t>
                  </w:r>
                  <w:r>
                    <w:rPr>
                      <w:rFonts w:hint="eastAsia" w:cs="Times New Roman"/>
                      <w:color w:val="auto"/>
                      <w:kern w:val="0"/>
                      <w:szCs w:val="21"/>
                      <w:lang w:val="en-US" w:eastAsia="zh-CN"/>
                    </w:rPr>
                    <w:t>及其修改单中的二级标准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声环境</w:t>
                  </w:r>
                </w:p>
              </w:tc>
              <w:tc>
                <w:tcPr>
                  <w:tcW w:w="426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项目外50m范围内无声环境保护目标</w:t>
                  </w:r>
                </w:p>
              </w:tc>
              <w:tc>
                <w:tcPr>
                  <w:tcW w:w="285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《声环境质量标准》</w:t>
                  </w:r>
                  <w:r>
                    <w:rPr>
                      <w:rFonts w:hint="eastAsia" w:cs="Times New Roman"/>
                      <w:color w:val="auto"/>
                      <w:kern w:val="0"/>
                      <w:szCs w:val="21"/>
                      <w:lang w:eastAsia="zh-CN"/>
                    </w:rPr>
                    <w:t>（</w:t>
                  </w:r>
                  <w:r>
                    <w:rPr>
                      <w:rFonts w:hint="default" w:ascii="Times New Roman" w:hAnsi="Times New Roman" w:cs="Times New Roman"/>
                      <w:color w:val="auto"/>
                      <w:kern w:val="0"/>
                      <w:szCs w:val="21"/>
                    </w:rPr>
                    <w:t>GB3096-2008</w:t>
                  </w:r>
                  <w:r>
                    <w:rPr>
                      <w:rFonts w:hint="eastAsia" w:cs="Times New Roman"/>
                      <w:color w:val="auto"/>
                      <w:kern w:val="0"/>
                      <w:szCs w:val="21"/>
                      <w:lang w:eastAsia="zh-CN"/>
                    </w:rPr>
                    <w:t>）</w:t>
                  </w:r>
                  <w:r>
                    <w:rPr>
                      <w:rFonts w:hint="eastAsia" w:ascii="Times New Roman" w:hAnsi="Times New Roman" w:eastAsia="宋体" w:cs="Times New Roman"/>
                      <w:color w:val="auto"/>
                      <w:kern w:val="0"/>
                      <w:szCs w:val="21"/>
                      <w:lang w:val="en-US" w:eastAsia="zh-CN"/>
                    </w:rPr>
                    <w:t>2类</w:t>
                  </w:r>
                  <w:r>
                    <w:rPr>
                      <w:rFonts w:hint="default" w:ascii="Times New Roman" w:hAnsi="Times New Roman" w:eastAsia="宋体" w:cs="Times New Roman"/>
                      <w:color w:val="auto"/>
                      <w:kern w:val="0"/>
                      <w:szCs w:val="21"/>
                    </w:rPr>
                    <w:t>标</w:t>
                  </w:r>
                  <w:r>
                    <w:rPr>
                      <w:rFonts w:hint="default" w:ascii="Times New Roman" w:hAnsi="Times New Roman" w:cs="Times New Roman"/>
                      <w:color w:val="auto"/>
                      <w:kern w:val="0"/>
                      <w:szCs w:val="21"/>
                    </w:rPr>
                    <w:t>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79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color w:val="auto"/>
                      <w:kern w:val="0"/>
                      <w:szCs w:val="21"/>
                    </w:rPr>
                  </w:pPr>
                  <w:r>
                    <w:rPr>
                      <w:rFonts w:hint="eastAsia" w:cs="Times New Roman"/>
                      <w:color w:val="auto"/>
                      <w:kern w:val="0"/>
                      <w:szCs w:val="21"/>
                      <w:lang w:val="en-US" w:eastAsia="zh-CN"/>
                    </w:rPr>
                    <w:t>地下水</w:t>
                  </w:r>
                  <w:r>
                    <w:rPr>
                      <w:rFonts w:hint="default" w:ascii="Times New Roman" w:hAnsi="Times New Roman" w:cs="Times New Roman"/>
                      <w:color w:val="auto"/>
                      <w:kern w:val="0"/>
                      <w:szCs w:val="21"/>
                    </w:rPr>
                    <w:t>环境</w:t>
                  </w:r>
                </w:p>
              </w:tc>
              <w:tc>
                <w:tcPr>
                  <w:tcW w:w="426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项目外500m范围内无地下水集中式饮用水水源和热水、矿泉水、温水等特殊地下水资源</w:t>
                  </w:r>
                </w:p>
              </w:tc>
              <w:tc>
                <w:tcPr>
                  <w:tcW w:w="285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《地下水质量标准》（GB/T14848-2017）中Ⅲ类标准</w:t>
                  </w:r>
                </w:p>
              </w:tc>
            </w:tr>
          </w:tbl>
          <w:p>
            <w:pPr>
              <w:adjustRightInd w:val="0"/>
              <w:snapToGrid w:val="0"/>
              <w:jc w:val="center"/>
              <w:rPr>
                <w:rFonts w:hint="default" w:ascii="Times New Roman" w:hAnsi="Times New Roman"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87" w:hRule="atLeast"/>
          <w:jc w:val="center"/>
        </w:trPr>
        <w:tc>
          <w:tcPr>
            <w:tcW w:w="800" w:type="dxa"/>
            <w:tcMar>
              <w:left w:w="28" w:type="dxa"/>
              <w:right w:w="28" w:type="dxa"/>
            </w:tcMar>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污染</w:t>
            </w:r>
          </w:p>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物排</w:t>
            </w:r>
          </w:p>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放控</w:t>
            </w:r>
          </w:p>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制标</w:t>
            </w:r>
          </w:p>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准</w:t>
            </w:r>
          </w:p>
        </w:tc>
        <w:tc>
          <w:tcPr>
            <w:tcW w:w="8190" w:type="dxa"/>
            <w:gridSpan w:val="2"/>
            <w:vAlign w:val="center"/>
          </w:tcPr>
          <w:p>
            <w:pPr>
              <w:adjustRightInd w:val="0"/>
              <w:snapToGrid w:val="0"/>
              <w:jc w:val="both"/>
              <w:rPr>
                <w:rFonts w:hint="eastAsia" w:cs="Times New Roman"/>
                <w:b/>
                <w:bCs/>
                <w:kern w:val="0"/>
                <w:szCs w:val="21"/>
                <w:lang w:val="en-US" w:eastAsia="zh-CN"/>
              </w:rPr>
            </w:pPr>
            <w:r>
              <w:rPr>
                <w:rFonts w:hint="eastAsia" w:cs="Times New Roman"/>
                <w:b/>
                <w:bCs/>
                <w:kern w:val="0"/>
                <w:szCs w:val="21"/>
                <w:lang w:val="en-US" w:eastAsia="zh-CN"/>
              </w:rPr>
              <w:t>1、废气排放标准</w:t>
            </w:r>
          </w:p>
          <w:p>
            <w:pPr>
              <w:adjustRightInd w:val="0"/>
              <w:snapToGrid w:val="0"/>
              <w:jc w:val="both"/>
              <w:rPr>
                <w:rFonts w:hint="eastAsia" w:cs="Times New Roman"/>
                <w:kern w:val="0"/>
                <w:szCs w:val="21"/>
                <w:lang w:val="en-US" w:eastAsia="zh-CN"/>
              </w:rPr>
            </w:pPr>
            <w:r>
              <w:rPr>
                <w:rFonts w:hint="eastAsia" w:cs="Times New Roman"/>
                <w:kern w:val="0"/>
                <w:szCs w:val="21"/>
                <w:lang w:val="en-US" w:eastAsia="zh-CN"/>
              </w:rPr>
              <w:t>施工扬尘排放执行《大气污染物综合排放标准》（GB16297-1996）表2中无组织排放监控浓度限值，具体指标见表3-6；运营期有组织及无组织颗粒物排放分别执行《水泥工业大气污染物排放标准》（GB4915-2013）表1、表3中相关规定。具体指标见表3-7。</w:t>
            </w:r>
          </w:p>
          <w:p>
            <w:pPr>
              <w:adjustRightInd w:val="0"/>
              <w:snapToGrid w:val="0"/>
              <w:ind w:left="0" w:leftChars="0" w:firstLine="0" w:firstLineChars="0"/>
              <w:jc w:val="center"/>
              <w:rPr>
                <w:rFonts w:hint="default" w:cs="Times New Roman"/>
                <w:b/>
                <w:bCs/>
                <w:kern w:val="0"/>
                <w:szCs w:val="21"/>
                <w:vertAlign w:val="baseline"/>
                <w:lang w:val="en-US" w:eastAsia="zh-CN"/>
              </w:rPr>
            </w:pPr>
            <w:r>
              <w:rPr>
                <w:rFonts w:hint="eastAsia" w:cs="Times New Roman"/>
                <w:b/>
                <w:bCs/>
                <w:kern w:val="0"/>
                <w:szCs w:val="21"/>
                <w:lang w:val="en-US" w:eastAsia="zh-CN"/>
              </w:rPr>
              <w:t>表3-6施工期大气污染物排放标准</w:t>
            </w:r>
          </w:p>
          <w:tbl>
            <w:tblPr>
              <w:tblStyle w:val="10"/>
              <w:tblW w:w="7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3"/>
              <w:gridCol w:w="1881"/>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标准名称</w:t>
                  </w:r>
                </w:p>
              </w:tc>
              <w:tc>
                <w:tcPr>
                  <w:tcW w:w="5021"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相关限值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953"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default"/>
                      <w:lang w:val="en-US" w:eastAsia="zh-CN"/>
                    </w:rPr>
                  </w:pPr>
                  <w:r>
                    <w:rPr>
                      <w:rFonts w:hint="default"/>
                      <w:lang w:val="en-US" w:eastAsia="zh-CN"/>
                    </w:rPr>
                    <w:t>《大气污染物综合排放标准》（GB16297-1996）表2中无组织排放监控浓度限值</w:t>
                  </w:r>
                </w:p>
              </w:tc>
              <w:tc>
                <w:tcPr>
                  <w:tcW w:w="188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类别</w:t>
                  </w:r>
                </w:p>
              </w:tc>
              <w:tc>
                <w:tcPr>
                  <w:tcW w:w="314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default"/>
                      <w:lang w:val="en-US" w:eastAsia="zh-CN"/>
                    </w:rPr>
                    <w:t>颗粒物周界外浓度最高点mg/</w:t>
                  </w:r>
                  <w:r>
                    <w:rPr>
                      <w:rFonts w:hint="eastAsia"/>
                      <w:lang w:val="en-US" w:eastAsia="zh-CN"/>
                    </w:rPr>
                    <w:t>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p>
              </w:tc>
              <w:tc>
                <w:tcPr>
                  <w:tcW w:w="188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颗粒物</w:t>
                  </w:r>
                </w:p>
              </w:tc>
              <w:tc>
                <w:tcPr>
                  <w:tcW w:w="314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1.0</w:t>
                  </w:r>
                </w:p>
              </w:tc>
            </w:tr>
          </w:tbl>
          <w:p>
            <w:pPr>
              <w:bidi w:val="0"/>
              <w:jc w:val="center"/>
              <w:rPr>
                <w:rFonts w:hint="eastAsia"/>
                <w:b/>
                <w:bCs/>
                <w:color w:val="auto"/>
                <w:lang w:val="en-US" w:eastAsia="zh-CN"/>
              </w:rPr>
            </w:pPr>
            <w:r>
              <w:rPr>
                <w:rFonts w:hint="eastAsia" w:cs="Times New Roman"/>
                <w:b/>
                <w:bCs/>
                <w:kern w:val="0"/>
                <w:szCs w:val="21"/>
                <w:lang w:val="en-US" w:eastAsia="zh-CN"/>
              </w:rPr>
              <w:t>表3-7运营期大气污染物排放标准</w:t>
            </w:r>
          </w:p>
          <w:tbl>
            <w:tblPr>
              <w:tblStyle w:val="9"/>
              <w:tblW w:w="799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708"/>
              <w:gridCol w:w="697"/>
              <w:gridCol w:w="533"/>
              <w:gridCol w:w="900"/>
              <w:gridCol w:w="505"/>
              <w:gridCol w:w="46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34" w:hRule="atLeast"/>
                <w:jc w:val="center"/>
              </w:trPr>
              <w:tc>
                <w:tcPr>
                  <w:tcW w:w="70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产排污环节</w:t>
                  </w:r>
                </w:p>
              </w:tc>
              <w:tc>
                <w:tcPr>
                  <w:tcW w:w="69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污染因子</w:t>
                  </w:r>
                </w:p>
              </w:tc>
              <w:tc>
                <w:tcPr>
                  <w:tcW w:w="53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排放形式</w:t>
                  </w:r>
                </w:p>
              </w:tc>
              <w:tc>
                <w:tcPr>
                  <w:tcW w:w="9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排放浓度</w:t>
                  </w:r>
                </w:p>
              </w:tc>
              <w:tc>
                <w:tcPr>
                  <w:tcW w:w="50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排放速率</w:t>
                  </w:r>
                </w:p>
              </w:tc>
              <w:tc>
                <w:tcPr>
                  <w:tcW w:w="465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执行标准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0" w:hRule="atLeast"/>
                <w:jc w:val="center"/>
              </w:trPr>
              <w:tc>
                <w:tcPr>
                  <w:tcW w:w="70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厂界</w:t>
                  </w:r>
                </w:p>
              </w:tc>
              <w:tc>
                <w:tcPr>
                  <w:tcW w:w="69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颗粒物</w:t>
                  </w:r>
                </w:p>
              </w:tc>
              <w:tc>
                <w:tcPr>
                  <w:tcW w:w="53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无组织</w:t>
                  </w:r>
                </w:p>
              </w:tc>
              <w:tc>
                <w:tcPr>
                  <w:tcW w:w="9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0.5mg/m³</w:t>
                  </w:r>
                </w:p>
              </w:tc>
              <w:tc>
                <w:tcPr>
                  <w:tcW w:w="50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w:t>
                  </w:r>
                </w:p>
              </w:tc>
              <w:tc>
                <w:tcPr>
                  <w:tcW w:w="465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rPr>
                  </w:pPr>
                  <w:r>
                    <w:rPr>
                      <w:rFonts w:hint="default"/>
                      <w:lang w:val="en-US" w:eastAsia="zh-CN"/>
                    </w:rPr>
                    <w:t>《水泥工业大气污染物排放标准》（GB4915-2013）表3大气污染物无组织排放限值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34" w:hRule="atLeast"/>
                <w:jc w:val="center"/>
              </w:trPr>
              <w:tc>
                <w:tcPr>
                  <w:tcW w:w="70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筒仓</w:t>
                  </w:r>
                </w:p>
              </w:tc>
              <w:tc>
                <w:tcPr>
                  <w:tcW w:w="69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颗粒物</w:t>
                  </w:r>
                </w:p>
              </w:tc>
              <w:tc>
                <w:tcPr>
                  <w:tcW w:w="53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有组织</w:t>
                  </w:r>
                </w:p>
              </w:tc>
              <w:tc>
                <w:tcPr>
                  <w:tcW w:w="9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0.5mg/m³</w:t>
                  </w:r>
                </w:p>
              </w:tc>
              <w:tc>
                <w:tcPr>
                  <w:tcW w:w="50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w:t>
                  </w:r>
                </w:p>
              </w:tc>
              <w:tc>
                <w:tcPr>
                  <w:tcW w:w="465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《水泥工业大气污染物排放标准》（GB4915-2013）表1大气污染物无组织排放限值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58" w:hRule="atLeast"/>
                <w:jc w:val="center"/>
              </w:trPr>
              <w:tc>
                <w:tcPr>
                  <w:tcW w:w="70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搅拌机搅拌过程</w:t>
                  </w:r>
                </w:p>
              </w:tc>
              <w:tc>
                <w:tcPr>
                  <w:tcW w:w="697"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颗粒物</w:t>
                  </w:r>
                </w:p>
              </w:tc>
              <w:tc>
                <w:tcPr>
                  <w:tcW w:w="533"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有组织</w:t>
                  </w:r>
                </w:p>
              </w:tc>
              <w:tc>
                <w:tcPr>
                  <w:tcW w:w="900"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20mg/m³</w:t>
                  </w:r>
                </w:p>
              </w:tc>
              <w:tc>
                <w:tcPr>
                  <w:tcW w:w="50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eastAsia"/>
                      <w:lang w:val="en-US" w:eastAsia="zh-CN"/>
                    </w:rPr>
                    <w:t>/</w:t>
                  </w:r>
                </w:p>
              </w:tc>
              <w:tc>
                <w:tcPr>
                  <w:tcW w:w="465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lang w:val="en-US" w:eastAsia="zh-CN"/>
                    </w:rPr>
                  </w:pPr>
                  <w:r>
                    <w:rPr>
                      <w:rFonts w:hint="default"/>
                      <w:lang w:val="en-US" w:eastAsia="zh-CN"/>
                    </w:rPr>
                    <w:t>《水泥工业大气污染物排放标准》（GB4915-2013）表</w:t>
                  </w:r>
                  <w:r>
                    <w:rPr>
                      <w:rFonts w:hint="eastAsia"/>
                      <w:lang w:val="en-US" w:eastAsia="zh-CN"/>
                    </w:rPr>
                    <w:t>1大气污染物排放限值</w:t>
                  </w:r>
                </w:p>
              </w:tc>
            </w:tr>
          </w:tbl>
          <w:p>
            <w:pPr>
              <w:adjustRightInd w:val="0"/>
              <w:snapToGrid w:val="0"/>
              <w:jc w:val="both"/>
              <w:rPr>
                <w:rFonts w:hint="default" w:cs="Times New Roman"/>
                <w:b/>
                <w:bCs/>
                <w:kern w:val="0"/>
                <w:szCs w:val="21"/>
                <w:lang w:val="en-US" w:eastAsia="zh-CN"/>
              </w:rPr>
            </w:pPr>
            <w:r>
              <w:rPr>
                <w:rFonts w:hint="eastAsia" w:cs="Times New Roman"/>
                <w:b/>
                <w:bCs/>
                <w:kern w:val="0"/>
                <w:szCs w:val="21"/>
                <w:lang w:val="en-US" w:eastAsia="zh-CN"/>
              </w:rPr>
              <w:t>2、噪声排放标准</w:t>
            </w:r>
          </w:p>
          <w:p>
            <w:pPr>
              <w:adjustRightInd w:val="0"/>
              <w:snapToGrid w:val="0"/>
              <w:jc w:val="both"/>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施工噪声执行《建筑施工场界环境噪声排放标准》（GB12523-2011）的标准限值；运营期边界噪声执行《工业企业厂界环境噪声排放标准》（GB12348-2008中</w:t>
            </w:r>
            <w:r>
              <w:rPr>
                <w:rFonts w:hint="eastAsia" w:cs="Times New Roman"/>
                <w:kern w:val="0"/>
                <w:szCs w:val="21"/>
                <w:lang w:val="en-US" w:eastAsia="zh-CN"/>
              </w:rPr>
              <w:t>2类</w:t>
            </w:r>
            <w:r>
              <w:rPr>
                <w:rFonts w:hint="default" w:ascii="Times New Roman" w:hAnsi="Times New Roman" w:eastAsia="宋体" w:cs="Times New Roman"/>
                <w:kern w:val="0"/>
                <w:szCs w:val="21"/>
                <w:lang w:val="en-US" w:eastAsia="zh-CN"/>
              </w:rPr>
              <w:t>标准限值），具体指标见表3-</w:t>
            </w:r>
            <w:r>
              <w:rPr>
                <w:rFonts w:hint="eastAsia" w:cs="Times New Roman"/>
                <w:kern w:val="0"/>
                <w:szCs w:val="21"/>
                <w:lang w:val="en-US" w:eastAsia="zh-CN"/>
              </w:rPr>
              <w:t>8</w:t>
            </w:r>
            <w:r>
              <w:rPr>
                <w:rFonts w:hint="default" w:ascii="Times New Roman" w:hAnsi="Times New Roman" w:eastAsia="宋体" w:cs="Times New Roman"/>
                <w:kern w:val="0"/>
                <w:szCs w:val="21"/>
                <w:lang w:val="en-US" w:eastAsia="zh-CN"/>
              </w:rPr>
              <w:t>。</w:t>
            </w:r>
          </w:p>
          <w:p>
            <w:pPr>
              <w:bidi w:val="0"/>
              <w:ind w:left="0" w:leftChars="0" w:firstLine="0" w:firstLineChars="0"/>
              <w:jc w:val="center"/>
              <w:rPr>
                <w:rFonts w:hint="default"/>
                <w:b/>
                <w:bCs/>
                <w:lang w:val="en-US" w:eastAsia="zh-CN"/>
              </w:rPr>
            </w:pPr>
            <w:r>
              <w:rPr>
                <w:rFonts w:hint="eastAsia"/>
                <w:b/>
                <w:bCs/>
                <w:lang w:val="en-US" w:eastAsia="zh-CN"/>
              </w:rPr>
              <w:t>表3-8噪声排放标准一览表</w:t>
            </w:r>
          </w:p>
          <w:tbl>
            <w:tblPr>
              <w:tblStyle w:val="9"/>
              <w:tblW w:w="7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482"/>
              <w:gridCol w:w="1428"/>
              <w:gridCol w:w="3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114"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pPr>
                  <w:r>
                    <w:t>时期</w:t>
                  </w:r>
                </w:p>
              </w:tc>
              <w:tc>
                <w:tcPr>
                  <w:tcW w:w="2910"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pPr>
                  <w:r>
                    <w:t>噪声限值Leq[dB（A）]</w:t>
                  </w:r>
                </w:p>
              </w:tc>
              <w:tc>
                <w:tcPr>
                  <w:tcW w:w="3865" w:type="dxa"/>
                  <w:vMerge w:val="restart"/>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pPr>
                  <w: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14"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pPr>
                </w:p>
              </w:tc>
              <w:tc>
                <w:tcPr>
                  <w:tcW w:w="148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pPr>
                  <w:r>
                    <w:t>昼间</w:t>
                  </w:r>
                </w:p>
              </w:tc>
              <w:tc>
                <w:tcPr>
                  <w:tcW w:w="142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pPr>
                  <w:r>
                    <w:t>夜间</w:t>
                  </w:r>
                </w:p>
              </w:tc>
              <w:tc>
                <w:tcPr>
                  <w:tcW w:w="3865" w:type="dxa"/>
                  <w:vMerge w:val="continue"/>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11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pPr>
                  <w:r>
                    <w:t>施工期</w:t>
                  </w:r>
                </w:p>
              </w:tc>
              <w:tc>
                <w:tcPr>
                  <w:tcW w:w="148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pPr>
                  <w:r>
                    <w:t>70</w:t>
                  </w:r>
                </w:p>
              </w:tc>
              <w:tc>
                <w:tcPr>
                  <w:tcW w:w="142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pPr>
                  <w:r>
                    <w:t>55</w:t>
                  </w:r>
                </w:p>
              </w:tc>
              <w:tc>
                <w:tcPr>
                  <w:tcW w:w="386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pPr>
                  <w:r>
                    <w:t>《建筑施工场界环境噪声排放标准》（GB12523-2011）的标准限值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14"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pPr>
                  <w:r>
                    <w:t>运营期</w:t>
                  </w:r>
                </w:p>
              </w:tc>
              <w:tc>
                <w:tcPr>
                  <w:tcW w:w="1482"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pPr>
                  <w:r>
                    <w:t>60</w:t>
                  </w:r>
                </w:p>
              </w:tc>
              <w:tc>
                <w:tcPr>
                  <w:tcW w:w="1428"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pPr>
                  <w:r>
                    <w:t>50</w:t>
                  </w:r>
                </w:p>
              </w:tc>
              <w:tc>
                <w:tcPr>
                  <w:tcW w:w="3865"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pPr>
                  <w:r>
                    <w:t>《工业企业厂界环境噪声排放标准》（GB12348-2008中2类标准限值）</w:t>
                  </w:r>
                </w:p>
              </w:tc>
            </w:tr>
          </w:tbl>
          <w:p>
            <w:pPr>
              <w:adjustRightInd w:val="0"/>
              <w:snapToGrid w:val="0"/>
              <w:jc w:val="both"/>
              <w:rPr>
                <w:rFonts w:hint="eastAsia" w:cs="Times New Roman"/>
                <w:b/>
                <w:bCs/>
                <w:kern w:val="0"/>
                <w:szCs w:val="21"/>
                <w:lang w:val="en-US" w:eastAsia="zh-CN"/>
              </w:rPr>
            </w:pPr>
            <w:r>
              <w:rPr>
                <w:rFonts w:hint="eastAsia" w:cs="Times New Roman"/>
                <w:b/>
                <w:bCs/>
                <w:kern w:val="0"/>
                <w:szCs w:val="21"/>
                <w:lang w:val="en-US" w:eastAsia="zh-CN"/>
              </w:rPr>
              <w:t>3、固体废弃物</w:t>
            </w:r>
          </w:p>
          <w:p>
            <w:pPr>
              <w:adjustRightInd w:val="0"/>
              <w:snapToGrid w:val="0"/>
              <w:jc w:val="both"/>
              <w:rPr>
                <w:rFonts w:hint="default" w:ascii="Times New Roman" w:hAnsi="Times New Roman" w:eastAsia="宋体" w:cs="Times New Roman"/>
                <w:kern w:val="0"/>
                <w:szCs w:val="21"/>
                <w:lang w:val="en-US" w:eastAsia="zh-CN"/>
              </w:rPr>
            </w:pPr>
            <w:r>
              <w:rPr>
                <w:rFonts w:hint="eastAsia" w:cs="Times New Roman"/>
                <w:kern w:val="0"/>
                <w:szCs w:val="21"/>
                <w:lang w:val="en-US" w:eastAsia="zh-CN"/>
              </w:rPr>
              <w:t>一般工业固体废物执行《一般工业固体废弃物储存和填埋污染控制标准》（GB18599-2020）。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559"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总量控制指标</w:t>
            </w:r>
          </w:p>
        </w:tc>
        <w:tc>
          <w:tcPr>
            <w:tcW w:w="7431" w:type="dxa"/>
            <w:vAlign w:val="center"/>
          </w:tcPr>
          <w:p>
            <w:pPr>
              <w:adjustRightInd w:val="0"/>
              <w:snapToGrid w:val="0"/>
              <w:jc w:val="center"/>
              <w:rPr>
                <w:rFonts w:hint="eastAsia" w:ascii="Times New Roman" w:hAnsi="Times New Roman" w:eastAsia="宋体" w:cs="Times New Roman"/>
                <w:kern w:val="0"/>
                <w:szCs w:val="21"/>
                <w:lang w:val="en-US" w:eastAsia="zh-CN"/>
              </w:rPr>
            </w:pPr>
            <w:r>
              <w:rPr>
                <w:rFonts w:hint="eastAsia" w:ascii="Times New Roman" w:hAnsi="Times New Roman" w:eastAsia="宋体" w:cs="Times New Roman"/>
                <w:kern w:val="0"/>
                <w:szCs w:val="21"/>
                <w:lang w:val="en-US" w:eastAsia="zh-CN"/>
              </w:rPr>
              <w:t>本项目运营期无总量控制指标内污染物排放，因此无需申请总量控制指标。</w:t>
            </w:r>
          </w:p>
        </w:tc>
      </w:tr>
    </w:tbl>
    <w:p>
      <w:pPr>
        <w:pStyle w:val="8"/>
        <w:jc w:val="center"/>
        <w:outlineLvl w:val="0"/>
        <w:rPr>
          <w:rFonts w:hint="default" w:ascii="Times New Roman" w:hAnsi="Times New Roman" w:eastAsia="黑体" w:cs="Times New Roman"/>
          <w:snapToGrid w:val="0"/>
          <w:sz w:val="30"/>
          <w:szCs w:val="30"/>
        </w:rPr>
      </w:pPr>
      <w:r>
        <w:rPr>
          <w:rFonts w:hint="default" w:ascii="Times New Roman" w:hAnsi="Times New Roman" w:eastAsia="黑体" w:cs="Times New Roman"/>
          <w:snapToGrid w:val="0"/>
          <w:sz w:val="36"/>
          <w:szCs w:val="36"/>
        </w:rPr>
        <w:br w:type="page"/>
      </w:r>
      <w:r>
        <w:rPr>
          <w:rFonts w:hint="default" w:ascii="Times New Roman" w:hAnsi="Times New Roman" w:eastAsia="黑体" w:cs="Times New Roman"/>
          <w:snapToGrid w:val="0"/>
          <w:sz w:val="30"/>
          <w:szCs w:val="30"/>
        </w:rPr>
        <w:t>四、主要环境影响和保护措施</w:t>
      </w:r>
    </w:p>
    <w:tbl>
      <w:tblPr>
        <w:tblStyle w:val="9"/>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9" w:hRule="atLeast"/>
          <w:jc w:val="center"/>
        </w:trPr>
        <w:tc>
          <w:tcPr>
            <w:tcW w:w="746" w:type="dxa"/>
            <w:tcMar>
              <w:left w:w="28" w:type="dxa"/>
              <w:right w:w="28" w:type="dxa"/>
            </w:tcMar>
            <w:vAlign w:val="center"/>
          </w:tcPr>
          <w:p>
            <w:pPr>
              <w:pStyle w:val="8"/>
              <w:keepNext w:val="0"/>
              <w:keepLines w:val="0"/>
              <w:pageBreakBefore w:val="0"/>
              <w:kinsoku/>
              <w:wordWrap/>
              <w:overflowPunct/>
              <w:topLinePunct w:val="0"/>
              <w:autoSpaceDE w:val="0"/>
              <w:autoSpaceDN w:val="0"/>
              <w:bidi w:val="0"/>
              <w:adjustRightInd w:val="0"/>
              <w:snapToGrid w:val="0"/>
              <w:spacing w:before="0" w:beforeAutospacing="0" w:after="0" w:afterAutospacing="0"/>
              <w:ind w:firstLine="0" w:firstLineChars="0"/>
              <w:jc w:val="center"/>
              <w:textAlignment w:val="auto"/>
              <w:rPr>
                <w:rFonts w:hint="default" w:ascii="Times New Roman" w:hAnsi="Times New Roman" w:cs="Times New Roman"/>
                <w:kern w:val="2"/>
                <w:sz w:val="21"/>
                <w:szCs w:val="21"/>
              </w:rPr>
            </w:pPr>
            <w:r>
              <w:rPr>
                <w:rFonts w:hint="default" w:ascii="Times New Roman" w:hAnsi="Times New Roman" w:cs="Times New Roman"/>
                <w:kern w:val="2"/>
                <w:sz w:val="21"/>
                <w:szCs w:val="21"/>
              </w:rPr>
              <w:t>施工</w:t>
            </w:r>
          </w:p>
          <w:p>
            <w:pPr>
              <w:pStyle w:val="8"/>
              <w:keepNext w:val="0"/>
              <w:keepLines w:val="0"/>
              <w:pageBreakBefore w:val="0"/>
              <w:kinsoku/>
              <w:wordWrap/>
              <w:overflowPunct/>
              <w:topLinePunct w:val="0"/>
              <w:autoSpaceDE w:val="0"/>
              <w:autoSpaceDN w:val="0"/>
              <w:bidi w:val="0"/>
              <w:adjustRightInd w:val="0"/>
              <w:snapToGrid w:val="0"/>
              <w:spacing w:before="0" w:beforeAutospacing="0" w:after="0" w:afterAutospacing="0"/>
              <w:ind w:firstLine="0" w:firstLineChars="0"/>
              <w:jc w:val="center"/>
              <w:textAlignment w:val="auto"/>
              <w:rPr>
                <w:rFonts w:hint="default" w:ascii="Times New Roman" w:hAnsi="Times New Roman" w:cs="Times New Roman"/>
                <w:kern w:val="2"/>
                <w:sz w:val="21"/>
                <w:szCs w:val="21"/>
              </w:rPr>
            </w:pPr>
            <w:r>
              <w:rPr>
                <w:rFonts w:hint="default" w:ascii="Times New Roman" w:hAnsi="Times New Roman" w:cs="Times New Roman"/>
                <w:kern w:val="2"/>
                <w:sz w:val="21"/>
                <w:szCs w:val="21"/>
              </w:rPr>
              <w:t>期环</w:t>
            </w:r>
          </w:p>
          <w:p>
            <w:pPr>
              <w:pStyle w:val="8"/>
              <w:keepNext w:val="0"/>
              <w:keepLines w:val="0"/>
              <w:pageBreakBefore w:val="0"/>
              <w:kinsoku/>
              <w:wordWrap/>
              <w:overflowPunct/>
              <w:topLinePunct w:val="0"/>
              <w:autoSpaceDE w:val="0"/>
              <w:autoSpaceDN w:val="0"/>
              <w:bidi w:val="0"/>
              <w:adjustRightInd w:val="0"/>
              <w:snapToGrid w:val="0"/>
              <w:spacing w:before="0" w:beforeAutospacing="0" w:after="0" w:afterAutospacing="0"/>
              <w:ind w:firstLine="0" w:firstLineChars="0"/>
              <w:jc w:val="center"/>
              <w:textAlignment w:val="auto"/>
              <w:rPr>
                <w:rFonts w:hint="default" w:ascii="Times New Roman" w:hAnsi="Times New Roman" w:cs="Times New Roman"/>
                <w:kern w:val="2"/>
                <w:sz w:val="21"/>
                <w:szCs w:val="21"/>
              </w:rPr>
            </w:pPr>
            <w:r>
              <w:rPr>
                <w:rFonts w:hint="default" w:ascii="Times New Roman" w:hAnsi="Times New Roman" w:cs="Times New Roman"/>
                <w:kern w:val="2"/>
                <w:sz w:val="21"/>
                <w:szCs w:val="21"/>
              </w:rPr>
              <w:t>境保</w:t>
            </w:r>
          </w:p>
          <w:p>
            <w:pPr>
              <w:pStyle w:val="8"/>
              <w:keepNext w:val="0"/>
              <w:keepLines w:val="0"/>
              <w:pageBreakBefore w:val="0"/>
              <w:kinsoku/>
              <w:wordWrap/>
              <w:overflowPunct/>
              <w:topLinePunct w:val="0"/>
              <w:autoSpaceDE w:val="0"/>
              <w:autoSpaceDN w:val="0"/>
              <w:bidi w:val="0"/>
              <w:adjustRightInd w:val="0"/>
              <w:snapToGrid w:val="0"/>
              <w:spacing w:before="0" w:beforeAutospacing="0" w:after="0" w:afterAutospacing="0"/>
              <w:ind w:firstLine="0" w:firstLineChars="0"/>
              <w:jc w:val="center"/>
              <w:textAlignment w:val="auto"/>
              <w:rPr>
                <w:rFonts w:hint="default" w:ascii="Times New Roman" w:hAnsi="Times New Roman" w:cs="Times New Roman"/>
                <w:kern w:val="2"/>
                <w:sz w:val="21"/>
                <w:szCs w:val="21"/>
              </w:rPr>
            </w:pPr>
            <w:r>
              <w:rPr>
                <w:rFonts w:hint="default" w:ascii="Times New Roman" w:hAnsi="Times New Roman" w:cs="Times New Roman"/>
                <w:kern w:val="2"/>
                <w:sz w:val="21"/>
                <w:szCs w:val="21"/>
              </w:rPr>
              <w:t>护措</w:t>
            </w:r>
          </w:p>
          <w:p>
            <w:pPr>
              <w:pStyle w:val="8"/>
              <w:keepNext w:val="0"/>
              <w:keepLines w:val="0"/>
              <w:pageBreakBefore w:val="0"/>
              <w:kinsoku/>
              <w:wordWrap/>
              <w:overflowPunct/>
              <w:topLinePunct w:val="0"/>
              <w:autoSpaceDE w:val="0"/>
              <w:autoSpaceDN w:val="0"/>
              <w:bidi w:val="0"/>
              <w:adjustRightInd w:val="0"/>
              <w:snapToGrid w:val="0"/>
              <w:spacing w:before="0" w:beforeAutospacing="0" w:after="0" w:afterAutospacing="0"/>
              <w:ind w:firstLine="0" w:firstLineChars="0"/>
              <w:jc w:val="center"/>
              <w:textAlignment w:val="auto"/>
              <w:rPr>
                <w:rFonts w:hint="default" w:ascii="Times New Roman" w:hAnsi="Times New Roman" w:cs="Times New Roman"/>
                <w:bCs/>
                <w:kern w:val="2"/>
                <w:sz w:val="21"/>
                <w:szCs w:val="21"/>
              </w:rPr>
            </w:pPr>
            <w:r>
              <w:rPr>
                <w:rFonts w:hint="default" w:ascii="Times New Roman" w:hAnsi="Times New Roman" w:cs="Times New Roman"/>
                <w:kern w:val="2"/>
                <w:sz w:val="21"/>
                <w:szCs w:val="21"/>
              </w:rPr>
              <w:t>施</w:t>
            </w:r>
          </w:p>
        </w:tc>
        <w:tc>
          <w:tcPr>
            <w:tcW w:w="8162" w:type="dxa"/>
            <w:vAlign w:val="center"/>
          </w:tcPr>
          <w:p>
            <w:pPr>
              <w:bidi w:val="0"/>
            </w:pPr>
            <w:r>
              <w:rPr>
                <w:rFonts w:hint="eastAsia"/>
                <w:lang w:val="en-US" w:eastAsia="zh-CN"/>
              </w:rPr>
              <w:t>本项目建设施工期污染源主要有施工扬尘、运输车辆施工机械产生废气，施工机械噪声，施工废水和建筑垃圾。分析工程施工期的环境影响并提出相应的污染防治措施和管理要求，可使项目建设造成的不利影响降到最低限度。</w:t>
            </w:r>
          </w:p>
          <w:p>
            <w:pPr>
              <w:bidi w:val="0"/>
            </w:pPr>
            <w:r>
              <w:rPr>
                <w:rFonts w:hint="eastAsia"/>
                <w:lang w:val="en-US" w:eastAsia="zh-CN"/>
              </w:rPr>
              <w:t>1、施工期大气环境影响分析</w:t>
            </w:r>
          </w:p>
          <w:p>
            <w:pPr>
              <w:bidi w:val="0"/>
            </w:pPr>
            <w:r>
              <w:rPr>
                <w:rFonts w:hint="eastAsia"/>
                <w:lang w:val="en-US" w:eastAsia="zh-CN"/>
              </w:rPr>
              <w:t>本项目施工过程中，表土清理、土方平整等工程均会产生较大的扬尘，各类机械车辆的往来及砂石料、建筑材料堆放也会产生扬尘，施工机械、车辆运行时会排放燃油尾气。主要体现以下方面：</w:t>
            </w:r>
          </w:p>
          <w:p>
            <w:pPr>
              <w:bidi w:val="0"/>
            </w:pPr>
            <w:r>
              <w:rPr>
                <w:rFonts w:hint="eastAsia"/>
                <w:lang w:val="en-US" w:eastAsia="zh-CN"/>
              </w:rPr>
              <w:t>（1）清表及土方挖运产生的扬尘弃土临时堆放及建筑材料堆放产生的扬尘；</w:t>
            </w:r>
          </w:p>
          <w:p>
            <w:pPr>
              <w:bidi w:val="0"/>
            </w:pPr>
            <w:r>
              <w:rPr>
                <w:rFonts w:hint="eastAsia"/>
                <w:lang w:val="en-US" w:eastAsia="zh-CN"/>
              </w:rPr>
              <w:t>（2）各种建筑材料（水泥、沙子、石子）及大型机械在车辆往来运输过程中产生的道路扬尘。</w:t>
            </w:r>
          </w:p>
          <w:p>
            <w:pPr>
              <w:bidi w:val="0"/>
            </w:pPr>
            <w:r>
              <w:rPr>
                <w:rFonts w:hint="eastAsia"/>
                <w:lang w:val="en-US" w:eastAsia="zh-CN"/>
              </w:rPr>
              <w:t>（3）施工机械、车辆运行时排放的燃油尾气。根据上述过程产生的粉尘对大气环境的污染特点，以及《内蒙古自治区建筑施工扬尘治理实施方案》的要求，拟采取以下措施减轻施工过程对大气环境的影响：</w:t>
            </w:r>
          </w:p>
          <w:p>
            <w:pPr>
              <w:bidi w:val="0"/>
            </w:pPr>
            <w:r>
              <w:rPr>
                <w:rFonts w:hint="eastAsia"/>
                <w:lang w:val="en-US" w:eastAsia="zh-CN"/>
              </w:rPr>
              <w:t>①在施工过程中，选择挖掘效率较高的机械设备进行作业，在短时间内完成场地平整工序；</w:t>
            </w:r>
          </w:p>
          <w:p>
            <w:pPr>
              <w:bidi w:val="0"/>
            </w:pPr>
            <w:r>
              <w:rPr>
                <w:rFonts w:hint="eastAsia"/>
                <w:lang w:val="en-US" w:eastAsia="zh-CN"/>
              </w:rPr>
              <w:t>②选择合适的施工时间及施工天气，尽量避免在一天中风力最大的时段进行施工；</w:t>
            </w:r>
          </w:p>
          <w:p>
            <w:pPr>
              <w:bidi w:val="0"/>
            </w:pPr>
            <w:r>
              <w:rPr>
                <w:rFonts w:hint="eastAsia"/>
                <w:lang w:val="en-US" w:eastAsia="zh-CN"/>
              </w:rPr>
              <w:t>③本项目道路修筑及硬化工程采用商品混凝土施工，避免混凝土搅拌过程产生的污染。</w:t>
            </w:r>
          </w:p>
          <w:p>
            <w:pPr>
              <w:bidi w:val="0"/>
            </w:pPr>
            <w:r>
              <w:rPr>
                <w:rFonts w:hint="eastAsia"/>
                <w:lang w:val="en-US" w:eastAsia="zh-CN"/>
              </w:rPr>
              <w:t>④选择合理的运输车辆行车路线，避免路程较长引起较多的道路扬尘，运输车辆进入施工场地应限速行驶，以减少产尘量。</w:t>
            </w:r>
          </w:p>
          <w:p>
            <w:pPr>
              <w:bidi w:val="0"/>
            </w:pPr>
            <w:r>
              <w:rPr>
                <w:rFonts w:hint="eastAsia"/>
                <w:lang w:val="en-US" w:eastAsia="zh-CN"/>
              </w:rPr>
              <w:t>⑤选用具有行业先进水平的施工机械和车辆，减少施工期机械及运输车辆尾气排放</w:t>
            </w:r>
          </w:p>
          <w:p>
            <w:pPr>
              <w:bidi w:val="0"/>
            </w:pPr>
            <w:r>
              <w:rPr>
                <w:rFonts w:hint="eastAsia"/>
                <w:lang w:val="en-US" w:eastAsia="zh-CN"/>
              </w:rPr>
              <w:t>⑥加强城区渣土运输车辆的管理，在落实全部密闭运行措施的基础上，采取在主城区道路限时段运行的措施，减少对城市带来的扬尘污染。采取以上措施后，施工期对周边环境空气的影响将降至最低，并且其影响会随施工的结束而消失。</w:t>
            </w:r>
          </w:p>
          <w:p>
            <w:pPr>
              <w:bidi w:val="0"/>
              <w:rPr>
                <w:b/>
                <w:bCs/>
              </w:rPr>
            </w:pPr>
            <w:r>
              <w:rPr>
                <w:rFonts w:hint="eastAsia"/>
                <w:b/>
                <w:bCs/>
                <w:lang w:val="en-US" w:eastAsia="zh-CN"/>
              </w:rPr>
              <w:t>2、施工期水环境影响分析</w:t>
            </w:r>
          </w:p>
          <w:p>
            <w:pPr>
              <w:bidi w:val="0"/>
            </w:pPr>
            <w:r>
              <w:rPr>
                <w:rFonts w:hint="eastAsia"/>
                <w:lang w:val="en-US" w:eastAsia="zh-CN"/>
              </w:rPr>
              <w:t>本项目施工期水污染源主要包括施工作业产生的施工废水、施工人员生活污水。本项目生产废水量平均5t/d，主要包括施工机械冲洗废水和泥浆废水，经临时沉淀池沉淀后全部回用，不外排。施工人员人均日用水量为40L，高峰期施工人数按20计，生活污水排放系数取0.8，高峰日生活污水排放量约为0.64t/d。生活污水主要污染物为COD、SS、BOD</w:t>
            </w:r>
            <w:r>
              <w:rPr>
                <w:rFonts w:hint="eastAsia"/>
                <w:vertAlign w:val="subscript"/>
                <w:lang w:val="en-US" w:eastAsia="zh-CN"/>
              </w:rPr>
              <w:t>5</w:t>
            </w:r>
            <w:r>
              <w:rPr>
                <w:rFonts w:hint="eastAsia"/>
                <w:lang w:val="en-US" w:eastAsia="zh-CN"/>
              </w:rPr>
              <w:t>、NH</w:t>
            </w:r>
            <w:r>
              <w:rPr>
                <w:rFonts w:hint="eastAsia"/>
                <w:vertAlign w:val="subscript"/>
                <w:lang w:val="en-US" w:eastAsia="zh-CN"/>
              </w:rPr>
              <w:t>3</w:t>
            </w:r>
            <w:r>
              <w:rPr>
                <w:rFonts w:hint="eastAsia"/>
                <w:lang w:val="en-US" w:eastAsia="zh-CN"/>
              </w:rPr>
              <w:t>-N等，设置生活污水临时沉淀池，采用吸污车定期清掏，不外排。</w:t>
            </w:r>
          </w:p>
          <w:p>
            <w:pPr>
              <w:bidi w:val="0"/>
              <w:rPr>
                <w:b/>
                <w:bCs/>
              </w:rPr>
            </w:pPr>
            <w:r>
              <w:rPr>
                <w:rFonts w:hint="eastAsia"/>
                <w:b/>
                <w:bCs/>
                <w:lang w:val="en-US" w:eastAsia="zh-CN"/>
              </w:rPr>
              <w:t>3、施工噪声影响分析</w:t>
            </w:r>
          </w:p>
          <w:p>
            <w:pPr>
              <w:bidi w:val="0"/>
            </w:pPr>
            <w:r>
              <w:rPr>
                <w:rFonts w:hint="eastAsia"/>
                <w:lang w:val="en-US" w:eastAsia="zh-CN"/>
              </w:rPr>
              <w:t>项目施工过程中作业机械主要有挖掘机、装载机、升降机等机械，施工期噪声主要是这些机械设备运行时产生的噪声和运输车辆产生的噪声。其特点是间歇或阵发性的，并具备流动性，噪声级较高，在75dB～95dB之间，平均噪声级在85dB左右。在未采取降噪措施的情况下，施工机械对周围环境影响较大。为减少施工噪声对周边环境的影响，施工中应采取如下措施以减少对声环境的影响：</w:t>
            </w:r>
          </w:p>
          <w:p>
            <w:pPr>
              <w:bidi w:val="0"/>
            </w:pPr>
            <w:r>
              <w:rPr>
                <w:rFonts w:hint="eastAsia"/>
                <w:lang w:val="en-US" w:eastAsia="zh-CN"/>
              </w:rPr>
              <w:t>①严格控制施工时间，根据不同季节正常休息时间，合理安排施工计划，动用高噪声设备，以免产生扰民现象。</w:t>
            </w:r>
          </w:p>
          <w:p>
            <w:pPr>
              <w:bidi w:val="0"/>
            </w:pPr>
            <w:r>
              <w:rPr>
                <w:rFonts w:hint="eastAsia"/>
                <w:lang w:val="en-US" w:eastAsia="zh-CN"/>
              </w:rPr>
              <w:t>②严格使用商品混凝土，与施工场地设置混凝土搅拌机相比，商品混凝土具有占地少、施工量少、施工方便、噪声污染小等特点，同时大大减少水泥、沙石的汽车运量，减轻道路交通噪声及扬尘污染。</w:t>
            </w:r>
          </w:p>
          <w:p>
            <w:pPr>
              <w:bidi w:val="0"/>
            </w:pPr>
            <w:r>
              <w:rPr>
                <w:rFonts w:hint="eastAsia"/>
                <w:lang w:val="en-US" w:eastAsia="zh-CN"/>
              </w:rPr>
              <w:t>③施工物料及设备运入、运出，车辆应尽可能避开夜间（22：00-06：00）运输，避免沿途出现扰民现象。</w:t>
            </w:r>
          </w:p>
          <w:p>
            <w:pPr>
              <w:bidi w:val="0"/>
            </w:pPr>
            <w:r>
              <w:rPr>
                <w:rFonts w:hint="eastAsia"/>
                <w:lang w:val="en-US" w:eastAsia="zh-CN"/>
              </w:rPr>
              <w:t>④严格控制操作流程，降低人为噪声。不合理的施工操作是产生人为噪声的主要原因，如脚手架的安装、拆除、钢筋材料的装卸过程产生的金属碰撞声；运输车辆进入工地应减速，减少鸣笛等。</w:t>
            </w:r>
          </w:p>
          <w:p>
            <w:pPr>
              <w:bidi w:val="0"/>
            </w:pPr>
            <w:r>
              <w:rPr>
                <w:rFonts w:hint="eastAsia"/>
                <w:lang w:val="en-US" w:eastAsia="zh-CN"/>
              </w:rPr>
              <w:t>⑤采取适当措施，降低噪声，对位置相对固定的机械设备，应设置在棚内；</w:t>
            </w:r>
          </w:p>
          <w:p>
            <w:pPr>
              <w:bidi w:val="0"/>
            </w:pPr>
            <w:r>
              <w:rPr>
                <w:rFonts w:hint="eastAsia"/>
                <w:lang w:val="en-US" w:eastAsia="zh-CN"/>
              </w:rPr>
              <w:t>⑥要求施工单位进行文明施工，减轻施工期间施工人员产生的社会噪声对环境的影响。在施工现场标明投诉电话号码，对投诉问题业主应及时与当地生态环境部门取得联系，在24小时内处理各种环境纠纷。</w:t>
            </w:r>
          </w:p>
          <w:p>
            <w:pPr>
              <w:bidi w:val="0"/>
            </w:pPr>
            <w:r>
              <w:rPr>
                <w:rFonts w:hint="eastAsia"/>
                <w:lang w:val="en-US" w:eastAsia="zh-CN"/>
              </w:rPr>
              <w:t>综上，在采取上述降噪措施后，施工噪声不会对区域声环境产生明显影响，并随施工的结束施工噪声也随之消失。</w:t>
            </w:r>
          </w:p>
          <w:p>
            <w:pPr>
              <w:bidi w:val="0"/>
              <w:rPr>
                <w:b/>
                <w:bCs/>
              </w:rPr>
            </w:pPr>
            <w:r>
              <w:rPr>
                <w:rFonts w:hint="eastAsia"/>
                <w:b/>
                <w:bCs/>
                <w:lang w:val="en-US" w:eastAsia="zh-CN"/>
              </w:rPr>
              <w:t>4、施工期固体废物影响分析</w:t>
            </w:r>
          </w:p>
          <w:p>
            <w:pPr>
              <w:bidi w:val="0"/>
              <w:rPr>
                <w:rFonts w:hint="default" w:ascii="Times New Roman" w:hAnsi="Times New Roman" w:cs="Times New Roman"/>
                <w:bCs/>
                <w:spacing w:val="-10"/>
                <w:szCs w:val="21"/>
              </w:rPr>
            </w:pPr>
            <w:r>
              <w:rPr>
                <w:rFonts w:hint="eastAsia"/>
                <w:lang w:val="en-US" w:eastAsia="zh-CN"/>
              </w:rPr>
              <w:t>施工中产生的固体废物主要是建筑垃圾、地基挖掘产生的土方和生活垃圾。施工过程中产生的固体废物均为一般固体废物。工程厂区地势平坦、无大型构筑物，项目施工期无弃土、建筑垃圾产生；生活垃圾产生量较小，收集后运至生活垃</w:t>
            </w:r>
            <w:bookmarkStart w:id="2" w:name="_GoBack"/>
            <w:bookmarkEnd w:id="2"/>
            <w:r>
              <w:rPr>
                <w:rFonts w:hint="eastAsia"/>
                <w:lang w:val="en-US" w:eastAsia="zh-CN"/>
              </w:rPr>
              <w:t>圾填埋场处理。在采取上述措施后，不会对周围环境造成明显影响。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746" w:type="dxa"/>
            <w:tcMar>
              <w:left w:w="28" w:type="dxa"/>
              <w:right w:w="28" w:type="dxa"/>
            </w:tcMar>
            <w:vAlign w:val="center"/>
          </w:tcPr>
          <w:p>
            <w:pPr>
              <w:keepNext w:val="0"/>
              <w:keepLines w:val="0"/>
              <w:pageBreakBefore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cs="Times New Roman"/>
                <w:bCs/>
                <w:szCs w:val="21"/>
              </w:rPr>
            </w:pPr>
            <w:r>
              <w:rPr>
                <w:rFonts w:hint="default" w:ascii="Times New Roman" w:hAnsi="Times New Roman" w:cs="Times New Roman"/>
                <w:bCs/>
                <w:szCs w:val="21"/>
              </w:rPr>
              <w:t>运营</w:t>
            </w:r>
          </w:p>
          <w:p>
            <w:pPr>
              <w:keepNext w:val="0"/>
              <w:keepLines w:val="0"/>
              <w:pageBreakBefore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cs="Times New Roman"/>
                <w:bCs/>
                <w:szCs w:val="21"/>
              </w:rPr>
            </w:pPr>
            <w:r>
              <w:rPr>
                <w:rFonts w:hint="default" w:ascii="Times New Roman" w:hAnsi="Times New Roman" w:cs="Times New Roman"/>
                <w:bCs/>
                <w:szCs w:val="21"/>
              </w:rPr>
              <w:t>期环</w:t>
            </w:r>
          </w:p>
          <w:p>
            <w:pPr>
              <w:keepNext w:val="0"/>
              <w:keepLines w:val="0"/>
              <w:pageBreakBefore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cs="Times New Roman"/>
                <w:bCs/>
                <w:szCs w:val="21"/>
              </w:rPr>
            </w:pPr>
            <w:r>
              <w:rPr>
                <w:rFonts w:hint="default" w:ascii="Times New Roman" w:hAnsi="Times New Roman" w:cs="Times New Roman"/>
                <w:bCs/>
                <w:szCs w:val="21"/>
              </w:rPr>
              <w:t>境影</w:t>
            </w:r>
          </w:p>
          <w:p>
            <w:pPr>
              <w:keepNext w:val="0"/>
              <w:keepLines w:val="0"/>
              <w:pageBreakBefore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cs="Times New Roman"/>
                <w:bCs/>
                <w:szCs w:val="21"/>
              </w:rPr>
            </w:pPr>
            <w:r>
              <w:rPr>
                <w:rFonts w:hint="default" w:ascii="Times New Roman" w:hAnsi="Times New Roman" w:cs="Times New Roman"/>
                <w:bCs/>
                <w:szCs w:val="21"/>
              </w:rPr>
              <w:t>响和</w:t>
            </w:r>
          </w:p>
          <w:p>
            <w:pPr>
              <w:keepNext w:val="0"/>
              <w:keepLines w:val="0"/>
              <w:pageBreakBefore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cs="Times New Roman"/>
                <w:bCs/>
                <w:szCs w:val="21"/>
              </w:rPr>
            </w:pPr>
            <w:r>
              <w:rPr>
                <w:rFonts w:hint="default" w:ascii="Times New Roman" w:hAnsi="Times New Roman" w:cs="Times New Roman"/>
                <w:bCs/>
                <w:szCs w:val="21"/>
              </w:rPr>
              <w:t>保护</w:t>
            </w:r>
          </w:p>
          <w:p>
            <w:pPr>
              <w:keepNext w:val="0"/>
              <w:keepLines w:val="0"/>
              <w:pageBreakBefore w:val="0"/>
              <w:kinsoku/>
              <w:wordWrap/>
              <w:overflowPunct/>
              <w:topLinePunct w:val="0"/>
              <w:autoSpaceDE w:val="0"/>
              <w:autoSpaceDN w:val="0"/>
              <w:bidi w:val="0"/>
              <w:adjustRightInd w:val="0"/>
              <w:snapToGrid w:val="0"/>
              <w:ind w:firstLine="0" w:firstLineChars="0"/>
              <w:jc w:val="center"/>
              <w:textAlignment w:val="auto"/>
              <w:rPr>
                <w:rFonts w:hint="default" w:ascii="Times New Roman" w:hAnsi="Times New Roman" w:cs="Times New Roman"/>
                <w:bCs/>
                <w:szCs w:val="21"/>
              </w:rPr>
            </w:pPr>
            <w:r>
              <w:rPr>
                <w:rFonts w:hint="default" w:ascii="Times New Roman" w:hAnsi="Times New Roman" w:cs="Times New Roman"/>
                <w:bCs/>
                <w:szCs w:val="21"/>
              </w:rPr>
              <w:t>措施</w:t>
            </w:r>
          </w:p>
        </w:tc>
        <w:tc>
          <w:tcPr>
            <w:tcW w:w="8162" w:type="dxa"/>
            <w:vAlign w:val="center"/>
          </w:tcPr>
          <w:p>
            <w:pPr>
              <w:adjustRightInd w:val="0"/>
              <w:snapToGrid w:val="0"/>
              <w:rPr>
                <w:rFonts w:hint="default" w:cs="Times New Roman"/>
                <w:b/>
                <w:bCs w:val="0"/>
                <w:spacing w:val="-10"/>
                <w:szCs w:val="21"/>
                <w:lang w:val="en-US" w:eastAsia="zh-CN"/>
              </w:rPr>
            </w:pPr>
            <w:r>
              <w:rPr>
                <w:rFonts w:hint="eastAsia" w:cs="Times New Roman"/>
                <w:b/>
                <w:bCs w:val="0"/>
                <w:spacing w:val="-10"/>
                <w:szCs w:val="21"/>
                <w:lang w:val="en-US" w:eastAsia="zh-CN"/>
              </w:rPr>
              <w:t>1、运营期大气环境影响</w:t>
            </w:r>
          </w:p>
          <w:p>
            <w:pPr>
              <w:adjustRightInd w:val="0"/>
              <w:snapToGrid w:val="0"/>
              <w:rPr>
                <w:rFonts w:hint="eastAsia" w:cs="Times New Roman"/>
                <w:b/>
                <w:bCs w:val="0"/>
                <w:spacing w:val="-10"/>
                <w:szCs w:val="21"/>
                <w:lang w:val="en-US" w:eastAsia="zh-CN"/>
              </w:rPr>
            </w:pPr>
            <w:r>
              <w:rPr>
                <w:rFonts w:hint="eastAsia" w:cs="Times New Roman"/>
                <w:b/>
                <w:bCs w:val="0"/>
                <w:spacing w:val="-10"/>
                <w:szCs w:val="21"/>
                <w:lang w:val="en-US" w:eastAsia="zh-CN"/>
              </w:rPr>
              <w:t>1.1废气污染源强核算</w:t>
            </w:r>
          </w:p>
          <w:p>
            <w:pPr>
              <w:pStyle w:val="2"/>
              <w:rPr>
                <w:rFonts w:hint="eastAsia"/>
                <w:b/>
                <w:bCs w:val="0"/>
                <w:lang w:val="en-US" w:eastAsia="zh-CN"/>
              </w:rPr>
            </w:pPr>
            <w:r>
              <w:rPr>
                <w:rFonts w:hint="eastAsia"/>
                <w:b/>
                <w:bCs w:val="0"/>
                <w:lang w:val="en-US" w:eastAsia="zh-CN"/>
              </w:rPr>
              <w:t>（1）砂子、碎石装卸扬尘、堆存粉尘（G1、G2）</w:t>
            </w:r>
          </w:p>
          <w:p>
            <w:pPr>
              <w:pStyle w:val="2"/>
              <w:rPr>
                <w:rFonts w:hint="eastAsia"/>
                <w:lang w:val="en-US" w:eastAsia="zh-CN"/>
              </w:rPr>
            </w:pPr>
            <w:r>
              <w:rPr>
                <w:rFonts w:hint="eastAsia"/>
                <w:lang w:val="en-US" w:eastAsia="zh-CN"/>
              </w:rPr>
              <w:t>本项目砂子、碎石堆放在全封闭原料堆场内，因此砂子、碎石装卸、堆存过程中会产生一定的扬尘。工业企业固体物料堆存颗粒物包括装卸场尘和风蚀扬尘，根据《工业源固体物料堆场颗粒物核算系数手册》附表2，颗粒物产生量核算公式如下：</w:t>
            </w:r>
          </w:p>
          <w:p>
            <w:pPr>
              <w:pStyle w:val="2"/>
              <w:jc w:val="center"/>
              <w:rPr>
                <w:rFonts w:hint="eastAsia"/>
                <w:vertAlign w:val="superscript"/>
                <w:lang w:val="en-US" w:eastAsia="zh-CN"/>
              </w:rPr>
            </w:pPr>
            <w:r>
              <w:rPr>
                <w:rFonts w:hint="eastAsia"/>
                <w:lang w:val="en-US" w:eastAsia="zh-CN"/>
              </w:rPr>
              <w:t>P=ZC</w:t>
            </w:r>
            <w:r>
              <w:rPr>
                <w:rFonts w:hint="eastAsia"/>
                <w:vertAlign w:val="subscript"/>
                <w:lang w:val="en-US" w:eastAsia="zh-CN"/>
              </w:rPr>
              <w:t>y</w:t>
            </w:r>
            <w:r>
              <w:rPr>
                <w:rFonts w:hint="eastAsia"/>
                <w:lang w:val="en-US" w:eastAsia="zh-CN"/>
              </w:rPr>
              <w:t>+FC</w:t>
            </w:r>
            <w:r>
              <w:rPr>
                <w:rFonts w:hint="eastAsia"/>
                <w:vertAlign w:val="subscript"/>
                <w:lang w:val="en-US" w:eastAsia="zh-CN"/>
              </w:rPr>
              <w:t>y</w:t>
            </w:r>
            <w:r>
              <w:rPr>
                <w:rFonts w:hint="eastAsia"/>
                <w:lang w:val="en-US" w:eastAsia="zh-CN"/>
              </w:rPr>
              <w:t>={N</w:t>
            </w:r>
            <w:r>
              <w:rPr>
                <w:rFonts w:hint="eastAsia"/>
                <w:vertAlign w:val="subscript"/>
                <w:lang w:val="en-US" w:eastAsia="zh-CN"/>
              </w:rPr>
              <w:t>c</w:t>
            </w:r>
            <w:r>
              <w:rPr>
                <w:rFonts w:hint="eastAsia"/>
                <w:lang w:val="en-US" w:eastAsia="zh-CN"/>
              </w:rPr>
              <w:t>×D×(a/b)＋2×E</w:t>
            </w:r>
            <w:r>
              <w:rPr>
                <w:rFonts w:hint="eastAsia"/>
                <w:vertAlign w:val="subscript"/>
                <w:lang w:val="en-US" w:eastAsia="zh-CN"/>
              </w:rPr>
              <w:t>f</w:t>
            </w:r>
            <w:r>
              <w:rPr>
                <w:rFonts w:hint="eastAsia"/>
                <w:lang w:val="en-US" w:eastAsia="zh-CN"/>
              </w:rPr>
              <w:t>×S}×10</w:t>
            </w:r>
            <w:r>
              <w:rPr>
                <w:rFonts w:hint="eastAsia"/>
                <w:vertAlign w:val="superscript"/>
                <w:lang w:val="en-US" w:eastAsia="zh-CN"/>
              </w:rPr>
              <w:t>-3</w:t>
            </w:r>
          </w:p>
          <w:p>
            <w:pPr>
              <w:pStyle w:val="2"/>
              <w:rPr>
                <w:rFonts w:hint="eastAsia"/>
                <w:highlight w:val="none"/>
                <w:lang w:val="en-US" w:eastAsia="zh-CN"/>
              </w:rPr>
            </w:pPr>
            <w:r>
              <w:rPr>
                <w:rFonts w:hint="eastAsia"/>
                <w:highlight w:val="none"/>
                <w:lang w:val="en-US" w:eastAsia="zh-CN"/>
              </w:rPr>
              <w:t>式中：ZC</w:t>
            </w:r>
            <w:r>
              <w:rPr>
                <w:rFonts w:hint="eastAsia"/>
                <w:highlight w:val="none"/>
                <w:vertAlign w:val="subscript"/>
                <w:lang w:val="en-US" w:eastAsia="zh-CN"/>
              </w:rPr>
              <w:t>y</w:t>
            </w:r>
            <w:r>
              <w:rPr>
                <w:rFonts w:hint="eastAsia"/>
                <w:highlight w:val="none"/>
                <w:lang w:val="en-US" w:eastAsia="zh-CN"/>
              </w:rPr>
              <w:t>—装卸扬尘产生量，t；</w:t>
            </w:r>
          </w:p>
          <w:p>
            <w:pPr>
              <w:pStyle w:val="2"/>
              <w:rPr>
                <w:rFonts w:hint="eastAsia"/>
                <w:highlight w:val="none"/>
                <w:lang w:val="en-US" w:eastAsia="zh-CN"/>
              </w:rPr>
            </w:pPr>
            <w:r>
              <w:rPr>
                <w:rFonts w:hint="eastAsia"/>
                <w:highlight w:val="none"/>
                <w:lang w:val="en-US" w:eastAsia="zh-CN"/>
              </w:rPr>
              <w:t>FC</w:t>
            </w:r>
            <w:r>
              <w:rPr>
                <w:rFonts w:hint="eastAsia"/>
                <w:highlight w:val="none"/>
                <w:vertAlign w:val="subscript"/>
                <w:lang w:val="en-US" w:eastAsia="zh-CN"/>
              </w:rPr>
              <w:t>y</w:t>
            </w:r>
            <w:r>
              <w:rPr>
                <w:rFonts w:hint="eastAsia"/>
                <w:highlight w:val="none"/>
                <w:lang w:val="en-US" w:eastAsia="zh-CN"/>
              </w:rPr>
              <w:t>—风蚀扬尘产生量，t；</w:t>
            </w:r>
          </w:p>
          <w:p>
            <w:pPr>
              <w:pStyle w:val="2"/>
              <w:rPr>
                <w:rFonts w:hint="eastAsia"/>
                <w:highlight w:val="none"/>
                <w:lang w:val="en-US" w:eastAsia="zh-CN"/>
              </w:rPr>
            </w:pPr>
            <w:r>
              <w:rPr>
                <w:rFonts w:hint="eastAsia"/>
                <w:highlight w:val="none"/>
                <w:lang w:val="en-US" w:eastAsia="zh-CN"/>
              </w:rPr>
              <w:t>N</w:t>
            </w:r>
            <w:r>
              <w:rPr>
                <w:rFonts w:hint="eastAsia"/>
                <w:highlight w:val="none"/>
                <w:vertAlign w:val="subscript"/>
                <w:lang w:val="en-US" w:eastAsia="zh-CN"/>
              </w:rPr>
              <w:t>c</w:t>
            </w:r>
            <w:r>
              <w:rPr>
                <w:rFonts w:hint="eastAsia"/>
                <w:highlight w:val="none"/>
                <w:lang w:val="en-US" w:eastAsia="zh-CN"/>
              </w:rPr>
              <w:t>—年物料运载车次，取258660车；</w:t>
            </w:r>
          </w:p>
          <w:p>
            <w:pPr>
              <w:pStyle w:val="2"/>
              <w:rPr>
                <w:rFonts w:hint="eastAsia"/>
                <w:highlight w:val="none"/>
                <w:lang w:val="en-US" w:eastAsia="zh-CN"/>
              </w:rPr>
            </w:pPr>
            <w:r>
              <w:rPr>
                <w:rFonts w:hint="eastAsia"/>
                <w:highlight w:val="none"/>
                <w:lang w:val="en-US" w:eastAsia="zh-CN"/>
              </w:rPr>
              <w:t>D—单车平均运载量，取50t/车；</w:t>
            </w:r>
          </w:p>
          <w:p>
            <w:pPr>
              <w:pStyle w:val="2"/>
              <w:rPr>
                <w:rFonts w:hint="eastAsia"/>
                <w:highlight w:val="none"/>
                <w:lang w:val="en-US" w:eastAsia="zh-CN"/>
              </w:rPr>
            </w:pPr>
            <w:r>
              <w:rPr>
                <w:rFonts w:hint="eastAsia"/>
                <w:highlight w:val="none"/>
                <w:lang w:val="en-US" w:eastAsia="zh-CN"/>
              </w:rPr>
              <w:t>a—内蒙古风速概化系数，取0.0017；</w:t>
            </w:r>
          </w:p>
          <w:p>
            <w:pPr>
              <w:pStyle w:val="2"/>
              <w:rPr>
                <w:rFonts w:hint="eastAsia"/>
                <w:highlight w:val="none"/>
                <w:lang w:val="en-US" w:eastAsia="zh-CN"/>
              </w:rPr>
            </w:pPr>
            <w:r>
              <w:rPr>
                <w:rFonts w:hint="eastAsia"/>
                <w:highlight w:val="none"/>
                <w:lang w:val="en-US" w:eastAsia="zh-CN"/>
              </w:rPr>
              <w:t>b—物料含水率概化系数，取混合矿石0.0084；</w:t>
            </w:r>
          </w:p>
          <w:p>
            <w:pPr>
              <w:pStyle w:val="2"/>
              <w:rPr>
                <w:rFonts w:hint="eastAsia"/>
                <w:highlight w:val="none"/>
                <w:lang w:val="en-US" w:eastAsia="zh-CN"/>
              </w:rPr>
            </w:pPr>
            <w:r>
              <w:rPr>
                <w:rFonts w:hint="eastAsia"/>
                <w:highlight w:val="none"/>
                <w:lang w:val="en-US" w:eastAsia="zh-CN"/>
              </w:rPr>
              <w:t>E</w:t>
            </w:r>
            <w:r>
              <w:rPr>
                <w:rFonts w:hint="eastAsia"/>
                <w:highlight w:val="none"/>
                <w:vertAlign w:val="subscript"/>
                <w:lang w:val="en-US" w:eastAsia="zh-CN"/>
              </w:rPr>
              <w:t>f</w:t>
            </w:r>
            <w:r>
              <w:rPr>
                <w:rFonts w:hint="eastAsia"/>
                <w:highlight w:val="none"/>
                <w:lang w:val="en-US" w:eastAsia="zh-CN"/>
              </w:rPr>
              <w:t>—堆场风蚀扬尘概化系数，取混合矿石0；</w:t>
            </w:r>
          </w:p>
          <w:p>
            <w:pPr>
              <w:pStyle w:val="2"/>
              <w:rPr>
                <w:rFonts w:hint="eastAsia"/>
                <w:highlight w:val="none"/>
                <w:lang w:val="en-US" w:eastAsia="zh-CN"/>
              </w:rPr>
            </w:pPr>
            <w:r>
              <w:rPr>
                <w:rFonts w:hint="eastAsia"/>
                <w:highlight w:val="none"/>
                <w:lang w:val="en-US" w:eastAsia="zh-CN"/>
              </w:rPr>
              <w:t>S—堆场占地面积，取1000㎡。</w:t>
            </w:r>
          </w:p>
          <w:p>
            <w:pPr>
              <w:pStyle w:val="2"/>
              <w:rPr>
                <w:rFonts w:hint="eastAsia"/>
                <w:lang w:val="en-US" w:eastAsia="zh-CN"/>
              </w:rPr>
            </w:pPr>
            <w:r>
              <w:rPr>
                <w:rFonts w:hint="eastAsia"/>
                <w:lang w:val="en-US" w:eastAsia="zh-CN"/>
              </w:rPr>
              <w:t>根据以上公式计算可知原料储存及卸料扬尘颗粒物</w:t>
            </w:r>
            <w:r>
              <w:rPr>
                <w:rFonts w:hint="eastAsia"/>
                <w:highlight w:val="none"/>
                <w:lang w:val="en-US" w:eastAsia="zh-CN"/>
              </w:rPr>
              <w:t>产生量=2617.39t。</w:t>
            </w:r>
            <w:r>
              <w:rPr>
                <w:rFonts w:hint="eastAsia"/>
                <w:lang w:val="en-US" w:eastAsia="zh-CN"/>
              </w:rPr>
              <w:t>颗粒物排放量按下列公式进行核算：</w:t>
            </w:r>
          </w:p>
          <w:p>
            <w:pPr>
              <w:pStyle w:val="2"/>
              <w:jc w:val="center"/>
              <w:rPr>
                <w:rFonts w:hint="eastAsia"/>
                <w:lang w:val="en-US" w:eastAsia="zh-CN"/>
              </w:rPr>
            </w:pPr>
            <w:r>
              <w:rPr>
                <w:rFonts w:hint="eastAsia"/>
                <w:lang w:val="en-US" w:eastAsia="zh-CN"/>
              </w:rPr>
              <w:t>U</w:t>
            </w:r>
            <w:r>
              <w:rPr>
                <w:rFonts w:hint="eastAsia"/>
                <w:vertAlign w:val="subscript"/>
                <w:lang w:val="en-US" w:eastAsia="zh-CN"/>
              </w:rPr>
              <w:t>c</w:t>
            </w:r>
            <w:r>
              <w:rPr>
                <w:rFonts w:hint="eastAsia"/>
                <w:lang w:val="en-US" w:eastAsia="zh-CN"/>
              </w:rPr>
              <w:t>＝P×(1-C</w:t>
            </w:r>
            <w:r>
              <w:rPr>
                <w:rFonts w:hint="eastAsia"/>
                <w:vertAlign w:val="subscript"/>
                <w:lang w:val="en-US" w:eastAsia="zh-CN"/>
              </w:rPr>
              <w:t>m</w:t>
            </w:r>
            <w:r>
              <w:rPr>
                <w:rFonts w:hint="eastAsia"/>
                <w:lang w:val="en-US" w:eastAsia="zh-CN"/>
              </w:rPr>
              <w:t>)×(1-T</w:t>
            </w:r>
            <w:r>
              <w:rPr>
                <w:rFonts w:hint="eastAsia"/>
                <w:vertAlign w:val="subscript"/>
                <w:lang w:val="en-US" w:eastAsia="zh-CN"/>
              </w:rPr>
              <w:t>m</w:t>
            </w:r>
            <w:r>
              <w:rPr>
                <w:rFonts w:hint="eastAsia"/>
                <w:lang w:val="en-US" w:eastAsia="zh-CN"/>
              </w:rPr>
              <w:t>)</w:t>
            </w:r>
          </w:p>
          <w:p>
            <w:pPr>
              <w:pStyle w:val="2"/>
              <w:rPr>
                <w:rFonts w:hint="eastAsia"/>
                <w:highlight w:val="none"/>
                <w:lang w:val="en-US" w:eastAsia="zh-CN"/>
              </w:rPr>
            </w:pPr>
            <w:r>
              <w:rPr>
                <w:rFonts w:hint="eastAsia"/>
                <w:highlight w:val="none"/>
                <w:lang w:val="en-US" w:eastAsia="zh-CN"/>
              </w:rPr>
              <w:t>式中：U</w:t>
            </w:r>
            <w:r>
              <w:rPr>
                <w:rFonts w:hint="eastAsia"/>
                <w:highlight w:val="none"/>
                <w:vertAlign w:val="subscript"/>
                <w:lang w:val="en-US" w:eastAsia="zh-CN"/>
              </w:rPr>
              <w:t>c</w:t>
            </w:r>
            <w:r>
              <w:rPr>
                <w:rFonts w:hint="eastAsia"/>
                <w:highlight w:val="none"/>
                <w:lang w:val="en-US" w:eastAsia="zh-CN"/>
              </w:rPr>
              <w:t>—c指颗粒物排放量（单位：吨）；</w:t>
            </w:r>
          </w:p>
          <w:p>
            <w:pPr>
              <w:pStyle w:val="2"/>
              <w:rPr>
                <w:rFonts w:hint="eastAsia"/>
                <w:highlight w:val="none"/>
                <w:lang w:val="en-US" w:eastAsia="zh-CN"/>
              </w:rPr>
            </w:pPr>
            <w:r>
              <w:rPr>
                <w:rFonts w:hint="eastAsia"/>
                <w:highlight w:val="none"/>
                <w:lang w:val="en-US" w:eastAsia="zh-CN"/>
              </w:rPr>
              <w:t>P—颗粒物产生量，t；</w:t>
            </w:r>
          </w:p>
          <w:p>
            <w:pPr>
              <w:pStyle w:val="2"/>
              <w:rPr>
                <w:rFonts w:hint="eastAsia"/>
                <w:highlight w:val="none"/>
                <w:lang w:val="en-US" w:eastAsia="zh-CN"/>
              </w:rPr>
            </w:pPr>
            <w:r>
              <w:rPr>
                <w:rFonts w:hint="eastAsia"/>
                <w:highlight w:val="none"/>
                <w:lang w:val="en-US" w:eastAsia="zh-CN"/>
              </w:rPr>
              <w:t>C</w:t>
            </w:r>
            <w:r>
              <w:rPr>
                <w:rFonts w:hint="eastAsia"/>
                <w:highlight w:val="none"/>
                <w:vertAlign w:val="subscript"/>
                <w:lang w:val="en-US" w:eastAsia="zh-CN"/>
              </w:rPr>
              <w:t>m</w:t>
            </w:r>
            <w:r>
              <w:rPr>
                <w:rFonts w:hint="eastAsia"/>
                <w:highlight w:val="none"/>
                <w:lang w:val="en-US" w:eastAsia="zh-CN"/>
              </w:rPr>
              <w:t>—颗粒物控制措施控制效率，项目砂石堆放区上方设置喷淋设施，故取74%；</w:t>
            </w:r>
          </w:p>
          <w:p>
            <w:pPr>
              <w:pStyle w:val="2"/>
              <w:rPr>
                <w:rFonts w:hint="eastAsia"/>
                <w:highlight w:val="none"/>
                <w:lang w:val="en-US" w:eastAsia="zh-CN"/>
              </w:rPr>
            </w:pPr>
            <w:r>
              <w:rPr>
                <w:rFonts w:hint="eastAsia"/>
                <w:highlight w:val="none"/>
                <w:lang w:val="en-US" w:eastAsia="zh-CN"/>
              </w:rPr>
              <w:t>T</w:t>
            </w:r>
            <w:r>
              <w:rPr>
                <w:rFonts w:hint="eastAsia"/>
                <w:highlight w:val="none"/>
                <w:vertAlign w:val="subscript"/>
                <w:lang w:val="en-US" w:eastAsia="zh-CN"/>
              </w:rPr>
              <w:t>m</w:t>
            </w:r>
            <w:r>
              <w:rPr>
                <w:rFonts w:hint="eastAsia"/>
                <w:highlight w:val="none"/>
                <w:lang w:val="en-US" w:eastAsia="zh-CN"/>
              </w:rPr>
              <w:t>—堆场类型控制效率，项目砂石原料堆场采取全封闭措施，故取99%。</w:t>
            </w:r>
          </w:p>
          <w:p>
            <w:pPr>
              <w:pStyle w:val="2"/>
              <w:rPr>
                <w:rFonts w:hint="eastAsia"/>
                <w:highlight w:val="none"/>
                <w:lang w:val="en-US" w:eastAsia="zh-CN"/>
              </w:rPr>
            </w:pPr>
            <w:r>
              <w:rPr>
                <w:rFonts w:hint="eastAsia"/>
                <w:highlight w:val="none"/>
                <w:lang w:val="en-US" w:eastAsia="zh-CN"/>
              </w:rPr>
              <w:t>根据以上公式计算可知原料储存及卸料扬尘颗粒物排放量Uc=6.81t/a，以无组织形式排放。</w:t>
            </w:r>
          </w:p>
          <w:p>
            <w:pPr>
              <w:pStyle w:val="2"/>
              <w:rPr>
                <w:rFonts w:hint="default"/>
                <w:b/>
                <w:bCs/>
                <w:lang w:val="en-US" w:eastAsia="zh-CN"/>
              </w:rPr>
            </w:pPr>
            <w:r>
              <w:rPr>
                <w:rFonts w:hint="eastAsia"/>
                <w:b/>
                <w:bCs/>
                <w:lang w:val="en-US" w:eastAsia="zh-CN"/>
              </w:rPr>
              <w:t>（2）水泥、粉煤灰、矿粉筒仓输送、储存产生的粉尘（G3、G4、G5）</w:t>
            </w:r>
          </w:p>
          <w:p>
            <w:pPr>
              <w:bidi w:val="0"/>
            </w:pPr>
            <w:r>
              <w:rPr>
                <w:rFonts w:hint="eastAsia"/>
                <w:lang w:val="en-US" w:eastAsia="zh-CN"/>
              </w:rPr>
              <w:t>水泥、粉煤灰、矿粉筒仓储存排放的粉尘根据《第二次全国污染源普查工业污染源产排污系数手册》中“</w:t>
            </w:r>
            <w:r>
              <w:rPr>
                <w:rFonts w:hint="default"/>
                <w:lang w:val="en-US" w:eastAsia="zh-CN"/>
              </w:rPr>
              <w:t>3021</w:t>
            </w:r>
            <w:r>
              <w:rPr>
                <w:rFonts w:hint="eastAsia"/>
                <w:lang w:val="en-US" w:eastAsia="zh-CN"/>
              </w:rPr>
              <w:t>水泥制品制造业（含</w:t>
            </w:r>
            <w:r>
              <w:rPr>
                <w:rFonts w:hint="default"/>
                <w:lang w:val="en-US" w:eastAsia="zh-CN"/>
              </w:rPr>
              <w:t>3022</w:t>
            </w:r>
            <w:r>
              <w:rPr>
                <w:rFonts w:hint="eastAsia"/>
                <w:lang w:val="en-US" w:eastAsia="zh-CN"/>
              </w:rPr>
              <w:t>砼结构构件制造、</w:t>
            </w:r>
            <w:r>
              <w:rPr>
                <w:rFonts w:hint="default"/>
                <w:lang w:val="en-US" w:eastAsia="zh-CN"/>
              </w:rPr>
              <w:t>3029</w:t>
            </w:r>
            <w:r>
              <w:rPr>
                <w:rFonts w:hint="eastAsia"/>
                <w:lang w:val="en-US" w:eastAsia="zh-CN"/>
              </w:rPr>
              <w:t>其他水泥类似制品制造）”混凝土制品物料输送储存工业废气量（工艺）的产污系数为</w:t>
            </w:r>
            <w:r>
              <w:rPr>
                <w:rFonts w:hint="default"/>
                <w:lang w:val="en-US" w:eastAsia="zh-CN"/>
              </w:rPr>
              <w:t>20N</w:t>
            </w:r>
            <w:r>
              <w:rPr>
                <w:rFonts w:hint="eastAsia"/>
                <w:lang w:val="en-US" w:eastAsia="zh-CN"/>
              </w:rPr>
              <w:t>m³</w:t>
            </w:r>
            <w:r>
              <w:rPr>
                <w:rFonts w:hint="default"/>
                <w:lang w:val="en-US" w:eastAsia="zh-CN"/>
              </w:rPr>
              <w:t>/t-</w:t>
            </w:r>
            <w:r>
              <w:rPr>
                <w:rFonts w:hint="eastAsia"/>
                <w:lang w:val="en-US" w:eastAsia="zh-CN"/>
              </w:rPr>
              <w:t>产品，颗粒物的产污系数为</w:t>
            </w:r>
            <w:r>
              <w:rPr>
                <w:rFonts w:hint="default"/>
                <w:lang w:val="en-US" w:eastAsia="zh-CN"/>
              </w:rPr>
              <w:t>0.13kg/t-</w:t>
            </w:r>
            <w:r>
              <w:rPr>
                <w:rFonts w:hint="eastAsia"/>
                <w:lang w:val="en-US" w:eastAsia="zh-CN"/>
              </w:rPr>
              <w:t>产品，则本项目的工业废气量为20</w:t>
            </w:r>
            <w:r>
              <w:rPr>
                <w:rFonts w:hint="default"/>
                <w:lang w:val="en-US" w:eastAsia="zh-CN"/>
              </w:rPr>
              <w:t>N</w:t>
            </w:r>
            <w:r>
              <w:rPr>
                <w:rFonts w:hint="eastAsia"/>
                <w:lang w:val="en-US" w:eastAsia="zh-CN"/>
              </w:rPr>
              <w:t>m³</w:t>
            </w:r>
            <w:r>
              <w:rPr>
                <w:rFonts w:hint="default"/>
                <w:lang w:val="en-US" w:eastAsia="zh-CN"/>
              </w:rPr>
              <w:t>/t</w:t>
            </w:r>
            <w:r>
              <w:rPr>
                <w:rFonts w:hint="eastAsia"/>
                <w:lang w:val="en-US" w:eastAsia="zh-CN"/>
              </w:rPr>
              <w:t>×486万t/a</w:t>
            </w:r>
            <w:r>
              <w:rPr>
                <w:rFonts w:hint="default"/>
                <w:lang w:val="en-US" w:eastAsia="zh-CN"/>
              </w:rPr>
              <w:t>=</w:t>
            </w:r>
            <w:r>
              <w:rPr>
                <w:rFonts w:hint="eastAsia"/>
                <w:lang w:val="en-US" w:eastAsia="zh-CN"/>
              </w:rPr>
              <w:t>9720×10</w:t>
            </w:r>
            <w:r>
              <w:rPr>
                <w:rFonts w:hint="eastAsia"/>
                <w:vertAlign w:val="superscript"/>
                <w:lang w:val="en-US" w:eastAsia="zh-CN"/>
              </w:rPr>
              <w:t>4</w:t>
            </w:r>
            <w:r>
              <w:rPr>
                <w:rFonts w:hint="default"/>
                <w:lang w:val="en-US" w:eastAsia="zh-CN"/>
              </w:rPr>
              <w:t>N</w:t>
            </w:r>
            <w:r>
              <w:rPr>
                <w:rFonts w:hint="eastAsia"/>
                <w:lang w:val="en-US" w:eastAsia="zh-CN"/>
              </w:rPr>
              <w:t>m³/a。本项目在原料输运、储存工序产生的粉尘采用袋式除尘器进行除尘，袋式除尘器的除尘效率为</w:t>
            </w:r>
            <w:r>
              <w:rPr>
                <w:rFonts w:hint="default"/>
                <w:lang w:val="en-US" w:eastAsia="zh-CN"/>
              </w:rPr>
              <w:t>99.7%</w:t>
            </w:r>
            <w:r>
              <w:rPr>
                <w:rFonts w:hint="eastAsia"/>
                <w:lang w:val="en-US" w:eastAsia="zh-CN"/>
              </w:rPr>
              <w:t>，则项目原料输运、储存工序产生的粉尘量见表</w:t>
            </w:r>
            <w:r>
              <w:rPr>
                <w:rFonts w:hint="default"/>
                <w:lang w:val="en-US" w:eastAsia="zh-CN"/>
              </w:rPr>
              <w:t>4-1</w:t>
            </w:r>
            <w:r>
              <w:rPr>
                <w:rFonts w:hint="eastAsia"/>
                <w:lang w:val="en-US" w:eastAsia="zh-CN"/>
              </w:rPr>
              <w:t>。</w:t>
            </w:r>
          </w:p>
          <w:p>
            <w:pPr>
              <w:pStyle w:val="2"/>
              <w:ind w:left="0" w:leftChars="0" w:firstLine="0" w:firstLineChars="0"/>
              <w:jc w:val="center"/>
              <w:rPr>
                <w:rFonts w:hint="default"/>
                <w:b/>
                <w:bCs/>
                <w:vertAlign w:val="baseline"/>
                <w:lang w:val="en-US" w:eastAsia="zh-CN"/>
              </w:rPr>
            </w:pPr>
            <w:r>
              <w:rPr>
                <w:rFonts w:hint="eastAsia"/>
                <w:b/>
                <w:bCs/>
                <w:lang w:val="en-US" w:eastAsia="zh-CN"/>
              </w:rPr>
              <w:t>表4-1水泥、矿粉、粉煤灰筒仓储存粉尘产生及排放情况</w:t>
            </w:r>
          </w:p>
          <w:tbl>
            <w:tblPr>
              <w:tblStyle w:val="10"/>
              <w:tblW w:w="7936" w:type="dxa"/>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802"/>
              <w:gridCol w:w="849"/>
              <w:gridCol w:w="802"/>
              <w:gridCol w:w="874"/>
              <w:gridCol w:w="714"/>
              <w:gridCol w:w="786"/>
              <w:gridCol w:w="786"/>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6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污染源</w:t>
                  </w:r>
                </w:p>
              </w:tc>
              <w:tc>
                <w:tcPr>
                  <w:tcW w:w="80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主要污染物</w:t>
                  </w:r>
                </w:p>
              </w:tc>
              <w:tc>
                <w:tcPr>
                  <w:tcW w:w="84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产品量</w:t>
                  </w:r>
                </w:p>
              </w:tc>
              <w:tc>
                <w:tcPr>
                  <w:tcW w:w="80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产污系数</w:t>
                  </w:r>
                </w:p>
              </w:tc>
              <w:tc>
                <w:tcPr>
                  <w:tcW w:w="87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产生量</w:t>
                  </w:r>
                </w:p>
              </w:tc>
              <w:tc>
                <w:tcPr>
                  <w:tcW w:w="71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除尘效率</w:t>
                  </w:r>
                </w:p>
              </w:tc>
              <w:tc>
                <w:tcPr>
                  <w:tcW w:w="7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防治措施</w:t>
                  </w:r>
                </w:p>
              </w:tc>
              <w:tc>
                <w:tcPr>
                  <w:tcW w:w="7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排放量</w:t>
                  </w:r>
                </w:p>
              </w:tc>
              <w:tc>
                <w:tcPr>
                  <w:tcW w:w="135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排放浓度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6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水泥筒仓废气</w:t>
                  </w:r>
                </w:p>
              </w:tc>
              <w:tc>
                <w:tcPr>
                  <w:tcW w:w="80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颗粒物</w:t>
                  </w:r>
                </w:p>
              </w:tc>
              <w:tc>
                <w:tcPr>
                  <w:tcW w:w="84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vertAlign w:val="baseline"/>
                      <w:lang w:val="en-US" w:eastAsia="zh-CN"/>
                    </w:rPr>
                    <w:t>90万t/a</w:t>
                  </w:r>
                </w:p>
              </w:tc>
              <w:tc>
                <w:tcPr>
                  <w:tcW w:w="802"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0.13kg/t-产品</w:t>
                  </w:r>
                </w:p>
              </w:tc>
              <w:tc>
                <w:tcPr>
                  <w:tcW w:w="87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117t/a</w:t>
                  </w:r>
                </w:p>
              </w:tc>
              <w:tc>
                <w:tcPr>
                  <w:tcW w:w="714"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99.7%</w:t>
                  </w:r>
                </w:p>
              </w:tc>
              <w:tc>
                <w:tcPr>
                  <w:tcW w:w="786"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全封闭筒仓+自带袋式除尘器</w:t>
                  </w:r>
                </w:p>
              </w:tc>
              <w:tc>
                <w:tcPr>
                  <w:tcW w:w="7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0.35t/a</w:t>
                  </w:r>
                </w:p>
              </w:tc>
              <w:tc>
                <w:tcPr>
                  <w:tcW w:w="135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3.60mg/m³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6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矿粉筒仓废气</w:t>
                  </w:r>
                </w:p>
              </w:tc>
              <w:tc>
                <w:tcPr>
                  <w:tcW w:w="80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颗粒物</w:t>
                  </w:r>
                </w:p>
              </w:tc>
              <w:tc>
                <w:tcPr>
                  <w:tcW w:w="84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28.8万t/a</w:t>
                  </w:r>
                </w:p>
              </w:tc>
              <w:tc>
                <w:tcPr>
                  <w:tcW w:w="802"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p>
              </w:tc>
              <w:tc>
                <w:tcPr>
                  <w:tcW w:w="87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37.44t/a</w:t>
                  </w:r>
                </w:p>
              </w:tc>
              <w:tc>
                <w:tcPr>
                  <w:tcW w:w="71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p>
              </w:tc>
              <w:tc>
                <w:tcPr>
                  <w:tcW w:w="78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p>
              </w:tc>
              <w:tc>
                <w:tcPr>
                  <w:tcW w:w="7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0.11t/a</w:t>
                  </w:r>
                </w:p>
              </w:tc>
              <w:tc>
                <w:tcPr>
                  <w:tcW w:w="135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1.13mg/m³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6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粉煤灰筒仓废气</w:t>
                  </w:r>
                </w:p>
              </w:tc>
              <w:tc>
                <w:tcPr>
                  <w:tcW w:w="80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颗粒物</w:t>
                  </w:r>
                </w:p>
              </w:tc>
              <w:tc>
                <w:tcPr>
                  <w:tcW w:w="84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36万t/a</w:t>
                  </w:r>
                </w:p>
              </w:tc>
              <w:tc>
                <w:tcPr>
                  <w:tcW w:w="802"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p>
              </w:tc>
              <w:tc>
                <w:tcPr>
                  <w:tcW w:w="874"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46.8t/a</w:t>
                  </w:r>
                </w:p>
              </w:tc>
              <w:tc>
                <w:tcPr>
                  <w:tcW w:w="714"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p>
              </w:tc>
              <w:tc>
                <w:tcPr>
                  <w:tcW w:w="78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p>
              </w:tc>
              <w:tc>
                <w:tcPr>
                  <w:tcW w:w="7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0.14t/a</w:t>
                  </w:r>
                </w:p>
              </w:tc>
              <w:tc>
                <w:tcPr>
                  <w:tcW w:w="135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lang w:val="en-US" w:eastAsia="zh-CN"/>
                    </w:rPr>
                  </w:pPr>
                  <w:r>
                    <w:rPr>
                      <w:rFonts w:hint="eastAsia"/>
                      <w:lang w:val="en-US" w:eastAsia="zh-CN"/>
                    </w:rPr>
                    <w:t>1.44mg/m³</w:t>
                  </w:r>
                </w:p>
              </w:tc>
            </w:tr>
          </w:tbl>
          <w:p>
            <w:pPr>
              <w:bidi w:val="0"/>
              <w:rPr>
                <w:rFonts w:hint="default"/>
                <w:highlight w:val="none"/>
                <w:lang w:val="en-US" w:eastAsia="zh-CN"/>
              </w:rPr>
            </w:pPr>
            <w:r>
              <w:rPr>
                <w:rFonts w:hint="default"/>
                <w:lang w:val="en-US" w:eastAsia="zh-CN"/>
              </w:rPr>
              <w:t>由上表可知，项目在水泥、矿粉、粉煤灰输运、</w:t>
            </w:r>
            <w:r>
              <w:rPr>
                <w:rFonts w:hint="eastAsia"/>
                <w:lang w:val="en-US" w:eastAsia="zh-CN"/>
              </w:rPr>
              <w:t>储存</w:t>
            </w:r>
            <w:r>
              <w:rPr>
                <w:rFonts w:hint="default"/>
                <w:lang w:val="en-US" w:eastAsia="zh-CN"/>
              </w:rPr>
              <w:t>工序产生的粉尘经</w:t>
            </w:r>
            <w:r>
              <w:rPr>
                <w:rFonts w:hint="eastAsia"/>
                <w:lang w:val="en-US" w:eastAsia="zh-CN"/>
              </w:rPr>
              <w:t>袋式</w:t>
            </w:r>
            <w:r>
              <w:rPr>
                <w:rFonts w:hint="default"/>
                <w:lang w:val="en-US" w:eastAsia="zh-CN"/>
              </w:rPr>
              <w:t>除尘器除尘（筒仓自带）处理后，水泥筒仓粉尘的排放量为0.</w:t>
            </w:r>
            <w:r>
              <w:rPr>
                <w:rFonts w:hint="eastAsia"/>
                <w:lang w:val="en-US" w:eastAsia="zh-CN"/>
              </w:rPr>
              <w:t>35</w:t>
            </w:r>
            <w:r>
              <w:rPr>
                <w:rFonts w:hint="default"/>
                <w:lang w:val="en-US" w:eastAsia="zh-CN"/>
              </w:rPr>
              <w:t>t</w:t>
            </w:r>
            <w:r>
              <w:rPr>
                <w:rFonts w:hint="eastAsia"/>
                <w:lang w:val="en-US" w:eastAsia="zh-CN"/>
              </w:rPr>
              <w:t>/a</w:t>
            </w:r>
            <w:r>
              <w:rPr>
                <w:rFonts w:hint="default"/>
                <w:lang w:val="en-US" w:eastAsia="zh-CN"/>
              </w:rPr>
              <w:t>，</w:t>
            </w:r>
            <w:r>
              <w:rPr>
                <w:rFonts w:hint="eastAsia"/>
                <w:lang w:val="en-US" w:eastAsia="zh-CN"/>
              </w:rPr>
              <w:t>排放浓度为3.60mg/m³；矿粉</w:t>
            </w:r>
            <w:r>
              <w:rPr>
                <w:rFonts w:hint="default"/>
                <w:lang w:val="en-US" w:eastAsia="zh-CN"/>
              </w:rPr>
              <w:t>筒仓粉尘的排放量为</w:t>
            </w:r>
            <w:r>
              <w:rPr>
                <w:rFonts w:hint="eastAsia"/>
                <w:lang w:val="en-US" w:eastAsia="zh-CN"/>
              </w:rPr>
              <w:t>0.11t/a</w:t>
            </w:r>
            <w:r>
              <w:rPr>
                <w:rFonts w:hint="default"/>
                <w:lang w:val="en-US" w:eastAsia="zh-CN"/>
              </w:rPr>
              <w:t>，</w:t>
            </w:r>
            <w:r>
              <w:rPr>
                <w:rFonts w:hint="eastAsia"/>
                <w:lang w:val="en-US" w:eastAsia="zh-CN"/>
              </w:rPr>
              <w:t>排放浓度为1.13mg/m³；粉煤灰</w:t>
            </w:r>
            <w:r>
              <w:rPr>
                <w:rFonts w:hint="default"/>
                <w:lang w:val="en-US" w:eastAsia="zh-CN"/>
              </w:rPr>
              <w:t>粉粉尘的排放量为</w:t>
            </w:r>
            <w:r>
              <w:rPr>
                <w:rFonts w:hint="eastAsia"/>
                <w:lang w:val="en-US" w:eastAsia="zh-CN"/>
              </w:rPr>
              <w:t>0.14t/a</w:t>
            </w:r>
            <w:r>
              <w:rPr>
                <w:rFonts w:hint="default"/>
                <w:lang w:val="en-US" w:eastAsia="zh-CN"/>
              </w:rPr>
              <w:t>，</w:t>
            </w:r>
            <w:r>
              <w:rPr>
                <w:rFonts w:hint="eastAsia"/>
                <w:lang w:val="en-US" w:eastAsia="zh-CN"/>
              </w:rPr>
              <w:t>排放浓度为1.44mg/m³</w:t>
            </w:r>
            <w:r>
              <w:rPr>
                <w:rFonts w:hint="eastAsia"/>
                <w:highlight w:val="none"/>
                <w:lang w:val="en-US" w:eastAsia="zh-CN"/>
              </w:rPr>
              <w:t>，</w:t>
            </w:r>
            <w:r>
              <w:rPr>
                <w:rFonts w:hint="default"/>
                <w:highlight w:val="none"/>
                <w:lang w:val="en-US" w:eastAsia="zh-CN"/>
              </w:rPr>
              <w:t>满足《水泥工业大气污染物排放标准》（GB4915-2013）表</w:t>
            </w:r>
            <w:r>
              <w:rPr>
                <w:rFonts w:hint="eastAsia"/>
                <w:highlight w:val="none"/>
                <w:lang w:val="en-US" w:eastAsia="zh-CN"/>
              </w:rPr>
              <w:t>1</w:t>
            </w:r>
            <w:r>
              <w:rPr>
                <w:rFonts w:hint="default"/>
                <w:highlight w:val="none"/>
                <w:lang w:val="en-US" w:eastAsia="zh-CN"/>
              </w:rPr>
              <w:t>排放限值要求（</w:t>
            </w:r>
            <w:r>
              <w:rPr>
                <w:rFonts w:hint="eastAsia"/>
                <w:highlight w:val="none"/>
                <w:lang w:val="en-US" w:eastAsia="zh-CN"/>
              </w:rPr>
              <w:t>20</w:t>
            </w:r>
            <w:r>
              <w:rPr>
                <w:rFonts w:hint="default"/>
                <w:highlight w:val="none"/>
                <w:lang w:val="en-US" w:eastAsia="zh-CN"/>
              </w:rPr>
              <w:t>mg/m³）。</w:t>
            </w:r>
          </w:p>
          <w:p>
            <w:pPr>
              <w:pStyle w:val="2"/>
              <w:rPr>
                <w:rFonts w:hint="eastAsia"/>
                <w:b/>
                <w:bCs/>
                <w:lang w:val="en-US" w:eastAsia="zh-CN"/>
              </w:rPr>
            </w:pPr>
            <w:r>
              <w:rPr>
                <w:rFonts w:hint="eastAsia"/>
                <w:b/>
                <w:bCs/>
                <w:lang w:val="en-US" w:eastAsia="zh-CN"/>
              </w:rPr>
              <w:t>（3）物料搅拌混合废气（G6）</w:t>
            </w:r>
          </w:p>
          <w:p>
            <w:pPr>
              <w:pStyle w:val="2"/>
              <w:rPr>
                <w:rFonts w:hint="eastAsia"/>
                <w:lang w:val="en-US" w:eastAsia="zh-CN"/>
              </w:rPr>
            </w:pPr>
            <w:r>
              <w:rPr>
                <w:rFonts w:hint="eastAsia"/>
                <w:lang w:val="en-US" w:eastAsia="zh-CN"/>
              </w:rPr>
              <w:t>根据《排放源统计调查产排污核算方法和系数手册3021水泥制品制造（含2033砼结构构件制造、3029其他水泥类似制品制造）行业系数手册》中“混凝土制品”物料混合搅拌过程中工业废气量（工艺）的产污系数为25Nm³/t-产品，颗粒物的产污系数为0.166kg/t-产品。项目输送带全封</w:t>
            </w:r>
            <w:r>
              <w:rPr>
                <w:rFonts w:hint="eastAsia"/>
                <w:highlight w:val="none"/>
                <w:lang w:val="en-US" w:eastAsia="zh-CN"/>
              </w:rPr>
              <w:t>闭，搅拌主机位于全封闭生产厂房内，输送带和搅拌主机之间用帆布软连接，搅拌机配有袋式除尘器</w:t>
            </w:r>
            <w:r>
              <w:rPr>
                <w:rFonts w:hint="eastAsia"/>
                <w:lang w:val="en-US" w:eastAsia="zh-CN"/>
              </w:rPr>
              <w:t>，除尘器直接安装在缓存斗盖上，缓存斗盖与搅拌机为封闭状态，经除尘后直接通过排气口排放，除尘效率为99.7%，年生产混凝土360万m³，约为486万t/a，废气量为12150×10</w:t>
            </w:r>
            <w:r>
              <w:rPr>
                <w:rFonts w:hint="eastAsia"/>
                <w:vertAlign w:val="superscript"/>
                <w:lang w:val="en-US" w:eastAsia="zh-CN"/>
              </w:rPr>
              <w:t>4</w:t>
            </w:r>
            <w:r>
              <w:rPr>
                <w:rFonts w:hint="eastAsia"/>
                <w:lang w:val="en-US" w:eastAsia="zh-CN"/>
              </w:rPr>
              <w:t>Nm³/a，颗粒物产生量为811.74t/a，经计算物料混合搅拌粉尘经袋式除尘器处理后经15m高排气筒排放，排放量为0.28t/a，排放浓度为2.30mg/m³，满足满足《水泥工业大气污染物排放标准》（GB4915-2013）表1排放限值要求（20mg/m³）。</w:t>
            </w:r>
          </w:p>
          <w:p>
            <w:pPr>
              <w:bidi w:val="0"/>
              <w:rPr>
                <w:b/>
                <w:bCs/>
              </w:rPr>
            </w:pPr>
            <w:r>
              <w:rPr>
                <w:rFonts w:hint="eastAsia"/>
                <w:b/>
                <w:bCs/>
              </w:rPr>
              <w:t>（</w:t>
            </w:r>
            <w:r>
              <w:rPr>
                <w:b/>
                <w:bCs/>
              </w:rPr>
              <w:t>4</w:t>
            </w:r>
            <w:r>
              <w:rPr>
                <w:rFonts w:hint="eastAsia"/>
                <w:b/>
                <w:bCs/>
              </w:rPr>
              <w:t>）运输车辆动力起尘</w:t>
            </w:r>
          </w:p>
          <w:p>
            <w:pPr>
              <w:bidi w:val="0"/>
              <w:rPr>
                <w:highlight w:val="yellow"/>
              </w:rPr>
            </w:pPr>
            <w:r>
              <w:rPr>
                <w:highlight w:val="none"/>
              </w:rPr>
              <w:t>本项目运输采用汽运，因此在运输过程中会产生一定量的运输扬尘</w:t>
            </w:r>
            <w:r>
              <w:rPr>
                <w:rFonts w:hint="eastAsia"/>
                <w:highlight w:val="none"/>
              </w:rPr>
              <w:t>。</w:t>
            </w:r>
            <w:r>
              <w:rPr>
                <w:highlight w:val="none"/>
              </w:rPr>
              <w:t>厂区道路</w:t>
            </w:r>
            <w:r>
              <w:rPr>
                <w:rFonts w:hint="eastAsia"/>
                <w:highlight w:val="none"/>
              </w:rPr>
              <w:t>、停车场及其他地面实施</w:t>
            </w:r>
            <w:r>
              <w:rPr>
                <w:highlight w:val="none"/>
              </w:rPr>
              <w:t>硬化</w:t>
            </w:r>
            <w:r>
              <w:rPr>
                <w:rFonts w:hint="eastAsia"/>
                <w:highlight w:val="none"/>
              </w:rPr>
              <w:t>措施，</w:t>
            </w:r>
            <w:r>
              <w:rPr>
                <w:highlight w:val="none"/>
              </w:rPr>
              <w:t>定时洒水</w:t>
            </w:r>
            <w:r>
              <w:rPr>
                <w:rFonts w:hint="eastAsia"/>
                <w:highlight w:val="none"/>
              </w:rPr>
              <w:t>；</w:t>
            </w:r>
            <w:r>
              <w:rPr>
                <w:highlight w:val="none"/>
              </w:rPr>
              <w:t>厂区</w:t>
            </w:r>
            <w:r>
              <w:rPr>
                <w:rFonts w:hint="eastAsia"/>
                <w:highlight w:val="none"/>
              </w:rPr>
              <w:t>配备高压水枪设备对驶出车辆进行冲洗清洁；厂区有保洁人员及时对散落的物料进行清扫收集，</w:t>
            </w:r>
            <w:r>
              <w:rPr>
                <w:highlight w:val="none"/>
              </w:rPr>
              <w:t>可有效减少运输扬尘的产生。</w:t>
            </w:r>
          </w:p>
          <w:p>
            <w:pPr>
              <w:pStyle w:val="2"/>
              <w:rPr>
                <w:rFonts w:hint="default"/>
                <w:b/>
                <w:bCs/>
                <w:lang w:val="en-US" w:eastAsia="zh-CN"/>
              </w:rPr>
            </w:pPr>
            <w:r>
              <w:rPr>
                <w:rFonts w:hint="default"/>
                <w:b/>
                <w:bCs/>
                <w:lang w:val="en-US" w:eastAsia="zh-CN"/>
              </w:rPr>
              <w:t>1.2废气达标排放分析</w:t>
            </w:r>
          </w:p>
          <w:p>
            <w:pPr>
              <w:pStyle w:val="2"/>
              <w:rPr>
                <w:rFonts w:hint="default"/>
                <w:lang w:val="en-US" w:eastAsia="zh-CN"/>
              </w:rPr>
            </w:pPr>
            <w:r>
              <w:rPr>
                <w:rFonts w:hint="default"/>
                <w:lang w:val="en-US" w:eastAsia="zh-CN"/>
              </w:rPr>
              <w:t>根据上述源强分析，本项目有组织废气主要为水泥筒仓、粉煤灰筒仓</w:t>
            </w:r>
            <w:r>
              <w:rPr>
                <w:rFonts w:hint="eastAsia"/>
                <w:lang w:val="en-US" w:eastAsia="zh-CN"/>
              </w:rPr>
              <w:t>、矿粉筒仓</w:t>
            </w:r>
            <w:r>
              <w:rPr>
                <w:rFonts w:hint="default"/>
                <w:lang w:val="en-US" w:eastAsia="zh-CN"/>
              </w:rPr>
              <w:t>粉尘，经</w:t>
            </w:r>
            <w:r>
              <w:rPr>
                <w:rFonts w:hint="eastAsia"/>
                <w:lang w:val="en-US" w:eastAsia="zh-CN"/>
              </w:rPr>
              <w:t>袋式</w:t>
            </w:r>
            <w:r>
              <w:rPr>
                <w:rFonts w:hint="default"/>
                <w:lang w:val="en-US" w:eastAsia="zh-CN"/>
              </w:rPr>
              <w:t>除尘器及各筒仓顶滤芯除尘器等处理后</w:t>
            </w:r>
            <w:r>
              <w:rPr>
                <w:rFonts w:hint="default"/>
                <w:highlight w:val="none"/>
                <w:lang w:val="en-US" w:eastAsia="zh-CN"/>
              </w:rPr>
              <w:t>排放，满足《水泥工业大气污染物排放标准》（GB4915-2013）表1现有与新建企业大气污染物排放限值</w:t>
            </w:r>
            <w:r>
              <w:rPr>
                <w:rFonts w:hint="default"/>
                <w:lang w:val="en-US" w:eastAsia="zh-CN"/>
              </w:rPr>
              <w:t>；主要无组织废气为原料储存装卸粉尘，砂石配料、输送过程扬尘，搅拌机入料口产生的粉尘以及运输车辆扬尘等，采用全封闭储料棚、</w:t>
            </w:r>
            <w:r>
              <w:rPr>
                <w:rFonts w:hint="eastAsia"/>
                <w:lang w:val="en-US" w:eastAsia="zh-CN"/>
              </w:rPr>
              <w:t>袋式</w:t>
            </w:r>
            <w:r>
              <w:rPr>
                <w:rFonts w:hint="default"/>
                <w:lang w:val="en-US" w:eastAsia="zh-CN"/>
              </w:rPr>
              <w:t>除尘器、</w:t>
            </w:r>
            <w:r>
              <w:rPr>
                <w:rFonts w:hint="default"/>
                <w:highlight w:val="none"/>
                <w:lang w:val="en-US" w:eastAsia="zh-CN"/>
              </w:rPr>
              <w:t>喷淋洒水抑尘措施处理</w:t>
            </w:r>
            <w:r>
              <w:rPr>
                <w:rFonts w:hint="default"/>
                <w:lang w:val="en-US" w:eastAsia="zh-CN"/>
              </w:rPr>
              <w:t>后排放，满足《水泥工业大气污染物排放标准》（GB4915-2013）表3大气污染物无组织排放限值。</w:t>
            </w:r>
          </w:p>
          <w:p>
            <w:pPr>
              <w:pStyle w:val="2"/>
              <w:rPr>
                <w:rFonts w:hint="default"/>
                <w:b/>
                <w:bCs/>
                <w:lang w:val="en-US" w:eastAsia="zh-CN"/>
              </w:rPr>
            </w:pPr>
            <w:r>
              <w:rPr>
                <w:rFonts w:hint="default"/>
                <w:b/>
                <w:bCs/>
                <w:lang w:val="en-US" w:eastAsia="zh-CN"/>
              </w:rPr>
              <w:t>1.3废气污染防治措施可行性</w:t>
            </w:r>
          </w:p>
          <w:p>
            <w:pPr>
              <w:pStyle w:val="2"/>
              <w:rPr>
                <w:rFonts w:hint="default" w:ascii="Times New Roman" w:hAnsi="Times New Roman" w:eastAsia="宋体" w:cs="Times New Roman"/>
                <w:highlight w:val="none"/>
                <w:lang w:val="en-US" w:eastAsia="zh-CN"/>
              </w:rPr>
            </w:pPr>
            <w:r>
              <w:rPr>
                <w:rFonts w:hint="default"/>
                <w:lang w:val="en-US" w:eastAsia="zh-CN"/>
              </w:rPr>
              <w:t>根据</w:t>
            </w:r>
            <w:r>
              <w:rPr>
                <w:rFonts w:hint="default"/>
                <w:highlight w:val="none"/>
                <w:lang w:val="en-US" w:eastAsia="zh-CN"/>
              </w:rPr>
              <w:t>上述源强分析结果可知，本项目有组织废气主要为水泥筒仓、粉煤灰筒仓</w:t>
            </w:r>
            <w:r>
              <w:rPr>
                <w:rFonts w:hint="eastAsia"/>
                <w:highlight w:val="none"/>
                <w:lang w:val="en-US" w:eastAsia="zh-CN"/>
              </w:rPr>
              <w:t>、矿粉筒仓</w:t>
            </w:r>
            <w:r>
              <w:rPr>
                <w:rFonts w:hint="default"/>
                <w:highlight w:val="none"/>
                <w:lang w:val="en-US" w:eastAsia="zh-CN"/>
              </w:rPr>
              <w:t>粉尘，经</w:t>
            </w:r>
            <w:r>
              <w:rPr>
                <w:rFonts w:hint="eastAsia"/>
                <w:highlight w:val="none"/>
                <w:lang w:val="en-US" w:eastAsia="zh-CN"/>
              </w:rPr>
              <w:t>袋式</w:t>
            </w:r>
            <w:r>
              <w:rPr>
                <w:rFonts w:hint="default"/>
                <w:highlight w:val="none"/>
                <w:lang w:val="en-US" w:eastAsia="zh-CN"/>
              </w:rPr>
              <w:t>除尘器及各筒仓顶滤芯除尘器等处理后排放，满足《水泥工业大气污染物排放标准》（GB4915-2013）</w:t>
            </w:r>
            <w:r>
              <w:rPr>
                <w:rFonts w:hint="eastAsia"/>
                <w:lang w:val="en-US" w:eastAsia="zh-CN"/>
              </w:rPr>
              <w:t>表1现有与新建企业大气污染物排放限值</w:t>
            </w:r>
            <w:r>
              <w:rPr>
                <w:rFonts w:hint="default" w:ascii="Times New Roman" w:hAnsi="Times New Roman" w:eastAsia="宋体" w:cs="Times New Roman"/>
                <w:highlight w:val="none"/>
                <w:lang w:val="en-US" w:eastAsia="zh-CN"/>
              </w:rPr>
              <w:t>。</w:t>
            </w:r>
          </w:p>
          <w:p>
            <w:pPr>
              <w:pStyle w:val="2"/>
              <w:rPr>
                <w:rFonts w:hint="default"/>
                <w:lang w:val="en-US" w:eastAsia="zh-CN"/>
              </w:rPr>
            </w:pPr>
            <w:r>
              <w:rPr>
                <w:rFonts w:hint="eastAsia"/>
                <w:lang w:val="en-US" w:eastAsia="zh-CN"/>
              </w:rPr>
              <w:t>袋式</w:t>
            </w:r>
            <w:r>
              <w:rPr>
                <w:rFonts w:hint="default"/>
                <w:lang w:val="en-US" w:eastAsia="zh-CN"/>
              </w:rPr>
              <w:t>除尘器是具有先进水平的高效袋式除尘设备，是一种处理风量大、清灰效果好、除尘效率高、运行可靠、维护方便、占地面积小的除尘设备。工作原理：含尘气体从除尘器的进风均流管进入各分室灰斗，并在灰斗导流装置的导流下，大颗粒的粉尘被分离，直接落入灰斗，而较细粉尘均匀地进入中部箱体而吸附在滤袋的外表面上，干净气体透过滤袋进入上箱体，并经各离线阀和排风管排入大气。随着过滤工况的进行，滤袋上的粉尘越积越多，当设备阻力达到限定的阻力值（一般设定为1500Pa）时，由清灰控制装置按差压设定值或清灰时间设定值自动关闭一室离线阀后，按设定程序打开电控脉冲阀，进行停风喷吹，利用压缩空气瞬间喷吹使滤袋内压力聚增，将滤袋上的粉尘进行抖落（即使粘细粉尘亦能较彻底地清灰）至灰斗中，由排灰机构排出。本项目在不同的产尘点设置不同型号的袋式除尘设施，对于仓顶则通过增加过滤面积及滤芯数量，保证除尘效率在99%~99.</w:t>
            </w:r>
            <w:r>
              <w:rPr>
                <w:rFonts w:hint="eastAsia"/>
                <w:lang w:val="en-US" w:eastAsia="zh-CN"/>
              </w:rPr>
              <w:t>7</w:t>
            </w:r>
            <w:r>
              <w:rPr>
                <w:rFonts w:hint="default"/>
                <w:lang w:val="en-US" w:eastAsia="zh-CN"/>
              </w:rPr>
              <w:t>%之间。此除尘措施是目前混凝土制品行业常见的废气处理方式，工艺成熟，经济可行。</w:t>
            </w:r>
          </w:p>
          <w:p>
            <w:pPr>
              <w:pStyle w:val="2"/>
              <w:rPr>
                <w:rFonts w:hint="default"/>
                <w:highlight w:val="none"/>
                <w:lang w:val="en-US" w:eastAsia="zh-CN"/>
              </w:rPr>
            </w:pPr>
            <w:r>
              <w:rPr>
                <w:rFonts w:hint="default"/>
                <w:highlight w:val="none"/>
                <w:lang w:val="en-US" w:eastAsia="zh-CN"/>
              </w:rPr>
              <w:t>根据《大气可吸入颗粒物一次源排放清单编制技术指南（试行）》等5项技术指南的公告（公告2014年第92号）中《扬尘源颗粒物排放清单编制技术指南》中表12堆场操作扬尘控制措施的控制效率中“建筑料堆的三边用孔隙率50%的围挡遮围的TSP的控制效率为90%”。本项目采用全封闭储棚+洒水抑尘措施对TSP的控制效率应大于90%，保守估计本项目原料堆场的的大气防治措施采用全封闭储棚+洒水抑尘措施的TSP的控制效率为90%。综上，本项目原料堆场的大气防治措施采用全封闭储棚+</w:t>
            </w:r>
            <w:r>
              <w:rPr>
                <w:rFonts w:hint="eastAsia"/>
                <w:highlight w:val="none"/>
                <w:lang w:val="en-US" w:eastAsia="zh-CN"/>
              </w:rPr>
              <w:t>喷淋</w:t>
            </w:r>
            <w:r>
              <w:rPr>
                <w:rFonts w:hint="default"/>
                <w:highlight w:val="none"/>
                <w:lang w:val="en-US" w:eastAsia="zh-CN"/>
              </w:rPr>
              <w:t>抑尘措施可行。</w:t>
            </w:r>
          </w:p>
          <w:p>
            <w:pPr>
              <w:pStyle w:val="2"/>
              <w:rPr>
                <w:rFonts w:hint="default"/>
                <w:b/>
                <w:bCs/>
                <w:lang w:val="en-US" w:eastAsia="zh-CN"/>
              </w:rPr>
            </w:pPr>
            <w:r>
              <w:rPr>
                <w:rFonts w:hint="default"/>
                <w:b/>
                <w:bCs/>
                <w:lang w:val="en-US" w:eastAsia="zh-CN"/>
              </w:rPr>
              <w:t>1.4废气污染物排放环境影响分析</w:t>
            </w:r>
          </w:p>
          <w:p>
            <w:pPr>
              <w:bidi w:val="0"/>
              <w:rPr>
                <w:rFonts w:hint="default"/>
                <w:lang w:val="en-US" w:eastAsia="zh-CN"/>
              </w:rPr>
            </w:pPr>
            <w:r>
              <w:rPr>
                <w:rFonts w:hint="default"/>
                <w:lang w:val="en-US" w:eastAsia="zh-CN"/>
              </w:rPr>
              <w:t>项目其所在区域为环境空气质量达标区，建设单位对各有组织和无组织粉尘产生环节均采取有效的抑尘措施，正常工况下污染物均能稳定达标排放，对周边大气环境影响较小。此外，当出现重污染天气，企业应错峰运行，根据当地政府要求采取停产、限产等措施，并编制环境风险应急预案等。</w:t>
            </w:r>
          </w:p>
          <w:p>
            <w:pPr>
              <w:bidi w:val="0"/>
              <w:rPr>
                <w:rFonts w:hint="default"/>
                <w:b/>
                <w:bCs/>
                <w:lang w:val="en-US" w:eastAsia="zh-CN"/>
              </w:rPr>
            </w:pPr>
            <w:r>
              <w:rPr>
                <w:rFonts w:hint="eastAsia"/>
                <w:b/>
                <w:bCs/>
                <w:lang w:val="en-US" w:eastAsia="zh-CN"/>
              </w:rPr>
              <w:t>1.5监测</w:t>
            </w:r>
          </w:p>
          <w:p>
            <w:pPr>
              <w:bidi w:val="0"/>
              <w:rPr>
                <w:rFonts w:hint="eastAsia"/>
                <w:lang w:val="en-US" w:eastAsia="zh-CN"/>
              </w:rPr>
            </w:pPr>
            <w:r>
              <w:rPr>
                <w:rFonts w:hint="eastAsia"/>
                <w:lang w:val="en-US" w:eastAsia="zh-CN"/>
              </w:rPr>
              <w:t>根据《排污单位自行监测技术指南  水泥工业》（HJ848-2017），制定本项目自行监测计划，具体内容见表4-1。</w:t>
            </w:r>
          </w:p>
          <w:p>
            <w:pPr>
              <w:bidi w:val="0"/>
              <w:jc w:val="center"/>
              <w:rPr>
                <w:rFonts w:hint="default"/>
                <w:b/>
                <w:bCs/>
                <w:highlight w:val="yellow"/>
                <w:vertAlign w:val="baseline"/>
                <w:lang w:val="en-US" w:eastAsia="zh-CN"/>
              </w:rPr>
            </w:pPr>
            <w:r>
              <w:rPr>
                <w:rFonts w:hint="eastAsia"/>
                <w:b/>
                <w:bCs/>
                <w:lang w:val="en-US" w:eastAsia="zh-CN"/>
              </w:rPr>
              <w:t>表4-1项目废气自行监测计划一览表</w:t>
            </w:r>
          </w:p>
          <w:tbl>
            <w:tblPr>
              <w:tblStyle w:val="10"/>
              <w:tblW w:w="7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1"/>
              <w:gridCol w:w="1136"/>
              <w:gridCol w:w="1382"/>
              <w:gridCol w:w="3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581" w:type="dxa"/>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lang w:val="en-US" w:eastAsia="zh-CN"/>
                    </w:rPr>
                  </w:pPr>
                  <w:r>
                    <w:rPr>
                      <w:rFonts w:hint="eastAsia"/>
                      <w:lang w:val="en-US" w:eastAsia="zh-CN"/>
                    </w:rPr>
                    <w:t>监测位置</w:t>
                  </w:r>
                </w:p>
              </w:tc>
              <w:tc>
                <w:tcPr>
                  <w:tcW w:w="1136" w:type="dxa"/>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lang w:val="en-US" w:eastAsia="zh-CN"/>
                    </w:rPr>
                  </w:pPr>
                  <w:r>
                    <w:rPr>
                      <w:rFonts w:hint="eastAsia"/>
                      <w:lang w:val="en-US" w:eastAsia="zh-CN"/>
                    </w:rPr>
                    <w:t>监测因子</w:t>
                  </w:r>
                </w:p>
              </w:tc>
              <w:tc>
                <w:tcPr>
                  <w:tcW w:w="1382" w:type="dxa"/>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lang w:val="en-US" w:eastAsia="zh-CN"/>
                    </w:rPr>
                  </w:pPr>
                  <w:r>
                    <w:rPr>
                      <w:rFonts w:hint="eastAsia"/>
                      <w:lang w:val="en-US" w:eastAsia="zh-CN"/>
                    </w:rPr>
                    <w:t>监测频次</w:t>
                  </w:r>
                </w:p>
              </w:tc>
              <w:tc>
                <w:tcPr>
                  <w:tcW w:w="3781" w:type="dxa"/>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lang w:val="en-US" w:eastAsia="zh-CN"/>
                    </w:rPr>
                  </w:pPr>
                  <w:r>
                    <w:rPr>
                      <w:rFonts w:hint="eastAsia"/>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581" w:type="dxa"/>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lang w:val="en-US" w:eastAsia="zh-CN"/>
                    </w:rPr>
                  </w:pPr>
                  <w:r>
                    <w:rPr>
                      <w:rFonts w:hint="default"/>
                      <w:lang w:val="en-US" w:eastAsia="zh-CN"/>
                    </w:rPr>
                    <w:t>水泥仓及其他通风生产设备的排气筒</w:t>
                  </w:r>
                </w:p>
              </w:tc>
              <w:tc>
                <w:tcPr>
                  <w:tcW w:w="1136" w:type="dxa"/>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lang w:val="en-US" w:eastAsia="zh-CN"/>
                    </w:rPr>
                  </w:pPr>
                  <w:r>
                    <w:rPr>
                      <w:rFonts w:hint="eastAsia"/>
                      <w:lang w:val="en-US" w:eastAsia="zh-CN"/>
                    </w:rPr>
                    <w:t>颗粒物</w:t>
                  </w:r>
                </w:p>
              </w:tc>
              <w:tc>
                <w:tcPr>
                  <w:tcW w:w="1382" w:type="dxa"/>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lang w:val="en-US" w:eastAsia="zh-CN"/>
                    </w:rPr>
                  </w:pPr>
                  <w:r>
                    <w:rPr>
                      <w:rFonts w:hint="eastAsia"/>
                      <w:lang w:val="en-US" w:eastAsia="zh-CN"/>
                    </w:rPr>
                    <w:t>1次/两年</w:t>
                  </w:r>
                </w:p>
              </w:tc>
              <w:tc>
                <w:tcPr>
                  <w:tcW w:w="3781" w:type="dxa"/>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lang w:val="en-US" w:eastAsia="zh-CN"/>
                    </w:rPr>
                  </w:pPr>
                  <w:r>
                    <w:rPr>
                      <w:rFonts w:hint="eastAsia"/>
                      <w:lang w:val="en-US" w:eastAsia="zh-CN"/>
                    </w:rPr>
                    <w:t>《水泥工业大气污染物排放标准》（GB4915-2013）表1现有与新建企业大气污染物排放限值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81" w:type="dxa"/>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lang w:val="en-US" w:eastAsia="zh-CN"/>
                    </w:rPr>
                  </w:pPr>
                  <w:r>
                    <w:rPr>
                      <w:rFonts w:hint="eastAsia"/>
                      <w:lang w:val="en-US" w:eastAsia="zh-CN"/>
                    </w:rPr>
                    <w:t>厂界</w:t>
                  </w:r>
                </w:p>
              </w:tc>
              <w:tc>
                <w:tcPr>
                  <w:tcW w:w="1136" w:type="dxa"/>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lang w:val="en-US" w:eastAsia="zh-CN"/>
                    </w:rPr>
                  </w:pPr>
                  <w:r>
                    <w:rPr>
                      <w:rFonts w:hint="eastAsia"/>
                      <w:lang w:val="en-US" w:eastAsia="zh-CN"/>
                    </w:rPr>
                    <w:t>颗粒物</w:t>
                  </w:r>
                </w:p>
              </w:tc>
              <w:tc>
                <w:tcPr>
                  <w:tcW w:w="1382" w:type="dxa"/>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lang w:val="en-US" w:eastAsia="zh-CN"/>
                    </w:rPr>
                  </w:pPr>
                  <w:r>
                    <w:rPr>
                      <w:rFonts w:hint="eastAsia"/>
                      <w:lang w:val="en-US" w:eastAsia="zh-CN"/>
                    </w:rPr>
                    <w:t>1次/季度</w:t>
                  </w:r>
                </w:p>
              </w:tc>
              <w:tc>
                <w:tcPr>
                  <w:tcW w:w="3781" w:type="dxa"/>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default"/>
                      <w:lang w:val="en-US" w:eastAsia="zh-CN"/>
                    </w:rPr>
                  </w:pPr>
                  <w:r>
                    <w:rPr>
                      <w:rFonts w:hint="default"/>
                      <w:lang w:val="en-US" w:eastAsia="zh-CN"/>
                    </w:rPr>
                    <w:t>《水泥工业大气污染物排放标准》（GB4915-2013）表3大气污染物无组织排放限值</w:t>
                  </w:r>
                </w:p>
              </w:tc>
            </w:tr>
          </w:tbl>
          <w:p>
            <w:pPr>
              <w:bidi w:val="0"/>
              <w:jc w:val="center"/>
              <w:rPr>
                <w:rFonts w:hint="default"/>
                <w:highlight w:val="yellow"/>
                <w:lang w:val="en-US" w:eastAsia="zh-CN"/>
              </w:rPr>
            </w:pPr>
          </w:p>
          <w:p>
            <w:pPr>
              <w:pStyle w:val="2"/>
              <w:rPr>
                <w:rFonts w:hint="eastAsia"/>
                <w:b/>
                <w:bCs/>
                <w:lang w:val="en-US" w:eastAsia="zh-CN"/>
              </w:rPr>
            </w:pPr>
            <w:r>
              <w:rPr>
                <w:rFonts w:hint="eastAsia"/>
                <w:b/>
                <w:bCs/>
                <w:lang w:val="en-US" w:eastAsia="zh-CN"/>
              </w:rPr>
              <w:t>2、运营期水环境影响分析</w:t>
            </w:r>
          </w:p>
          <w:p>
            <w:pPr>
              <w:pStyle w:val="2"/>
              <w:rPr>
                <w:rFonts w:hint="eastAsia"/>
                <w:highlight w:val="none"/>
                <w:lang w:val="en-US" w:eastAsia="zh-CN"/>
              </w:rPr>
            </w:pPr>
            <w:r>
              <w:rPr>
                <w:rFonts w:hint="eastAsia"/>
                <w:highlight w:val="none"/>
                <w:lang w:val="en-US" w:eastAsia="zh-CN"/>
              </w:rPr>
              <w:t>本项目废水主要为职工生活污水和生产废水，生产废水、初期雨水经过沉淀系统沉淀后循环利用，回用于</w:t>
            </w:r>
            <w:r>
              <w:rPr>
                <w:rFonts w:hint="eastAsia"/>
                <w:lang w:val="en-US" w:eastAsia="zh-CN"/>
              </w:rPr>
              <w:t>原料堆场洒水抑尘、</w:t>
            </w:r>
            <w:r>
              <w:rPr>
                <w:rFonts w:hint="default"/>
                <w:lang w:val="en-US" w:eastAsia="zh-CN"/>
              </w:rPr>
              <w:t>混凝土产线</w:t>
            </w:r>
            <w:r>
              <w:rPr>
                <w:rFonts w:hint="eastAsia"/>
                <w:szCs w:val="21"/>
                <w:highlight w:val="none"/>
                <w:lang w:val="en-US" w:eastAsia="zh-CN"/>
              </w:rPr>
              <w:t>，不外排；</w:t>
            </w:r>
            <w:r>
              <w:rPr>
                <w:rFonts w:hint="eastAsia"/>
                <w:highlight w:val="none"/>
                <w:lang w:val="en-US" w:eastAsia="zh-CN"/>
              </w:rPr>
              <w:t>生活污水经化粪池收集后，定期由内蒙古蓝天碧水环境科技工程有限公司拉运处理。</w:t>
            </w:r>
          </w:p>
          <w:p>
            <w:pPr>
              <w:pStyle w:val="2"/>
              <w:rPr>
                <w:rFonts w:hint="eastAsia"/>
                <w:highlight w:val="none"/>
                <w:lang w:val="en-US" w:eastAsia="zh-CN"/>
              </w:rPr>
            </w:pPr>
            <w:r>
              <w:rPr>
                <w:rFonts w:hint="eastAsia"/>
                <w:highlight w:val="none"/>
                <w:lang w:val="en-US" w:eastAsia="zh-CN"/>
              </w:rPr>
              <w:t>①生产废水</w:t>
            </w:r>
          </w:p>
          <w:p>
            <w:pPr>
              <w:bidi w:val="0"/>
              <w:rPr>
                <w:rFonts w:hint="default"/>
                <w:lang w:val="en-US" w:eastAsia="zh-CN"/>
              </w:rPr>
            </w:pPr>
            <w:r>
              <w:rPr>
                <w:rFonts w:hint="eastAsia"/>
                <w:highlight w:val="none"/>
                <w:lang w:val="en-US" w:eastAsia="zh-CN"/>
              </w:rPr>
              <w:t>混凝土加工过程加入水进入混凝土成品，无外排水；</w:t>
            </w:r>
            <w:r>
              <w:rPr>
                <w:rFonts w:hint="eastAsia"/>
                <w:lang w:val="en-US" w:eastAsia="zh-CN"/>
              </w:rPr>
              <w:t>降尘用水为雾化水，粒径在1~100微米，作为水雾最终蒸发，无废水产生；绿化用水全部蒸发；搅拌机清洗系统废水按用水90%计算，排水量为1.8m³/d，即486m³/a，送厂区沉淀系统处理后回用于</w:t>
            </w:r>
            <w:r>
              <w:rPr>
                <w:rFonts w:hint="default"/>
                <w:lang w:val="en-US" w:eastAsia="zh-CN"/>
              </w:rPr>
              <w:t>混凝土</w:t>
            </w:r>
            <w:r>
              <w:rPr>
                <w:rFonts w:hint="eastAsia"/>
                <w:lang w:val="en-US" w:eastAsia="zh-CN"/>
              </w:rPr>
              <w:t>生</w:t>
            </w:r>
            <w:r>
              <w:rPr>
                <w:rFonts w:hint="default"/>
                <w:lang w:val="en-US" w:eastAsia="zh-CN"/>
              </w:rPr>
              <w:t>产线</w:t>
            </w:r>
            <w:r>
              <w:rPr>
                <w:rFonts w:hint="eastAsia"/>
                <w:lang w:val="en-US" w:eastAsia="zh-CN"/>
              </w:rPr>
              <w:t>，不外排；</w:t>
            </w:r>
            <w:r>
              <w:rPr>
                <w:rFonts w:hint="default"/>
                <w:lang w:val="en-US" w:eastAsia="zh-CN"/>
              </w:rPr>
              <w:t>运输车辆清洗废水按用水90%计算，则排水量为</w:t>
            </w:r>
            <w:r>
              <w:rPr>
                <w:rFonts w:hint="eastAsia"/>
                <w:lang w:val="en-US" w:eastAsia="zh-CN"/>
              </w:rPr>
              <w:t>51.73m³/d，即13967.1m³/a，</w:t>
            </w:r>
            <w:r>
              <w:rPr>
                <w:rFonts w:hint="default"/>
                <w:lang w:val="en-US" w:eastAsia="zh-CN"/>
              </w:rPr>
              <w:t>送厂区沉淀系统处理后回用于混凝土</w:t>
            </w:r>
            <w:r>
              <w:rPr>
                <w:rFonts w:hint="eastAsia"/>
                <w:lang w:val="en-US" w:eastAsia="zh-CN"/>
              </w:rPr>
              <w:t>生</w:t>
            </w:r>
            <w:r>
              <w:rPr>
                <w:rFonts w:hint="default"/>
                <w:lang w:val="en-US" w:eastAsia="zh-CN"/>
              </w:rPr>
              <w:t>产线。</w:t>
            </w:r>
          </w:p>
          <w:p>
            <w:pPr>
              <w:pStyle w:val="2"/>
              <w:rPr>
                <w:rFonts w:hint="eastAsia"/>
                <w:highlight w:val="none"/>
                <w:lang w:val="en-US" w:eastAsia="zh-CN"/>
              </w:rPr>
            </w:pPr>
            <w:r>
              <w:rPr>
                <w:rFonts w:hint="eastAsia"/>
                <w:highlight w:val="none"/>
                <w:lang w:val="en-US" w:eastAsia="zh-CN"/>
              </w:rPr>
              <w:t>②生活污水</w:t>
            </w:r>
          </w:p>
          <w:p>
            <w:pPr>
              <w:pStyle w:val="2"/>
              <w:rPr>
                <w:rFonts w:hint="eastAsia"/>
                <w:highlight w:val="none"/>
                <w:lang w:val="en-US" w:eastAsia="zh-CN"/>
              </w:rPr>
            </w:pPr>
            <w:r>
              <w:rPr>
                <w:rFonts w:hint="eastAsia"/>
                <w:highlight w:val="none"/>
                <w:lang w:val="en-US" w:eastAsia="zh-CN"/>
              </w:rPr>
              <w:t>本项目生活污水排放系数取0.8，排放量为</w:t>
            </w:r>
            <w:r>
              <w:rPr>
                <w:rFonts w:hint="eastAsia"/>
                <w:lang w:val="en-US" w:eastAsia="zh-CN"/>
              </w:rPr>
              <w:t>0.96m³/d，即259.2m³/a，</w:t>
            </w:r>
            <w:r>
              <w:rPr>
                <w:rFonts w:hint="eastAsia"/>
                <w:highlight w:val="none"/>
                <w:lang w:val="en-US" w:eastAsia="zh-CN"/>
              </w:rPr>
              <w:t>。生活污水中的污染物主要为COD、BOD</w:t>
            </w:r>
            <w:r>
              <w:rPr>
                <w:rFonts w:hint="eastAsia"/>
                <w:highlight w:val="none"/>
                <w:vertAlign w:val="subscript"/>
                <w:lang w:val="en-US" w:eastAsia="zh-CN"/>
              </w:rPr>
              <w:t>5</w:t>
            </w:r>
            <w:r>
              <w:rPr>
                <w:rFonts w:hint="eastAsia"/>
                <w:highlight w:val="none"/>
                <w:lang w:val="en-US" w:eastAsia="zh-CN"/>
              </w:rPr>
              <w:t>、NH</w:t>
            </w:r>
            <w:r>
              <w:rPr>
                <w:rFonts w:hint="eastAsia"/>
                <w:highlight w:val="none"/>
                <w:vertAlign w:val="subscript"/>
                <w:lang w:val="en-US" w:eastAsia="zh-CN"/>
              </w:rPr>
              <w:t>3</w:t>
            </w:r>
            <w:r>
              <w:rPr>
                <w:rFonts w:hint="eastAsia"/>
                <w:highlight w:val="none"/>
                <w:lang w:val="en-US" w:eastAsia="zh-CN"/>
              </w:rPr>
              <w:t>-N、SS，浓度分别为350mg/L、200mg/L、30mg/L、250mg/L。定期清掏拉运至</w:t>
            </w:r>
            <w:r>
              <w:rPr>
                <w:rFonts w:hint="eastAsia"/>
                <w:lang w:val="en-US" w:eastAsia="zh-CN"/>
              </w:rPr>
              <w:t>内蒙古蓝天碧水环境科技工程有限公司进行处理</w:t>
            </w:r>
            <w:r>
              <w:rPr>
                <w:rFonts w:hint="eastAsia"/>
                <w:highlight w:val="none"/>
                <w:lang w:val="en-US" w:eastAsia="zh-CN"/>
              </w:rPr>
              <w:t>。</w:t>
            </w:r>
          </w:p>
          <w:p>
            <w:pPr>
              <w:pStyle w:val="2"/>
              <w:rPr>
                <w:rFonts w:hint="default"/>
                <w:highlight w:val="none"/>
                <w:lang w:val="en-US" w:eastAsia="zh-CN"/>
              </w:rPr>
            </w:pPr>
            <w:r>
              <w:rPr>
                <w:rFonts w:hint="eastAsia"/>
                <w:highlight w:val="none"/>
                <w:lang w:val="en-US" w:eastAsia="zh-CN"/>
              </w:rPr>
              <w:t>③初期雨水</w:t>
            </w:r>
          </w:p>
          <w:p>
            <w:pPr>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本项目雨水池用于收集初期雨水，雨水量按照以下公式计算：</w:t>
            </w:r>
          </w:p>
          <w:p>
            <w:pPr>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根据包头市建筑设计院采用数理统计法编制的暴雨强度公式如下：</w:t>
            </w:r>
          </w:p>
          <w:p>
            <w:pPr>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降雨强度公式：</w:t>
            </w:r>
          </w:p>
          <w:p>
            <w:pPr>
              <w:bidi w:val="0"/>
              <w:jc w:val="center"/>
              <w:rPr>
                <w:rFonts w:hint="default" w:ascii="Times New Roman" w:hAnsi="Times New Roman" w:cs="Times New Roman"/>
                <w:color w:val="auto"/>
                <w:highlight w:val="none"/>
                <w:vertAlign w:val="superscript"/>
                <w:lang w:val="en-US" w:eastAsia="zh-CN"/>
              </w:rPr>
            </w:pPr>
            <m:oMathPara>
              <m:oMath>
                <m:r>
                  <m:rPr>
                    <m:sty m:val="p"/>
                  </m:rPr>
                  <w:rPr>
                    <w:rFonts w:hint="eastAsia" w:ascii="Cambria Math" w:hAnsi="Cambria Math" w:cs="Times New Roman"/>
                    <w:color w:val="auto"/>
                    <w:kern w:val="2"/>
                    <w:sz w:val="21"/>
                    <w:szCs w:val="24"/>
                    <w:highlight w:val="none"/>
                    <w:lang w:val="en-US" w:eastAsia="zh-CN" w:bidi="ar-SA"/>
                  </w:rPr>
                  <m:t>q</m:t>
                </m:r>
                <m:r>
                  <m:rPr>
                    <m:sty m:val="p"/>
                  </m:rPr>
                  <w:rPr>
                    <w:rFonts w:hint="default" w:ascii="Cambria Math" w:hAnsi="Cambria Math" w:cs="Times New Roman"/>
                    <w:color w:val="auto"/>
                    <w:kern w:val="2"/>
                    <w:sz w:val="21"/>
                    <w:szCs w:val="24"/>
                    <w:highlight w:val="none"/>
                    <w:lang w:val="en-US" w:eastAsia="zh-CN" w:bidi="ar-SA"/>
                  </w:rPr>
                  <m:t>=</m:t>
                </m:r>
                <m:f>
                  <m:fPr>
                    <m:ctrlPr>
                      <w:rPr>
                        <w:rFonts w:hint="default" w:ascii="Cambria Math" w:hAnsi="Cambria Math" w:cs="Times New Roman"/>
                        <w:color w:val="auto"/>
                        <w:kern w:val="2"/>
                        <w:sz w:val="21"/>
                        <w:szCs w:val="24"/>
                        <w:highlight w:val="none"/>
                        <w:lang w:val="en-US" w:eastAsia="zh-CN" w:bidi="ar-SA"/>
                      </w:rPr>
                    </m:ctrlPr>
                  </m:fPr>
                  <m:num>
                    <m:r>
                      <m:rPr>
                        <m:sty m:val="p"/>
                      </m:rPr>
                      <w:rPr>
                        <w:rFonts w:hint="default" w:ascii="Times New Roman" w:hAnsi="Times New Roman" w:cs="Times New Roman"/>
                        <w:color w:val="auto"/>
                        <w:highlight w:val="none"/>
                        <w:lang w:val="en-US" w:eastAsia="zh-CN"/>
                      </w:rPr>
                      <m:t>9.96</m:t>
                    </m:r>
                    <m:r>
                      <m:rPr>
                        <m:sty m:val="p"/>
                      </m:rPr>
                      <w:rPr>
                        <w:rFonts w:hint="eastAsia" w:cs="Times New Roman"/>
                        <w:color w:val="auto"/>
                        <w:highlight w:val="none"/>
                        <w:lang w:val="en-US" w:eastAsia="zh-CN"/>
                      </w:rPr>
                      <m:t>（</m:t>
                    </m:r>
                    <m:r>
                      <m:rPr>
                        <m:sty m:val="p"/>
                      </m:rPr>
                      <w:rPr>
                        <w:rFonts w:hint="default" w:ascii="Times New Roman" w:hAnsi="Times New Roman" w:cs="Times New Roman"/>
                        <w:color w:val="auto"/>
                        <w:highlight w:val="none"/>
                        <w:lang w:val="en-US" w:eastAsia="zh-CN"/>
                      </w:rPr>
                      <m:t>1+0.985lgP</m:t>
                    </m:r>
                    <m:r>
                      <m:rPr>
                        <m:sty m:val="p"/>
                      </m:rPr>
                      <w:rPr>
                        <w:rFonts w:hint="eastAsia" w:cs="Times New Roman"/>
                        <w:color w:val="auto"/>
                        <w:highlight w:val="none"/>
                        <w:lang w:val="en-US" w:eastAsia="zh-CN"/>
                      </w:rPr>
                      <m:t>）</m:t>
                    </m:r>
                    <m:ctrlPr>
                      <w:rPr>
                        <w:rFonts w:hint="default" w:ascii="Cambria Math" w:hAnsi="Cambria Math" w:cs="Times New Roman"/>
                        <w:color w:val="auto"/>
                        <w:kern w:val="2"/>
                        <w:sz w:val="21"/>
                        <w:szCs w:val="24"/>
                        <w:highlight w:val="none"/>
                        <w:lang w:val="en-US" w:eastAsia="zh-CN" w:bidi="ar-SA"/>
                      </w:rPr>
                    </m:ctrlPr>
                  </m:num>
                  <m:den>
                    <m:sSup>
                      <m:sSupPr>
                        <m:ctrlPr>
                          <w:rPr>
                            <w:rFonts w:hint="default" w:ascii="Cambria Math" w:hAnsi="Cambria Math" w:cs="Times New Roman"/>
                            <w:color w:val="auto"/>
                            <w:kern w:val="2"/>
                            <w:sz w:val="21"/>
                            <w:szCs w:val="24"/>
                            <w:highlight w:val="none"/>
                            <w:lang w:val="en-US" w:eastAsia="zh-CN" w:bidi="ar-SA"/>
                          </w:rPr>
                        </m:ctrlPr>
                      </m:sSupPr>
                      <m:e>
                        <m:r>
                          <m:rPr>
                            <m:sty m:val="p"/>
                          </m:rPr>
                          <w:rPr>
                            <w:rFonts w:hint="eastAsia" w:cs="Times New Roman"/>
                            <w:color w:val="auto"/>
                            <w:highlight w:val="none"/>
                            <w:lang w:val="en-US" w:eastAsia="zh-CN"/>
                          </w:rPr>
                          <m:t>（</m:t>
                        </m:r>
                        <m:r>
                          <m:rPr>
                            <m:sty m:val="p"/>
                          </m:rPr>
                          <w:rPr>
                            <w:rFonts w:hint="default" w:ascii="Times New Roman" w:hAnsi="Times New Roman" w:cs="Times New Roman"/>
                            <w:color w:val="auto"/>
                            <w:highlight w:val="none"/>
                            <w:lang w:val="en-US" w:eastAsia="zh-CN"/>
                          </w:rPr>
                          <m:t>t+5.40</m:t>
                        </m:r>
                        <m:r>
                          <m:rPr>
                            <m:sty m:val="p"/>
                          </m:rPr>
                          <w:rPr>
                            <w:rFonts w:hint="eastAsia" w:cs="Times New Roman"/>
                            <w:color w:val="auto"/>
                            <w:highlight w:val="none"/>
                            <w:lang w:val="en-US" w:eastAsia="zh-CN"/>
                          </w:rPr>
                          <m:t>）</m:t>
                        </m:r>
                        <m:ctrlPr>
                          <w:rPr>
                            <w:rFonts w:hint="default" w:ascii="Cambria Math" w:hAnsi="Cambria Math" w:cs="Times New Roman"/>
                            <w:color w:val="auto"/>
                            <w:kern w:val="2"/>
                            <w:sz w:val="21"/>
                            <w:szCs w:val="24"/>
                            <w:highlight w:val="none"/>
                            <w:lang w:val="en-US" w:eastAsia="zh-CN" w:bidi="ar-SA"/>
                          </w:rPr>
                        </m:ctrlPr>
                      </m:e>
                      <m:sup>
                        <m:r>
                          <m:rPr>
                            <m:sty m:val="p"/>
                          </m:rPr>
                          <w:rPr>
                            <w:rFonts w:hint="default" w:ascii="Times New Roman" w:hAnsi="Times New Roman" w:cs="Times New Roman"/>
                            <w:color w:val="auto"/>
                            <w:highlight w:val="none"/>
                            <w:vertAlign w:val="superscript"/>
                            <w:lang w:val="en-US" w:eastAsia="zh-CN"/>
                          </w:rPr>
                          <m:t>0.85</m:t>
                        </m:r>
                        <m:ctrlPr>
                          <w:rPr>
                            <w:rFonts w:hint="default" w:ascii="Cambria Math" w:hAnsi="Cambria Math" w:cs="Times New Roman"/>
                            <w:color w:val="auto"/>
                            <w:kern w:val="2"/>
                            <w:sz w:val="21"/>
                            <w:szCs w:val="24"/>
                            <w:highlight w:val="none"/>
                            <w:lang w:val="en-US" w:eastAsia="zh-CN" w:bidi="ar-SA"/>
                          </w:rPr>
                        </m:ctrlPr>
                      </m:sup>
                    </m:sSup>
                    <m:ctrlPr>
                      <w:rPr>
                        <w:rFonts w:hint="default" w:ascii="Cambria Math" w:hAnsi="Cambria Math" w:cs="Times New Roman"/>
                        <w:color w:val="auto"/>
                        <w:kern w:val="2"/>
                        <w:sz w:val="21"/>
                        <w:szCs w:val="24"/>
                        <w:highlight w:val="none"/>
                        <w:lang w:val="en-US" w:eastAsia="zh-CN" w:bidi="ar-SA"/>
                      </w:rPr>
                    </m:ctrlPr>
                  </m:den>
                </m:f>
              </m:oMath>
            </m:oMathPara>
          </w:p>
          <w:p>
            <w:pPr>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q</w:t>
            </w:r>
            <w:r>
              <w:rPr>
                <w:rFonts w:hint="eastAsia" w:ascii="Times New Roman" w:hAnsi="Times New Roman" w:cs="Times New Roman"/>
                <w:color w:val="auto"/>
                <w:highlight w:val="none"/>
                <w:lang w:val="en-US" w:eastAsia="zh-CN"/>
              </w:rPr>
              <w:t>——设计暴雨强度</w:t>
            </w:r>
            <w:r>
              <w:rPr>
                <w:rFonts w:hint="eastAsia" w:cs="Times New Roman"/>
                <w:color w:val="auto"/>
                <w:highlight w:val="none"/>
                <w:lang w:val="en-US" w:eastAsia="zh-CN"/>
              </w:rPr>
              <w:t>（</w:t>
            </w:r>
            <w:r>
              <w:rPr>
                <w:rFonts w:hint="default" w:ascii="Times New Roman" w:hAnsi="Times New Roman" w:cs="Times New Roman"/>
                <w:color w:val="auto"/>
                <w:highlight w:val="none"/>
                <w:lang w:val="en-US" w:eastAsia="zh-CN"/>
              </w:rPr>
              <w:t>L/S·h</w:t>
            </w:r>
            <w:r>
              <w:rPr>
                <w:rFonts w:hint="eastAsia" w:ascii="Times New Roman" w:hAnsi="Times New Roman" w:cs="Times New Roman"/>
                <w:color w:val="auto"/>
                <w:highlight w:val="none"/>
                <w:lang w:val="en-US" w:eastAsia="zh-CN"/>
              </w:rPr>
              <w:t>㎡</w:t>
            </w:r>
            <w:r>
              <w:rPr>
                <w:rFonts w:hint="eastAsia" w:cs="Times New Roman"/>
                <w:color w:val="auto"/>
                <w:highlight w:val="none"/>
                <w:lang w:val="en-US" w:eastAsia="zh-CN"/>
              </w:rPr>
              <w:t>）</w:t>
            </w:r>
          </w:p>
          <w:p>
            <w:pPr>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P</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重现期，取</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lang w:val="en-US" w:eastAsia="zh-CN"/>
              </w:rPr>
              <w:t>年</w:t>
            </w:r>
          </w:p>
          <w:p>
            <w:pPr>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T</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降雨历时，</w:t>
            </w:r>
            <w:r>
              <w:rPr>
                <w:rFonts w:hint="eastAsia" w:ascii="Times New Roman" w:hAnsi="Times New Roman" w:cs="Times New Roman"/>
                <w:color w:val="auto"/>
                <w:highlight w:val="none"/>
                <w:lang w:val="en-US" w:eastAsia="zh-CN"/>
              </w:rPr>
              <w:t>本项目取15min</w:t>
            </w:r>
          </w:p>
          <w:p>
            <w:pPr>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雨水量计算公式：</w:t>
            </w:r>
          </w:p>
          <w:p>
            <w:pPr>
              <w:bidi w:val="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Q=</w:t>
            </w:r>
            <w:r>
              <w:rPr>
                <w:rFonts w:hint="default" w:ascii="Times New Roman" w:hAnsi="Times New Roman" w:eastAsia="宋体" w:cs="Times New Roman"/>
                <w:color w:val="auto"/>
                <w:highlight w:val="none"/>
                <w:lang w:val="en-US" w:eastAsia="zh-CN"/>
              </w:rPr>
              <w:t>ψ·</w:t>
            </w:r>
            <w:r>
              <w:rPr>
                <w:rFonts w:hint="default" w:ascii="Times New Roman" w:hAnsi="Times New Roman" w:cs="Times New Roman"/>
                <w:color w:val="auto"/>
                <w:highlight w:val="none"/>
                <w:lang w:val="en-US" w:eastAsia="zh-CN"/>
              </w:rPr>
              <w:t>q·F</w:t>
            </w:r>
          </w:p>
          <w:p>
            <w:pPr>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式中：</w:t>
            </w:r>
          </w:p>
          <w:p>
            <w:pPr>
              <w:bidi w:val="0"/>
              <w:rPr>
                <w:rFonts w:ascii="Times New Roman" w:hAnsi="Times New Roman" w:cs="Times New Roman"/>
                <w:bCs w:val="0"/>
                <w:snapToGrid/>
                <w:kern w:val="0"/>
                <w:szCs w:val="24"/>
              </w:rPr>
            </w:pPr>
            <w:r>
              <w:rPr>
                <w:rFonts w:hint="default" w:ascii="Times New Roman" w:hAnsi="Times New Roman" w:cs="Times New Roman"/>
                <w:color w:val="auto"/>
                <w:highlight w:val="none"/>
                <w:lang w:val="en-US" w:eastAsia="zh-CN"/>
              </w:rPr>
              <w:t>Q</w:t>
            </w:r>
            <w:r>
              <w:rPr>
                <w:rFonts w:hint="eastAsia" w:ascii="Times New Roman" w:hAnsi="Times New Roman" w:cs="Times New Roman"/>
                <w:color w:val="auto"/>
                <w:highlight w:val="none"/>
                <w:lang w:val="en-US" w:eastAsia="zh-CN"/>
              </w:rPr>
              <w:t>——</w:t>
            </w:r>
            <w:r>
              <w:rPr>
                <w:rFonts w:ascii="Times New Roman" w:hAnsi="Times New Roman" w:cs="Times New Roman"/>
                <w:bCs w:val="0"/>
                <w:szCs w:val="28"/>
              </w:rPr>
              <w:t>初期雨水量（m³/h）</w:t>
            </w:r>
          </w:p>
          <w:p>
            <w:pPr>
              <w:bidi w:val="0"/>
              <w:rPr>
                <w:rFonts w:hint="default" w:ascii="Times New Roman" w:hAnsi="Times New Roman" w:cs="Times New Roman"/>
                <w:color w:val="auto"/>
                <w:highlight w:val="none"/>
                <w:lang w:val="en-US" w:eastAsia="zh-CN"/>
              </w:rPr>
            </w:pPr>
            <w:r>
              <w:rPr>
                <w:rFonts w:ascii="Times New Roman" w:hAnsi="Times New Roman" w:cs="Times New Roman"/>
                <w:bCs w:val="0"/>
                <w:snapToGrid/>
                <w:kern w:val="0"/>
                <w:szCs w:val="24"/>
              </w:rPr>
              <w:t>Ψ</w:t>
            </w:r>
            <w:r>
              <w:rPr>
                <w:rFonts w:hint="eastAsia" w:ascii="Times New Roman" w:hAnsi="Times New Roman" w:cs="Times New Roman"/>
                <w:color w:val="auto"/>
                <w:highlight w:val="none"/>
                <w:lang w:val="en-US" w:eastAsia="zh-CN"/>
              </w:rPr>
              <w:t>——综合</w:t>
            </w:r>
            <w:r>
              <w:rPr>
                <w:rFonts w:hint="default" w:ascii="Times New Roman" w:hAnsi="Times New Roman" w:cs="Times New Roman"/>
                <w:color w:val="auto"/>
                <w:highlight w:val="none"/>
                <w:lang w:val="en-US" w:eastAsia="zh-CN"/>
              </w:rPr>
              <w:t>径流系数，取0.90</w:t>
            </w:r>
          </w:p>
          <w:p>
            <w:pPr>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F</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汇水面积</w:t>
            </w:r>
          </w:p>
          <w:p>
            <w:pPr>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q</w:t>
            </w:r>
            <w:r>
              <w:rPr>
                <w:rFonts w:hint="eastAsia" w:ascii="Times New Roman" w:hAnsi="Times New Roman" w:cs="Times New Roman"/>
                <w:color w:val="auto"/>
                <w:highlight w:val="none"/>
                <w:lang w:val="en-US" w:eastAsia="zh-CN"/>
              </w:rPr>
              <w:t>——设计暴雨强度</w:t>
            </w:r>
            <w:r>
              <w:rPr>
                <w:rFonts w:hint="eastAsia" w:cs="Times New Roman"/>
                <w:color w:val="auto"/>
                <w:highlight w:val="none"/>
                <w:lang w:val="en-US" w:eastAsia="zh-CN"/>
              </w:rPr>
              <w:t>（</w:t>
            </w:r>
            <w:r>
              <w:rPr>
                <w:rFonts w:hint="default" w:ascii="Times New Roman" w:hAnsi="Times New Roman" w:cs="Times New Roman"/>
                <w:color w:val="auto"/>
                <w:highlight w:val="none"/>
                <w:lang w:val="en-US" w:eastAsia="zh-CN"/>
              </w:rPr>
              <w:t>L/S·h</w:t>
            </w:r>
            <w:r>
              <w:rPr>
                <w:rFonts w:hint="eastAsia" w:ascii="Times New Roman" w:hAnsi="Times New Roman" w:cs="Times New Roman"/>
                <w:color w:val="auto"/>
                <w:highlight w:val="none"/>
                <w:lang w:val="en-US" w:eastAsia="zh-CN"/>
              </w:rPr>
              <w:t>㎡</w:t>
            </w:r>
            <w:r>
              <w:rPr>
                <w:rFonts w:hint="eastAsia" w:cs="Times New Roman"/>
                <w:color w:val="auto"/>
                <w:highlight w:val="none"/>
                <w:lang w:val="en-US" w:eastAsia="zh-CN"/>
              </w:rPr>
              <w:t>）</w:t>
            </w:r>
          </w:p>
          <w:p>
            <w:pPr>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F</w:t>
            </w:r>
            <w:r>
              <w:rPr>
                <w:rFonts w:hint="eastAsia" w:ascii="Times New Roman" w:hAnsi="Times New Roman" w:cs="Times New Roman"/>
                <w:color w:val="auto"/>
                <w:highlight w:val="none"/>
                <w:lang w:val="en-US" w:eastAsia="zh-CN"/>
              </w:rPr>
              <w:t>——汇水面积</w:t>
            </w:r>
            <w:r>
              <w:rPr>
                <w:rFonts w:hint="eastAsia" w:ascii="Times New Roman" w:hAnsi="Times New Roman" w:cs="Times New Roman"/>
                <w:szCs w:val="21"/>
                <w:lang w:val="en-US" w:eastAsia="zh-CN"/>
              </w:rPr>
              <w:t>10.04438</w:t>
            </w:r>
            <w:r>
              <w:rPr>
                <w:rFonts w:hint="default" w:ascii="Times New Roman" w:hAnsi="Times New Roman" w:cs="Times New Roman"/>
                <w:color w:val="auto"/>
                <w:highlight w:val="none"/>
                <w:lang w:val="en-US" w:eastAsia="zh-CN"/>
              </w:rPr>
              <w:t>h</w:t>
            </w:r>
            <w:r>
              <w:rPr>
                <w:rFonts w:hint="eastAsia" w:ascii="Times New Roman" w:hAnsi="Times New Roman" w:cs="Times New Roman"/>
                <w:color w:val="auto"/>
                <w:highlight w:val="none"/>
                <w:lang w:val="en-US" w:eastAsia="zh-CN"/>
              </w:rPr>
              <w:t>㎡</w:t>
            </w:r>
          </w:p>
          <w:p>
            <w:pPr>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计算得初期雨水量约为11.75</w:t>
            </w:r>
            <w:r>
              <w:rPr>
                <w:rFonts w:ascii="Times New Roman" w:hAnsi="Times New Roman" w:cs="Times New Roman"/>
                <w:bCs w:val="0"/>
                <w:szCs w:val="28"/>
              </w:rPr>
              <w:t>m³/h</w:t>
            </w:r>
            <w:r>
              <w:rPr>
                <w:rFonts w:hint="eastAsia" w:ascii="Times New Roman" w:hAnsi="Times New Roman" w:cs="Times New Roman"/>
                <w:bCs w:val="0"/>
                <w:szCs w:val="28"/>
                <w:lang w:eastAsia="zh-CN"/>
              </w:rPr>
              <w:t>，</w:t>
            </w:r>
            <w:r>
              <w:rPr>
                <w:rFonts w:hint="default" w:ascii="Times New Roman" w:hAnsi="Times New Roman" w:cs="Times New Roman"/>
                <w:color w:val="auto"/>
                <w:highlight w:val="none"/>
                <w:lang w:val="en-US" w:eastAsia="zh-CN"/>
              </w:rPr>
              <w:t>拟在厂区建设初期雨水收集池1个，考虑1.2的安全系数，则需要建设1座容积不小于为</w:t>
            </w:r>
            <w:r>
              <w:rPr>
                <w:rFonts w:hint="eastAsia" w:ascii="Times New Roman" w:hAnsi="Times New Roman" w:cs="Times New Roman"/>
                <w:color w:val="auto"/>
                <w:highlight w:val="none"/>
                <w:lang w:val="en-US" w:eastAsia="zh-CN"/>
              </w:rPr>
              <w:t>15</w:t>
            </w:r>
            <w:r>
              <w:rPr>
                <w:rFonts w:hint="default" w:ascii="Times New Roman" w:hAnsi="Times New Roman" w:cs="Times New Roman"/>
                <w:color w:val="auto"/>
                <w:highlight w:val="none"/>
                <w:lang w:val="en-US" w:eastAsia="zh-CN"/>
              </w:rPr>
              <w:t>m³的初期雨水收集池用于收集本项目的初期雨水。初期雨水中的主要污染物为为COD、SS等，主要污染物种类简单收集后的雨水经过沉淀澄清后，可用于</w:t>
            </w:r>
            <w:r>
              <w:rPr>
                <w:rFonts w:hint="eastAsia" w:ascii="Times New Roman" w:hAnsi="Times New Roman" w:cs="Times New Roman"/>
                <w:color w:val="auto"/>
                <w:highlight w:val="none"/>
                <w:lang w:val="en-US" w:eastAsia="zh-CN"/>
              </w:rPr>
              <w:t>原料</w:t>
            </w:r>
            <w:r>
              <w:rPr>
                <w:rFonts w:hint="default" w:ascii="Times New Roman" w:hAnsi="Times New Roman" w:cs="Times New Roman"/>
                <w:color w:val="auto"/>
                <w:highlight w:val="none"/>
                <w:lang w:val="en-US" w:eastAsia="zh-CN"/>
              </w:rPr>
              <w:t>堆场洒水降尘利用。</w:t>
            </w:r>
          </w:p>
          <w:p>
            <w:pPr>
              <w:pStyle w:val="2"/>
              <w:rPr>
                <w:rFonts w:hint="eastAsia"/>
                <w:highlight w:val="none"/>
                <w:lang w:val="en-US" w:eastAsia="zh-CN"/>
              </w:rPr>
            </w:pPr>
            <w:r>
              <w:rPr>
                <w:rFonts w:hint="eastAsia"/>
                <w:highlight w:val="none"/>
                <w:lang w:val="en-US" w:eastAsia="zh-CN"/>
              </w:rPr>
              <w:t>综上所述，本项目无废水外排，本项目废水经过合理处置后对周边环境影响较小。</w:t>
            </w:r>
          </w:p>
          <w:p>
            <w:pPr>
              <w:bidi w:val="0"/>
              <w:rPr>
                <w:rFonts w:hint="default"/>
                <w:b/>
                <w:bCs/>
                <w:lang w:val="en-US" w:eastAsia="zh-CN"/>
              </w:rPr>
            </w:pPr>
            <w:r>
              <w:rPr>
                <w:rFonts w:hint="eastAsia"/>
                <w:b/>
                <w:bCs/>
                <w:lang w:val="en-US" w:eastAsia="zh-CN"/>
              </w:rPr>
              <w:t>3、运营期声环境影响分析</w:t>
            </w:r>
          </w:p>
          <w:p>
            <w:pPr>
              <w:bidi w:val="0"/>
              <w:rPr>
                <w:rFonts w:hint="default"/>
                <w:b w:val="0"/>
                <w:bCs w:val="0"/>
                <w:lang w:val="en-US" w:eastAsia="zh-CN"/>
              </w:rPr>
            </w:pPr>
            <w:r>
              <w:rPr>
                <w:rFonts w:hint="default"/>
                <w:b w:val="0"/>
                <w:bCs w:val="0"/>
                <w:lang w:val="en-US" w:eastAsia="zh-CN"/>
              </w:rPr>
              <w:t>本项目运营期噪声主要为泵类、搅拌机、皮带运输机等转运过程产生的噪声，噪声值在85~95dB（A）之间。本项目夜间不生产，平时加强设备的日常维修，减轻设备运行时产生的噪声，同时对主要噪声设备安装减震基座，可以使本项目厂界四周噪声达到《工业企业厂界环境噪声排放标准》（GB12348-2008）</w:t>
            </w:r>
            <w:r>
              <w:rPr>
                <w:rFonts w:hint="eastAsia"/>
                <w:b w:val="0"/>
                <w:bCs w:val="0"/>
                <w:lang w:val="en-US" w:eastAsia="zh-CN"/>
              </w:rPr>
              <w:t>2类</w:t>
            </w:r>
            <w:r>
              <w:rPr>
                <w:rFonts w:hint="default"/>
                <w:b w:val="0"/>
                <w:bCs w:val="0"/>
                <w:lang w:val="en-US" w:eastAsia="zh-CN"/>
              </w:rPr>
              <w:t>标准的要求。距本项目50米内无敏感目标，因此本项目营运期主要噪声对周围环境影响较小。</w:t>
            </w:r>
          </w:p>
          <w:p>
            <w:pPr>
              <w:bidi w:val="0"/>
              <w:rPr>
                <w:rFonts w:hint="eastAsia"/>
                <w:b/>
                <w:bCs/>
                <w:lang w:val="en-US" w:eastAsia="zh-CN"/>
              </w:rPr>
            </w:pPr>
            <w:r>
              <w:rPr>
                <w:rFonts w:hint="eastAsia"/>
                <w:b/>
                <w:bCs/>
                <w:lang w:val="en-US" w:eastAsia="zh-CN"/>
              </w:rPr>
              <w:t>4、运营期固体废弃物环境影响分析</w:t>
            </w:r>
          </w:p>
          <w:p>
            <w:pPr>
              <w:bidi w:val="0"/>
              <w:rPr>
                <w:rFonts w:hint="eastAsia"/>
                <w:lang w:val="en-US" w:eastAsia="zh-CN"/>
              </w:rPr>
            </w:pPr>
            <w:r>
              <w:rPr>
                <w:rFonts w:hint="eastAsia"/>
                <w:lang w:val="en-US" w:eastAsia="zh-CN"/>
              </w:rPr>
              <w:t>本项目固体废物主要为职工生活垃圾、除尘器除尘灰、沉淀池底泥、混凝土废渣。</w:t>
            </w:r>
          </w:p>
          <w:p>
            <w:pPr>
              <w:bidi w:val="0"/>
              <w:rPr>
                <w:rFonts w:hint="eastAsia"/>
                <w:lang w:val="en-US" w:eastAsia="zh-CN"/>
              </w:rPr>
            </w:pPr>
            <w:r>
              <w:rPr>
                <w:rFonts w:hint="eastAsia"/>
                <w:lang w:val="en-US" w:eastAsia="zh-CN"/>
              </w:rPr>
              <w:t>（1）生活垃圾</w:t>
            </w:r>
          </w:p>
          <w:p>
            <w:pPr>
              <w:bidi w:val="0"/>
              <w:rPr>
                <w:rFonts w:hint="eastAsia"/>
                <w:lang w:val="en-US" w:eastAsia="zh-CN"/>
              </w:rPr>
            </w:pPr>
            <w:r>
              <w:rPr>
                <w:rFonts w:hint="eastAsia"/>
                <w:lang w:val="en-US" w:eastAsia="zh-CN"/>
              </w:rPr>
              <w:t>生活垃圾以0.5kg/d·人计，项目劳动定员20人，年运营270d，则生活垃圾产生量为2.7t/a，统一收集后交由环卫部门处理。</w:t>
            </w:r>
          </w:p>
          <w:p>
            <w:pPr>
              <w:bidi w:val="0"/>
              <w:rPr>
                <w:rFonts w:hint="eastAsia"/>
                <w:lang w:val="en-US" w:eastAsia="zh-CN"/>
              </w:rPr>
            </w:pPr>
            <w:r>
              <w:rPr>
                <w:rFonts w:hint="eastAsia"/>
                <w:lang w:val="en-US" w:eastAsia="zh-CN"/>
              </w:rPr>
              <w:t>（2）除尘灰</w:t>
            </w:r>
          </w:p>
          <w:p>
            <w:pPr>
              <w:bidi w:val="0"/>
              <w:rPr>
                <w:rFonts w:hint="eastAsia"/>
                <w:lang w:val="en-US" w:eastAsia="zh-CN"/>
              </w:rPr>
            </w:pPr>
            <w:r>
              <w:rPr>
                <w:rFonts w:hint="eastAsia"/>
                <w:lang w:val="en-US" w:eastAsia="zh-CN"/>
              </w:rPr>
              <w:t>本项目除尘器工作时拦截的粉尘直接回落至筒仓内，除尘器布袋内收集有除尘灰（1012.10t/a），除尘灰主要为生产原料，全部回用于生产，不外排。</w:t>
            </w:r>
          </w:p>
          <w:p>
            <w:pPr>
              <w:bidi w:val="0"/>
              <w:rPr>
                <w:rFonts w:hint="eastAsia"/>
                <w:lang w:val="en-US" w:eastAsia="zh-CN"/>
              </w:rPr>
            </w:pPr>
            <w:r>
              <w:rPr>
                <w:rFonts w:hint="eastAsia"/>
                <w:lang w:val="en-US" w:eastAsia="zh-CN"/>
              </w:rPr>
              <w:t>（3）沉淀池底泥</w:t>
            </w:r>
          </w:p>
          <w:p>
            <w:pPr>
              <w:bidi w:val="0"/>
              <w:rPr>
                <w:rFonts w:hint="eastAsia"/>
                <w:lang w:val="en-US" w:eastAsia="zh-CN"/>
              </w:rPr>
            </w:pPr>
            <w:r>
              <w:rPr>
                <w:rFonts w:hint="eastAsia"/>
                <w:lang w:val="en-US" w:eastAsia="zh-CN"/>
              </w:rPr>
              <w:t>沉淀池收集的搅拌机冲洗废水、洗车废水和初期雨水中含有大量的泥沙及混凝土，经沉淀后此类泥沙及混凝土产生量为0.5t/a，可作为生产原料返回生产系统回用，不外排。</w:t>
            </w:r>
          </w:p>
          <w:p>
            <w:pPr>
              <w:bidi w:val="0"/>
              <w:rPr>
                <w:rFonts w:hint="eastAsia"/>
                <w:lang w:val="en-US" w:eastAsia="zh-CN"/>
              </w:rPr>
            </w:pPr>
            <w:r>
              <w:rPr>
                <w:rFonts w:hint="eastAsia"/>
                <w:lang w:val="en-US" w:eastAsia="zh-CN"/>
              </w:rPr>
              <w:t>（4）混凝土废渣：实验室废混凝土样品、拉运过程中会产生少量的掉落物料废渣，产生量约为1.0t/a，回用于生产，不外排。</w:t>
            </w:r>
          </w:p>
          <w:p>
            <w:pPr>
              <w:bidi w:val="0"/>
              <w:rPr>
                <w:rFonts w:hint="eastAsia"/>
                <w:b/>
                <w:bCs/>
                <w:lang w:val="en-US" w:eastAsia="zh-CN"/>
              </w:rPr>
            </w:pPr>
            <w:r>
              <w:rPr>
                <w:rFonts w:hint="eastAsia"/>
                <w:b/>
                <w:bCs/>
                <w:lang w:val="en-US" w:eastAsia="zh-CN"/>
              </w:rPr>
              <w:t>5、地下水及土壤环境</w:t>
            </w:r>
          </w:p>
          <w:p>
            <w:pPr>
              <w:bidi w:val="0"/>
              <w:rPr>
                <w:rFonts w:hint="eastAsia"/>
                <w:highlight w:val="none"/>
                <w:lang w:val="en-US" w:eastAsia="zh-CN"/>
              </w:rPr>
            </w:pPr>
            <w:r>
              <w:rPr>
                <w:rFonts w:hint="eastAsia"/>
                <w:highlight w:val="none"/>
                <w:lang w:val="en-US" w:eastAsia="zh-CN"/>
              </w:rPr>
              <w:t>项目营运期产生的大气污染物主要为生产过程中产生的粉尘。产生的生产废水沉淀后回用不外排，其主要污染物为悬浮物。生活污水经化粪池收集后，定期拉运至内蒙古蓝天碧水环境科技工程有限公司进行处理。</w:t>
            </w:r>
          </w:p>
          <w:p>
            <w:pPr>
              <w:bidi w:val="0"/>
              <w:rPr>
                <w:rFonts w:hint="eastAsia"/>
                <w:highlight w:val="none"/>
                <w:lang w:val="en-US" w:eastAsia="zh-CN"/>
              </w:rPr>
            </w:pPr>
            <w:r>
              <w:rPr>
                <w:rFonts w:hint="eastAsia"/>
                <w:highlight w:val="none"/>
                <w:lang w:val="en-US" w:eastAsia="zh-CN"/>
              </w:rPr>
              <w:t>为有效规避土壤/地下水环境污染的风险，应做好地下水污染预防措施，应按照“源头控制、分区控制、污染监控、应急响应”的主动与被动防渗相结合的防渗原则。</w:t>
            </w:r>
          </w:p>
          <w:p>
            <w:pPr>
              <w:bidi w:val="0"/>
              <w:rPr>
                <w:rFonts w:hint="eastAsia"/>
                <w:highlight w:val="yellow"/>
                <w:lang w:val="en-US" w:eastAsia="zh-CN"/>
              </w:rPr>
            </w:pPr>
            <w:r>
              <w:rPr>
                <w:rFonts w:hint="eastAsia"/>
                <w:highlight w:val="none"/>
                <w:lang w:val="en-US" w:eastAsia="zh-CN"/>
              </w:rPr>
              <w:t>根据生产装置、辅助设施及公用工程可能泄漏的特殊性质将项目区分为一般污染防治区和非污染防治区。为防止场区废水对地下水造成污染，在工程设计中，将分区对场区内防渗漏设施进行建设。项目防渗分区情况见表4-2。</w:t>
            </w:r>
          </w:p>
          <w:p>
            <w:pPr>
              <w:bidi w:val="0"/>
              <w:ind w:left="0" w:leftChars="0" w:firstLine="0" w:firstLineChars="0"/>
              <w:jc w:val="center"/>
              <w:rPr>
                <w:rFonts w:hint="eastAsia"/>
                <w:b/>
                <w:bCs/>
                <w:lang w:val="en-US" w:eastAsia="zh-CN"/>
              </w:rPr>
            </w:pPr>
            <w:r>
              <w:rPr>
                <w:rFonts w:hint="eastAsia"/>
                <w:b/>
                <w:bCs/>
                <w:lang w:val="en-US" w:eastAsia="zh-CN"/>
              </w:rPr>
              <w:t>表4-2项目分区防渗要求表</w:t>
            </w:r>
          </w:p>
          <w:tbl>
            <w:tblPr>
              <w:tblStyle w:val="9"/>
              <w:tblW w:w="7817"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1297"/>
              <w:gridCol w:w="4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1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lang w:val="en-US" w:eastAsia="zh-CN"/>
                    </w:rPr>
                  </w:pPr>
                  <w:r>
                    <w:rPr>
                      <w:rFonts w:hint="eastAsia"/>
                      <w:lang w:val="en-US" w:eastAsia="zh-CN"/>
                    </w:rPr>
                    <w:t>防渗区域</w:t>
                  </w:r>
                </w:p>
              </w:tc>
              <w:tc>
                <w:tcPr>
                  <w:tcW w:w="129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lang w:val="en-US" w:eastAsia="zh-CN"/>
                    </w:rPr>
                  </w:pPr>
                  <w:r>
                    <w:rPr>
                      <w:rFonts w:hint="eastAsia"/>
                      <w:lang w:val="en-US" w:eastAsia="zh-CN"/>
                    </w:rPr>
                    <w:t>防渗等级</w:t>
                  </w:r>
                </w:p>
              </w:tc>
              <w:tc>
                <w:tcPr>
                  <w:tcW w:w="421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lang w:val="en-US" w:eastAsia="zh-CN"/>
                    </w:rPr>
                  </w:pPr>
                  <w:r>
                    <w:rPr>
                      <w:rFonts w:hint="eastAsia"/>
                      <w:lang w:val="en-US" w:eastAsia="zh-CN"/>
                    </w:rPr>
                    <w:t>防渗技术要求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1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lang w:val="en-US" w:eastAsia="zh-CN"/>
                    </w:rPr>
                  </w:pPr>
                  <w:r>
                    <w:rPr>
                      <w:rFonts w:hint="eastAsia"/>
                      <w:szCs w:val="21"/>
                      <w:highlight w:val="none"/>
                      <w:lang w:val="en-US" w:eastAsia="zh-CN"/>
                    </w:rPr>
                    <w:t>沉淀池、初期雨水池、化粪池</w:t>
                  </w:r>
                </w:p>
              </w:tc>
              <w:tc>
                <w:tcPr>
                  <w:tcW w:w="129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lang w:val="en-US" w:eastAsia="zh-CN"/>
                    </w:rPr>
                  </w:pPr>
                  <w:r>
                    <w:rPr>
                      <w:rFonts w:hint="eastAsia"/>
                      <w:lang w:val="en-US" w:eastAsia="zh-CN"/>
                    </w:rPr>
                    <w:t>一般防渗区</w:t>
                  </w:r>
                </w:p>
              </w:tc>
              <w:tc>
                <w:tcPr>
                  <w:tcW w:w="421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lang w:val="en-US" w:eastAsia="zh-CN"/>
                    </w:rPr>
                  </w:pPr>
                  <w:r>
                    <w:rPr>
                      <w:rFonts w:hint="eastAsia"/>
                      <w:szCs w:val="21"/>
                      <w:highlight w:val="none"/>
                      <w:lang w:val="en-US" w:eastAsia="zh-CN"/>
                    </w:rPr>
                    <w:t>防渗技术要求等效黏土防渗层Mb≥1.5m，K≤1×10</w:t>
                  </w:r>
                  <w:r>
                    <w:rPr>
                      <w:rFonts w:hint="eastAsia"/>
                      <w:szCs w:val="21"/>
                      <w:highlight w:val="none"/>
                      <w:vertAlign w:val="superscript"/>
                      <w:lang w:val="en-US" w:eastAsia="zh-CN"/>
                    </w:rPr>
                    <w:t>-7</w:t>
                  </w:r>
                  <w:r>
                    <w:rPr>
                      <w:rFonts w:hint="eastAsia"/>
                      <w:szCs w:val="21"/>
                      <w:highlight w:val="none"/>
                      <w:lang w:val="en-US" w:eastAsia="zh-CN"/>
                    </w:rPr>
                    <w:t>cm/s。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1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lang w:val="en-US" w:eastAsia="zh-CN"/>
                    </w:rPr>
                  </w:pPr>
                  <w:r>
                    <w:rPr>
                      <w:rFonts w:hint="eastAsia"/>
                      <w:szCs w:val="21"/>
                      <w:highlight w:val="none"/>
                      <w:lang w:val="en-US" w:eastAsia="zh-CN"/>
                    </w:rPr>
                    <w:t>原料堆场、混凝土搅拌站、办公区、实验室、厂区内路面</w:t>
                  </w:r>
                </w:p>
              </w:tc>
              <w:tc>
                <w:tcPr>
                  <w:tcW w:w="129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lang w:val="en-US" w:eastAsia="zh-CN"/>
                    </w:rPr>
                  </w:pPr>
                  <w:r>
                    <w:rPr>
                      <w:rFonts w:hint="eastAsia"/>
                      <w:lang w:val="en-US" w:eastAsia="zh-CN"/>
                    </w:rPr>
                    <w:t>简单防渗区</w:t>
                  </w:r>
                </w:p>
              </w:tc>
              <w:tc>
                <w:tcPr>
                  <w:tcW w:w="421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lang w:val="en-US" w:eastAsia="zh-CN"/>
                    </w:rPr>
                  </w:pPr>
                  <w:r>
                    <w:rPr>
                      <w:rFonts w:hint="eastAsia"/>
                      <w:lang w:val="en-US" w:eastAsia="zh-CN"/>
                    </w:rPr>
                    <w:t>采取地面硬化</w:t>
                  </w:r>
                </w:p>
              </w:tc>
            </w:tr>
          </w:tbl>
          <w:p>
            <w:pPr>
              <w:bidi w:val="0"/>
              <w:rPr>
                <w:rFonts w:hint="eastAsia"/>
                <w:lang w:val="en-US" w:eastAsia="zh-CN"/>
              </w:rPr>
            </w:pPr>
            <w:r>
              <w:rPr>
                <w:rFonts w:hint="eastAsia"/>
                <w:lang w:val="en-US" w:eastAsia="zh-CN"/>
              </w:rPr>
              <w:t>综上所述，在采取必要的地下水污染防治措施后，该项目的运营对地下水和土壤环境影响是可以接受的。</w:t>
            </w:r>
          </w:p>
          <w:p>
            <w:pPr>
              <w:bidi w:val="0"/>
              <w:rPr>
                <w:rFonts w:hint="eastAsia"/>
                <w:b/>
                <w:bCs/>
                <w:lang w:val="en-US" w:eastAsia="zh-CN"/>
              </w:rPr>
            </w:pPr>
            <w:r>
              <w:rPr>
                <w:rFonts w:hint="eastAsia" w:ascii="Times New Roman" w:hAnsi="Times New Roman" w:eastAsia="宋体" w:cs="Times New Roman"/>
                <w:b/>
                <w:bCs/>
                <w:lang w:val="en-US" w:eastAsia="zh-CN"/>
              </w:rPr>
              <w:t>6、</w:t>
            </w:r>
            <w:r>
              <w:rPr>
                <w:rFonts w:hint="eastAsia"/>
                <w:b/>
                <w:bCs/>
                <w:lang w:val="en-US" w:eastAsia="zh-CN"/>
              </w:rPr>
              <w:t>环境风险分析</w:t>
            </w:r>
          </w:p>
          <w:p>
            <w:pPr>
              <w:bidi w:val="0"/>
              <w:rPr>
                <w:rFonts w:hint="eastAsia"/>
                <w:lang w:val="en-US" w:eastAsia="zh-CN"/>
              </w:rPr>
            </w:pPr>
            <w:r>
              <w:rPr>
                <w:rFonts w:hint="eastAsia"/>
                <w:lang w:val="en-US" w:eastAsia="zh-CN"/>
              </w:rPr>
              <w:t>按照《建设项目环境风险评价技术导则》（HI/T169-2018）的要求，本项目不涉及环境风险物质，故不开展环境风险分析。</w:t>
            </w:r>
          </w:p>
          <w:p>
            <w:pPr>
              <w:bidi w:val="0"/>
              <w:rPr>
                <w:rFonts w:hint="eastAsia"/>
                <w:lang w:val="en-US" w:eastAsia="zh-CN"/>
              </w:rPr>
            </w:pPr>
            <w:r>
              <w:rPr>
                <w:rFonts w:hint="eastAsia"/>
                <w:b/>
                <w:bCs/>
                <w:lang w:val="en-US" w:eastAsia="zh-CN"/>
              </w:rPr>
              <w:t>7、环保治理措施及投资估算</w:t>
            </w:r>
          </w:p>
          <w:p>
            <w:pPr>
              <w:bidi w:val="0"/>
              <w:rPr>
                <w:rFonts w:hint="eastAsia"/>
                <w:lang w:val="en-US" w:eastAsia="zh-CN"/>
              </w:rPr>
            </w:pPr>
            <w:r>
              <w:rPr>
                <w:rFonts w:hint="eastAsia"/>
                <w:lang w:val="en-US" w:eastAsia="zh-CN"/>
              </w:rPr>
              <w:t>本期工程总投资金额为980万元，其中环保投资金额为140万元，占总投资金额的14.29%。环保投资估算明细见表4-3。</w:t>
            </w:r>
          </w:p>
          <w:p>
            <w:pPr>
              <w:bidi w:val="0"/>
              <w:jc w:val="center"/>
              <w:rPr>
                <w:rFonts w:hint="default"/>
                <w:b/>
                <w:bCs/>
                <w:vertAlign w:val="baseline"/>
                <w:lang w:val="en-US" w:eastAsia="zh-CN"/>
              </w:rPr>
            </w:pPr>
            <w:r>
              <w:rPr>
                <w:rFonts w:hint="eastAsia"/>
                <w:b/>
                <w:bCs/>
                <w:lang w:val="en-US" w:eastAsia="zh-CN"/>
              </w:rPr>
              <w:t>表4-3拟建设项目环境保护投资估算一览表</w:t>
            </w:r>
          </w:p>
          <w:tbl>
            <w:tblPr>
              <w:tblStyle w:val="10"/>
              <w:tblW w:w="7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881"/>
              <w:gridCol w:w="4209"/>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类别</w:t>
                  </w:r>
                </w:p>
              </w:tc>
              <w:tc>
                <w:tcPr>
                  <w:tcW w:w="188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污染源</w:t>
                  </w:r>
                </w:p>
              </w:tc>
              <w:tc>
                <w:tcPr>
                  <w:tcW w:w="420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治理措施</w:t>
                  </w:r>
                </w:p>
              </w:tc>
              <w:tc>
                <w:tcPr>
                  <w:tcW w:w="112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环保投资（万元）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废气</w:t>
                  </w:r>
                </w:p>
              </w:tc>
              <w:tc>
                <w:tcPr>
                  <w:tcW w:w="188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default"/>
                      <w:highlight w:val="none"/>
                      <w:lang w:val="en-US" w:eastAsia="zh-CN"/>
                    </w:rPr>
                    <w:t>砂子、碎石装卸扬尘、堆存粉尘</w:t>
                  </w:r>
                </w:p>
              </w:tc>
              <w:tc>
                <w:tcPr>
                  <w:tcW w:w="420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default"/>
                      <w:highlight w:val="none"/>
                      <w:lang w:val="en-US" w:eastAsia="zh-CN"/>
                    </w:rPr>
                  </w:pPr>
                  <w:r>
                    <w:rPr>
                      <w:rFonts w:hint="eastAsia"/>
                      <w:szCs w:val="21"/>
                      <w:highlight w:val="none"/>
                      <w:lang w:val="en-US" w:eastAsia="zh-CN"/>
                    </w:rPr>
                    <w:t>全封闭</w:t>
                  </w:r>
                  <w:r>
                    <w:rPr>
                      <w:rFonts w:hint="eastAsia"/>
                      <w:kern w:val="0"/>
                      <w:szCs w:val="21"/>
                      <w:highlight w:val="none"/>
                      <w:lang w:val="en-US" w:eastAsia="zh-CN"/>
                    </w:rPr>
                    <w:t>原料堆场储存+堆存区上方设置2套喷淋设施，输送采用全封闭输送带，原料堆场四周地面硬化</w:t>
                  </w:r>
                </w:p>
              </w:tc>
              <w:tc>
                <w:tcPr>
                  <w:tcW w:w="112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highlight w:val="none"/>
                      <w:lang w:val="en-US" w:eastAsia="zh-CN"/>
                    </w:rPr>
                  </w:pPr>
                </w:p>
              </w:tc>
              <w:tc>
                <w:tcPr>
                  <w:tcW w:w="188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szCs w:val="21"/>
                      <w:highlight w:val="none"/>
                      <w:lang w:val="en-US" w:eastAsia="zh-CN"/>
                    </w:rPr>
                    <w:t>水泥、粉煤灰、矿粉筒仓输送、储存产生的粉尘</w:t>
                  </w:r>
                </w:p>
              </w:tc>
              <w:tc>
                <w:tcPr>
                  <w:tcW w:w="420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水泥筒仓4座，粉煤灰筒仓2个，矿粉筒仓2个，仓顶均配套袋式除尘器，产生的粉尘，最终经各自仓顶排气筒排放</w:t>
                  </w:r>
                </w:p>
              </w:tc>
              <w:tc>
                <w:tcPr>
                  <w:tcW w:w="112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highlight w:val="none"/>
                      <w:lang w:val="en-US" w:eastAsia="zh-CN"/>
                    </w:rPr>
                  </w:pPr>
                </w:p>
              </w:tc>
              <w:tc>
                <w:tcPr>
                  <w:tcW w:w="188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szCs w:val="21"/>
                      <w:highlight w:val="none"/>
                      <w:lang w:val="en-US" w:eastAsia="zh-CN"/>
                    </w:rPr>
                    <w:t>物料混合搅拌废气</w:t>
                  </w:r>
                </w:p>
              </w:tc>
              <w:tc>
                <w:tcPr>
                  <w:tcW w:w="420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default"/>
                      <w:highlight w:val="none"/>
                      <w:lang w:val="en-US" w:eastAsia="zh-CN"/>
                    </w:rPr>
                  </w:pPr>
                  <w:r>
                    <w:rPr>
                      <w:rFonts w:hint="eastAsia"/>
                      <w:szCs w:val="21"/>
                      <w:highlight w:val="none"/>
                      <w:lang w:val="en-US" w:eastAsia="zh-CN"/>
                    </w:rPr>
                    <w:t>搅拌设备为全封闭，</w:t>
                  </w:r>
                  <w:r>
                    <w:rPr>
                      <w:rFonts w:hint="default"/>
                      <w:highlight w:val="none"/>
                      <w:lang w:val="en-US" w:eastAsia="zh-CN"/>
                    </w:rPr>
                    <w:t>搅拌机配有一套脉冲式布袋除尘器除尘器</w:t>
                  </w:r>
                  <w:r>
                    <w:rPr>
                      <w:rFonts w:hint="eastAsia"/>
                      <w:highlight w:val="none"/>
                      <w:lang w:val="en-US" w:eastAsia="zh-CN"/>
                    </w:rPr>
                    <w:t>，直接安装在缓存斗盖上，缓存斗盖与搅拌机为封闭状态，</w:t>
                  </w:r>
                  <w:r>
                    <w:rPr>
                      <w:rFonts w:hint="eastAsia"/>
                      <w:szCs w:val="21"/>
                      <w:highlight w:val="none"/>
                      <w:lang w:val="en-US" w:eastAsia="zh-CN"/>
                    </w:rPr>
                    <w:t>经15m高排气筒排放。</w:t>
                  </w:r>
                </w:p>
              </w:tc>
              <w:tc>
                <w:tcPr>
                  <w:tcW w:w="112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highlight w:val="none"/>
                      <w:lang w:val="en-US" w:eastAsia="zh-CN"/>
                    </w:rPr>
                  </w:pPr>
                </w:p>
              </w:tc>
              <w:tc>
                <w:tcPr>
                  <w:tcW w:w="188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szCs w:val="21"/>
                      <w:highlight w:val="none"/>
                      <w:lang w:val="en-US" w:eastAsia="zh-CN"/>
                    </w:rPr>
                    <w:t>运输车辆动力起尘</w:t>
                  </w:r>
                </w:p>
              </w:tc>
              <w:tc>
                <w:tcPr>
                  <w:tcW w:w="420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default"/>
                      <w:highlight w:val="none"/>
                      <w:lang w:val="en-US" w:eastAsia="zh-CN"/>
                    </w:rPr>
                  </w:pPr>
                  <w:r>
                    <w:rPr>
                      <w:rFonts w:hint="eastAsia"/>
                      <w:szCs w:val="21"/>
                      <w:highlight w:val="none"/>
                      <w:lang w:val="en-US" w:eastAsia="zh-CN"/>
                    </w:rPr>
                    <w:t>厂区道路、停车场及其他地面硬化绿化，定时洒水；降低车辆运输速度；并配备高压水枪设备对驶出车辆进行冲洗清洁；厂区有保洁人员及时对散落的物料进行清扫收集。</w:t>
                  </w:r>
                </w:p>
              </w:tc>
              <w:tc>
                <w:tcPr>
                  <w:tcW w:w="112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废水</w:t>
                  </w:r>
                </w:p>
              </w:tc>
              <w:tc>
                <w:tcPr>
                  <w:tcW w:w="188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生产废水</w:t>
                  </w:r>
                </w:p>
              </w:tc>
              <w:tc>
                <w:tcPr>
                  <w:tcW w:w="420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eastAsia="宋体"/>
                      <w:highlight w:val="none"/>
                      <w:lang w:val="en-US" w:eastAsia="zh-CN"/>
                    </w:rPr>
                  </w:pPr>
                  <w:r>
                    <w:rPr>
                      <w:rFonts w:hint="eastAsia"/>
                      <w:highlight w:val="none"/>
                      <w:lang w:val="en-US" w:eastAsia="zh-CN"/>
                    </w:rPr>
                    <w:t>搅拌机、运输车辆清洗废水经沉淀池沉淀处理后回用于生产，不外排</w:t>
                  </w:r>
                  <w:r>
                    <w:rPr>
                      <w:rFonts w:hint="eastAsia"/>
                      <w:lang w:eastAsia="zh-CN"/>
                    </w:rPr>
                    <w:t>，</w:t>
                  </w:r>
                  <w:r>
                    <w:rPr>
                      <w:rFonts w:hint="eastAsia"/>
                      <w:lang w:val="en-US" w:eastAsia="zh-CN"/>
                    </w:rPr>
                    <w:t>项目设置1套二级沉淀池，厂区设置了二级沉淀池，二级沉淀池均为混凝土结构，容积均120m³，沉淀池采用一般防渗，等效黏土防渗层Mb≥1.5m，K≤1×10</w:t>
                  </w:r>
                  <w:r>
                    <w:rPr>
                      <w:rFonts w:hint="eastAsia"/>
                      <w:vertAlign w:val="superscript"/>
                      <w:lang w:val="en-US" w:eastAsia="zh-CN"/>
                    </w:rPr>
                    <w:t>-7</w:t>
                  </w:r>
                  <w:r>
                    <w:rPr>
                      <w:rFonts w:hint="eastAsia"/>
                      <w:lang w:val="en-US" w:eastAsia="zh-CN"/>
                    </w:rPr>
                    <w:t>cm/s。搅拌混合用水全部进入产品，原料堆场抑尘用水全部自然蒸发，搅拌混合用水全部带入产品。</w:t>
                  </w:r>
                </w:p>
              </w:tc>
              <w:tc>
                <w:tcPr>
                  <w:tcW w:w="112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highlight w:val="none"/>
                      <w:lang w:val="en-US" w:eastAsia="zh-CN"/>
                    </w:rPr>
                  </w:pPr>
                </w:p>
              </w:tc>
              <w:tc>
                <w:tcPr>
                  <w:tcW w:w="188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生活污水</w:t>
                  </w:r>
                </w:p>
              </w:tc>
              <w:tc>
                <w:tcPr>
                  <w:tcW w:w="420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生活污水经厂区内化粪池（10m³）收集后，定期由内蒙古蓝天碧水环境科技工程有限公司拉运处理</w:t>
                  </w:r>
                </w:p>
              </w:tc>
              <w:tc>
                <w:tcPr>
                  <w:tcW w:w="112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highlight w:val="none"/>
                      <w:lang w:val="en-US" w:eastAsia="zh-CN"/>
                    </w:rPr>
                  </w:pPr>
                </w:p>
              </w:tc>
              <w:tc>
                <w:tcPr>
                  <w:tcW w:w="188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初期雨水</w:t>
                  </w:r>
                </w:p>
              </w:tc>
              <w:tc>
                <w:tcPr>
                  <w:tcW w:w="420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厂区内新建1座15m³的初期雨水收集池，用于收集本项目的初期雨水，初期雨水经过沉淀澄清后，用于原料堆场洒水降尘用水</w:t>
                  </w:r>
                </w:p>
              </w:tc>
              <w:tc>
                <w:tcPr>
                  <w:tcW w:w="112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噪声</w:t>
                  </w:r>
                </w:p>
              </w:tc>
              <w:tc>
                <w:tcPr>
                  <w:tcW w:w="188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生产设备</w:t>
                  </w:r>
                </w:p>
              </w:tc>
              <w:tc>
                <w:tcPr>
                  <w:tcW w:w="420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default"/>
                      <w:highlight w:val="none"/>
                      <w:lang w:val="en-US" w:eastAsia="zh-CN"/>
                    </w:rPr>
                    <w:t>低噪声设备、建筑隔声、隔声罩、基础减震</w:t>
                  </w:r>
                </w:p>
              </w:tc>
              <w:tc>
                <w:tcPr>
                  <w:tcW w:w="112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固废</w:t>
                  </w:r>
                </w:p>
              </w:tc>
              <w:tc>
                <w:tcPr>
                  <w:tcW w:w="188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除尘灰</w:t>
                  </w:r>
                </w:p>
              </w:tc>
              <w:tc>
                <w:tcPr>
                  <w:tcW w:w="420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default"/>
                      <w:highlight w:val="none"/>
                      <w:lang w:val="en-US" w:eastAsia="zh-CN"/>
                    </w:rPr>
                  </w:pPr>
                  <w:r>
                    <w:rPr>
                      <w:rFonts w:hint="eastAsia"/>
                      <w:highlight w:val="none"/>
                      <w:lang w:val="en-US" w:eastAsia="zh-CN"/>
                    </w:rPr>
                    <w:t>除尘器布袋内收集的除尘灰，定时清理，不在厂区内暂存，直接用于生产原料，全部回用，不外排。</w:t>
                  </w:r>
                </w:p>
              </w:tc>
              <w:tc>
                <w:tcPr>
                  <w:tcW w:w="112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highlight w:val="none"/>
                      <w:lang w:val="en-US" w:eastAsia="zh-CN"/>
                    </w:rPr>
                  </w:pPr>
                </w:p>
              </w:tc>
              <w:tc>
                <w:tcPr>
                  <w:tcW w:w="188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沉淀池底泥</w:t>
                  </w:r>
                </w:p>
              </w:tc>
              <w:tc>
                <w:tcPr>
                  <w:tcW w:w="420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沉淀池底泥，定时清理，不在厂区内暂存，直接用于生产原料，全部回用，不外排。</w:t>
                  </w:r>
                </w:p>
              </w:tc>
              <w:tc>
                <w:tcPr>
                  <w:tcW w:w="112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highlight w:val="none"/>
                      <w:lang w:val="en-US" w:eastAsia="zh-CN"/>
                    </w:rPr>
                  </w:pPr>
                </w:p>
              </w:tc>
              <w:tc>
                <w:tcPr>
                  <w:tcW w:w="188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混凝土废渣</w:t>
                  </w:r>
                </w:p>
              </w:tc>
              <w:tc>
                <w:tcPr>
                  <w:tcW w:w="420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default"/>
                      <w:highlight w:val="none"/>
                      <w:lang w:val="en-US" w:eastAsia="zh-CN"/>
                    </w:rPr>
                  </w:pPr>
                  <w:r>
                    <w:rPr>
                      <w:rFonts w:hint="default"/>
                      <w:highlight w:val="none"/>
                      <w:lang w:val="en-US" w:eastAsia="zh-CN"/>
                    </w:rPr>
                    <w:t>实验室</w:t>
                  </w:r>
                  <w:r>
                    <w:rPr>
                      <w:rFonts w:hint="eastAsia"/>
                      <w:highlight w:val="none"/>
                      <w:lang w:val="en-US" w:eastAsia="zh-CN"/>
                    </w:rPr>
                    <w:t>混凝土废渣</w:t>
                  </w:r>
                  <w:r>
                    <w:rPr>
                      <w:rFonts w:hint="default"/>
                      <w:highlight w:val="none"/>
                      <w:lang w:val="en-US" w:eastAsia="zh-CN"/>
                    </w:rPr>
                    <w:t>、拉运过程中会产生少量的掉落物料废渣，回收利用，回用于生产，不外排。</w:t>
                  </w:r>
                </w:p>
              </w:tc>
              <w:tc>
                <w:tcPr>
                  <w:tcW w:w="112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highlight w:val="none"/>
                      <w:lang w:val="en-US" w:eastAsia="zh-CN"/>
                    </w:rPr>
                  </w:pPr>
                </w:p>
              </w:tc>
              <w:tc>
                <w:tcPr>
                  <w:tcW w:w="188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生活垃圾</w:t>
                  </w:r>
                </w:p>
              </w:tc>
              <w:tc>
                <w:tcPr>
                  <w:tcW w:w="420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default"/>
                      <w:highlight w:val="none"/>
                      <w:lang w:val="en-US" w:eastAsia="zh-CN"/>
                    </w:rPr>
                  </w:pPr>
                  <w:r>
                    <w:rPr>
                      <w:rFonts w:hint="eastAsia"/>
                      <w:highlight w:val="none"/>
                      <w:lang w:val="en-US" w:eastAsia="zh-CN"/>
                    </w:rPr>
                    <w:t>生活垃圾集中由厂区内的垃圾桶收集后，定期送至当地环卫部门进行处理。</w:t>
                  </w:r>
                </w:p>
              </w:tc>
              <w:tc>
                <w:tcPr>
                  <w:tcW w:w="112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防渗</w:t>
                  </w:r>
                </w:p>
              </w:tc>
              <w:tc>
                <w:tcPr>
                  <w:tcW w:w="6090" w:type="dxa"/>
                  <w:gridSpan w:val="2"/>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eastAsia"/>
                      <w:highlight w:val="none"/>
                      <w:lang w:val="en-US" w:eastAsia="zh-CN"/>
                    </w:rPr>
                  </w:pPr>
                  <w:r>
                    <w:rPr>
                      <w:rFonts w:hint="eastAsia"/>
                      <w:szCs w:val="21"/>
                      <w:highlight w:val="none"/>
                      <w:lang w:val="en-US" w:eastAsia="zh-CN"/>
                    </w:rPr>
                    <w:t>沉淀池、初期雨水池、化粪池进行一般防渗，防渗技术要求等效黏土防渗层Mb≥1.5m，K≤1×10</w:t>
                  </w:r>
                  <w:r>
                    <w:rPr>
                      <w:rFonts w:hint="eastAsia"/>
                      <w:szCs w:val="21"/>
                      <w:highlight w:val="none"/>
                      <w:vertAlign w:val="superscript"/>
                      <w:lang w:val="en-US" w:eastAsia="zh-CN"/>
                    </w:rPr>
                    <w:t>-7</w:t>
                  </w:r>
                  <w:r>
                    <w:rPr>
                      <w:rFonts w:hint="eastAsia"/>
                      <w:szCs w:val="21"/>
                      <w:highlight w:val="none"/>
                      <w:lang w:val="en-US" w:eastAsia="zh-CN"/>
                    </w:rPr>
                    <w:t>cm/s。原料堆场、混凝土搅拌站、办公区、实验室、厂区内路面进行水泥硬化简单防渗。</w:t>
                  </w:r>
                </w:p>
              </w:tc>
              <w:tc>
                <w:tcPr>
                  <w:tcW w:w="112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6" w:type="dxa"/>
                  <w:gridSpan w:val="3"/>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highlight w:val="yellow"/>
                      <w:lang w:val="en-US" w:eastAsia="zh-CN"/>
                    </w:rPr>
                  </w:pPr>
                  <w:r>
                    <w:rPr>
                      <w:rFonts w:hint="eastAsia"/>
                      <w:highlight w:val="none"/>
                      <w:lang w:val="en-US" w:eastAsia="zh-CN"/>
                    </w:rPr>
                    <w:t>厂区绿化</w:t>
                  </w:r>
                </w:p>
              </w:tc>
              <w:tc>
                <w:tcPr>
                  <w:tcW w:w="112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26" w:type="dxa"/>
                  <w:gridSpan w:val="3"/>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合计</w:t>
                  </w:r>
                </w:p>
              </w:tc>
              <w:tc>
                <w:tcPr>
                  <w:tcW w:w="112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highlight w:val="none"/>
                      <w:lang w:val="en-US" w:eastAsia="zh-CN"/>
                    </w:rPr>
                  </w:pPr>
                  <w:r>
                    <w:rPr>
                      <w:rFonts w:hint="eastAsia"/>
                      <w:highlight w:val="none"/>
                      <w:lang w:val="en-US" w:eastAsia="zh-CN"/>
                    </w:rPr>
                    <w:t>140</w:t>
                  </w:r>
                </w:p>
              </w:tc>
            </w:tr>
          </w:tbl>
          <w:p>
            <w:pPr>
              <w:bidi w:val="0"/>
              <w:ind w:left="0" w:leftChars="0" w:firstLine="0" w:firstLineChars="0"/>
              <w:jc w:val="both"/>
              <w:rPr>
                <w:rFonts w:hint="default"/>
                <w:lang w:val="en-US" w:eastAsia="zh-CN"/>
              </w:rPr>
            </w:pPr>
          </w:p>
        </w:tc>
      </w:tr>
    </w:tbl>
    <w:p>
      <w:pPr>
        <w:rPr>
          <w:rFonts w:hint="default" w:ascii="Times New Roman" w:hAnsi="Times New Roman" w:eastAsia="黑体" w:cs="Times New Roman"/>
          <w:snapToGrid w:val="0"/>
          <w:sz w:val="30"/>
          <w:szCs w:val="30"/>
        </w:rPr>
      </w:pPr>
      <w:r>
        <w:rPr>
          <w:rFonts w:hint="default" w:ascii="Times New Roman" w:hAnsi="Times New Roman" w:eastAsia="黑体" w:cs="Times New Roman"/>
          <w:snapToGrid w:val="0"/>
          <w:sz w:val="30"/>
          <w:szCs w:val="30"/>
        </w:rPr>
        <w:br w:type="page"/>
      </w:r>
    </w:p>
    <w:p>
      <w:pPr>
        <w:pStyle w:val="8"/>
        <w:jc w:val="center"/>
        <w:outlineLvl w:val="0"/>
        <w:rPr>
          <w:rFonts w:hint="default" w:ascii="Times New Roman" w:hAnsi="Times New Roman" w:eastAsia="黑体" w:cs="Times New Roman"/>
          <w:snapToGrid w:val="0"/>
          <w:sz w:val="30"/>
          <w:szCs w:val="30"/>
        </w:rPr>
      </w:pPr>
      <w:r>
        <w:rPr>
          <w:rFonts w:hint="default" w:ascii="Times New Roman" w:hAnsi="Times New Roman" w:eastAsia="黑体" w:cs="Times New Roman"/>
          <w:snapToGrid w:val="0"/>
          <w:sz w:val="30"/>
          <w:szCs w:val="30"/>
        </w:rPr>
        <w:t>五、</w:t>
      </w:r>
      <w:bookmarkStart w:id="1" w:name="_Hlk54167917"/>
      <w:r>
        <w:rPr>
          <w:rFonts w:hint="default" w:ascii="Times New Roman" w:hAnsi="Times New Roman" w:eastAsia="黑体" w:cs="Times New Roman"/>
          <w:snapToGrid w:val="0"/>
          <w:sz w:val="30"/>
          <w:szCs w:val="30"/>
        </w:rPr>
        <w:t>环境保护措施监督检查清单</w:t>
      </w:r>
      <w:bookmarkEnd w:id="1"/>
    </w:p>
    <w:tbl>
      <w:tblPr>
        <w:tblStyle w:val="9"/>
        <w:tblW w:w="88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904"/>
        <w:gridCol w:w="1361"/>
        <w:gridCol w:w="2000"/>
        <w:gridCol w:w="17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tcBorders>
              <w:tl2br w:val="single" w:color="auto" w:sz="4" w:space="0"/>
            </w:tcBorders>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840" w:firstLineChars="400"/>
              <w:textAlignment w:val="auto"/>
              <w:rPr>
                <w:rFonts w:hint="default" w:ascii="Times New Roman" w:hAnsi="Times New Roman" w:cs="Times New Roman"/>
                <w:szCs w:val="21"/>
              </w:rPr>
            </w:pPr>
            <w:r>
              <w:rPr>
                <w:rFonts w:hint="default" w:ascii="Times New Roman" w:hAnsi="Times New Roman" w:cs="Times New Roman"/>
                <w:szCs w:val="21"/>
              </w:rPr>
              <w:t>内容</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cs="Times New Roman"/>
                <w:szCs w:val="21"/>
              </w:rPr>
            </w:pPr>
            <w:r>
              <w:rPr>
                <w:rFonts w:hint="default" w:ascii="Times New Roman" w:hAnsi="Times New Roman" w:cs="Times New Roman"/>
                <w:szCs w:val="21"/>
              </w:rPr>
              <w:t>要素</w:t>
            </w:r>
          </w:p>
        </w:tc>
        <w:tc>
          <w:tcPr>
            <w:tcW w:w="190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排放口(编号、</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名称)/污染源</w:t>
            </w:r>
          </w:p>
        </w:tc>
        <w:tc>
          <w:tcPr>
            <w:tcW w:w="136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污染物项目</w:t>
            </w:r>
          </w:p>
        </w:tc>
        <w:tc>
          <w:tcPr>
            <w:tcW w:w="200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环境保护措施</w:t>
            </w:r>
          </w:p>
        </w:tc>
        <w:tc>
          <w:tcPr>
            <w:tcW w:w="175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大气环境</w:t>
            </w:r>
          </w:p>
        </w:tc>
        <w:tc>
          <w:tcPr>
            <w:tcW w:w="190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eastAsia"/>
                <w:szCs w:val="21"/>
                <w:highlight w:val="none"/>
                <w:lang w:val="en-US" w:eastAsia="zh-CN"/>
              </w:rPr>
              <w:t>砂子、碎石装卸扬尘、堆存粉尘</w:t>
            </w:r>
          </w:p>
        </w:tc>
        <w:tc>
          <w:tcPr>
            <w:tcW w:w="1361"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szCs w:val="21"/>
                <w:lang w:val="en-US" w:eastAsia="zh-CN"/>
              </w:rPr>
            </w:pPr>
            <w:r>
              <w:rPr>
                <w:rFonts w:hint="eastAsia" w:cs="Times New Roman"/>
                <w:szCs w:val="21"/>
                <w:lang w:val="en-US" w:eastAsia="zh-CN"/>
              </w:rPr>
              <w:t>颗粒物</w:t>
            </w:r>
          </w:p>
        </w:tc>
        <w:tc>
          <w:tcPr>
            <w:tcW w:w="2000"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szCs w:val="21"/>
                <w:highlight w:val="none"/>
                <w:lang w:val="en-US" w:eastAsia="zh-CN"/>
              </w:rPr>
            </w:pPr>
            <w:r>
              <w:rPr>
                <w:rFonts w:hint="eastAsia"/>
                <w:szCs w:val="21"/>
                <w:highlight w:val="none"/>
                <w:lang w:val="en-US" w:eastAsia="zh-CN"/>
              </w:rPr>
              <w:t>砂子、碎石采用全封闭</w:t>
            </w:r>
            <w:r>
              <w:rPr>
                <w:rFonts w:hint="eastAsia"/>
                <w:kern w:val="0"/>
                <w:szCs w:val="21"/>
                <w:highlight w:val="none"/>
                <w:lang w:val="en-US" w:eastAsia="zh-CN"/>
              </w:rPr>
              <w:t>原料堆场储存，堆存区上方设置2套喷淋设施，原料装卸过程尽量减小卸料落差，输料采用全封闭输送带；原料堆场四周地面硬化。</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p>
        </w:tc>
        <w:tc>
          <w:tcPr>
            <w:tcW w:w="175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lang w:val="en-US" w:eastAsia="zh-CN"/>
              </w:rPr>
              <w:t>《水泥工业大气污染物排放标准》（GB4915-2013）表3大气污染物无组织排放限值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p>
        </w:tc>
        <w:tc>
          <w:tcPr>
            <w:tcW w:w="190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eastAsia"/>
                <w:szCs w:val="21"/>
                <w:highlight w:val="none"/>
                <w:lang w:val="en-US" w:eastAsia="zh-CN"/>
              </w:rPr>
              <w:t>水泥、粉煤灰、矿粉筒仓输送、储存产生的粉尘（DA001-DA008）</w:t>
            </w:r>
          </w:p>
        </w:tc>
        <w:tc>
          <w:tcPr>
            <w:tcW w:w="1361"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p>
        </w:tc>
        <w:tc>
          <w:tcPr>
            <w:tcW w:w="2000"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cs="Times New Roman"/>
                <w:szCs w:val="21"/>
              </w:rPr>
            </w:pPr>
            <w:r>
              <w:rPr>
                <w:rFonts w:hint="eastAsia"/>
                <w:szCs w:val="21"/>
                <w:highlight w:val="none"/>
                <w:lang w:val="en-US" w:eastAsia="zh-CN"/>
              </w:rPr>
              <w:t>水泥、粉煤灰、矿粉筒仓为全封闭，仓顶均配有袋式除尘器（共8套），处理后经各自仓顶排气筒排放。</w:t>
            </w:r>
          </w:p>
        </w:tc>
        <w:tc>
          <w:tcPr>
            <w:tcW w:w="175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cs="Times New Roman"/>
                <w:szCs w:val="21"/>
              </w:rPr>
            </w:pPr>
            <w:r>
              <w:rPr>
                <w:rFonts w:hint="eastAsia"/>
                <w:lang w:val="en-US" w:eastAsia="zh-CN"/>
              </w:rPr>
              <w:t>《水泥工业大气污染物排放标准》（GB4915-2013）表1现有与新建企业大气污染物排放限值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p>
        </w:tc>
        <w:tc>
          <w:tcPr>
            <w:tcW w:w="190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eastAsia"/>
                <w:szCs w:val="21"/>
                <w:highlight w:val="none"/>
                <w:lang w:val="en-US" w:eastAsia="zh-CN"/>
              </w:rPr>
              <w:t>物料混合搅拌废气</w:t>
            </w:r>
          </w:p>
        </w:tc>
        <w:tc>
          <w:tcPr>
            <w:tcW w:w="1361"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p>
        </w:tc>
        <w:tc>
          <w:tcPr>
            <w:tcW w:w="200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cs="Times New Roman"/>
                <w:szCs w:val="21"/>
              </w:rPr>
            </w:pPr>
            <w:r>
              <w:rPr>
                <w:rFonts w:hint="eastAsia"/>
                <w:szCs w:val="21"/>
                <w:highlight w:val="none"/>
                <w:lang w:val="en-US" w:eastAsia="zh-CN"/>
              </w:rPr>
              <w:t>搅拌设备为全封闭，搅拌机配有一套脉冲式布袋除尘器除尘器直接安装在缓存斗盖上，缓存斗盖与搅拌机为封闭状态，经15m高排气筒排放</w:t>
            </w:r>
          </w:p>
        </w:tc>
        <w:tc>
          <w:tcPr>
            <w:tcW w:w="175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lang w:val="en-US" w:eastAsia="zh-CN"/>
              </w:rPr>
              <w:t>《水泥工业大气污染物排放标准》（GB4915-2013）表3大气污染物无组织排放限值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p>
        </w:tc>
        <w:tc>
          <w:tcPr>
            <w:tcW w:w="190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szCs w:val="21"/>
                <w:highlight w:val="none"/>
                <w:lang w:val="en-US" w:eastAsia="zh-CN"/>
              </w:rPr>
            </w:pPr>
            <w:r>
              <w:rPr>
                <w:rFonts w:hint="eastAsia"/>
                <w:szCs w:val="21"/>
                <w:highlight w:val="none"/>
                <w:lang w:val="en-US" w:eastAsia="zh-CN"/>
              </w:rPr>
              <w:t>运输车辆动力起尘</w:t>
            </w:r>
          </w:p>
        </w:tc>
        <w:tc>
          <w:tcPr>
            <w:tcW w:w="1361"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p>
        </w:tc>
        <w:tc>
          <w:tcPr>
            <w:tcW w:w="200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cs="Times New Roman"/>
                <w:szCs w:val="21"/>
              </w:rPr>
            </w:pPr>
            <w:r>
              <w:rPr>
                <w:rFonts w:hint="eastAsia"/>
                <w:szCs w:val="21"/>
                <w:highlight w:val="none"/>
                <w:lang w:val="en-US" w:eastAsia="zh-CN"/>
              </w:rPr>
              <w:t>厂区道路、停车场及其他地面硬化绿化，定时洒水；降低车辆运输速度；并配备高压水枪设备对驶出车辆进行冲洗清洁；厂区有保洁人员及时对散落的物料进行清扫收集。</w:t>
            </w:r>
          </w:p>
        </w:tc>
        <w:tc>
          <w:tcPr>
            <w:tcW w:w="175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eastAsia="宋体" w:cs="Times New Roman"/>
                <w:szCs w:val="21"/>
                <w:lang w:val="en-US" w:eastAsia="zh-CN"/>
              </w:rPr>
            </w:pPr>
            <w:r>
              <w:rPr>
                <w:rFonts w:hint="eastAsia" w:cs="Times New Roman"/>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地表水环境</w:t>
            </w:r>
          </w:p>
        </w:tc>
        <w:tc>
          <w:tcPr>
            <w:tcW w:w="190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lang w:val="en-US" w:eastAsia="zh-CN"/>
              </w:rPr>
              <w:t>搅拌混合用水</w:t>
            </w:r>
          </w:p>
        </w:tc>
        <w:tc>
          <w:tcPr>
            <w:tcW w:w="5118" w:type="dxa"/>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lang w:val="en-US" w:eastAsia="zh-CN"/>
              </w:rPr>
              <w:t>混凝土加工过程加入水进入混凝土成品，无外排水。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p>
        </w:tc>
        <w:tc>
          <w:tcPr>
            <w:tcW w:w="190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lang w:val="en-US" w:eastAsia="zh-CN"/>
              </w:rPr>
              <w:t>原料堆场抑尘用水</w:t>
            </w:r>
          </w:p>
        </w:tc>
        <w:tc>
          <w:tcPr>
            <w:tcW w:w="5118" w:type="dxa"/>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cs="Times New Roman"/>
                <w:szCs w:val="21"/>
              </w:rPr>
            </w:pPr>
            <w:r>
              <w:rPr>
                <w:rFonts w:hint="eastAsia"/>
                <w:lang w:val="en-US" w:eastAsia="zh-CN"/>
              </w:rPr>
              <w:t>降尘用水为雾化水，粒径在1~100微米，作为水雾最终蒸发，无废水产生。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p>
        </w:tc>
        <w:tc>
          <w:tcPr>
            <w:tcW w:w="190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lang w:val="en-US" w:eastAsia="zh-CN"/>
              </w:rPr>
              <w:t>搅拌机清洗废水</w:t>
            </w:r>
          </w:p>
        </w:tc>
        <w:tc>
          <w:tcPr>
            <w:tcW w:w="5118" w:type="dxa"/>
            <w:gridSpan w:val="3"/>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lang w:val="en-US" w:eastAsia="zh-CN"/>
              </w:rPr>
              <w:t>送厂区沉淀系统处理后回用于混凝土产线，不外排。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p>
        </w:tc>
        <w:tc>
          <w:tcPr>
            <w:tcW w:w="190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运输车辆清洗废水</w:t>
            </w:r>
          </w:p>
        </w:tc>
        <w:tc>
          <w:tcPr>
            <w:tcW w:w="5118" w:type="dxa"/>
            <w:gridSpan w:val="3"/>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p>
        </w:tc>
        <w:tc>
          <w:tcPr>
            <w:tcW w:w="190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初期雨水</w:t>
            </w:r>
          </w:p>
        </w:tc>
        <w:tc>
          <w:tcPr>
            <w:tcW w:w="5118" w:type="dxa"/>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lang w:val="en-US" w:eastAsia="zh-CN"/>
              </w:rPr>
              <w:t>回用于原料堆场洒水降尘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p>
        </w:tc>
        <w:tc>
          <w:tcPr>
            <w:tcW w:w="190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lang w:val="en-US" w:eastAsia="zh-CN"/>
              </w:rPr>
            </w:pPr>
            <w:r>
              <w:rPr>
                <w:rFonts w:hint="eastAsia" w:cs="Times New Roman"/>
                <w:szCs w:val="21"/>
                <w:lang w:val="en-US" w:eastAsia="zh-CN"/>
              </w:rPr>
              <w:t>生活污水</w:t>
            </w:r>
          </w:p>
        </w:tc>
        <w:tc>
          <w:tcPr>
            <w:tcW w:w="5118" w:type="dxa"/>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lang w:val="en-US" w:eastAsia="zh-CN"/>
              </w:rPr>
              <w:t>新建一座10m³防渗化粪池，定期拉运至</w:t>
            </w:r>
            <w:r>
              <w:rPr>
                <w:rFonts w:hint="eastAsia" w:cs="Times New Roman"/>
                <w:szCs w:val="21"/>
                <w:lang w:val="en-US" w:eastAsia="zh-CN"/>
              </w:rPr>
              <w:t>内蒙古蓝天碧水环境科技工程有限公司</w:t>
            </w:r>
            <w:r>
              <w:rPr>
                <w:rFonts w:hint="default" w:ascii="Times New Roman" w:hAnsi="Times New Roman" w:cs="Times New Roman"/>
                <w:szCs w:val="21"/>
                <w:lang w:val="en-US" w:eastAsia="zh-CN"/>
              </w:rPr>
              <w:t>进行处理。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声环境</w:t>
            </w:r>
          </w:p>
        </w:tc>
        <w:tc>
          <w:tcPr>
            <w:tcW w:w="190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lang w:val="en-US" w:eastAsia="zh-CN"/>
              </w:rPr>
              <w:t>主要噪声源有空压机、搅拌机、风机等</w:t>
            </w:r>
          </w:p>
        </w:tc>
        <w:tc>
          <w:tcPr>
            <w:tcW w:w="136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lang w:val="en-US" w:eastAsia="zh-CN"/>
              </w:rPr>
              <w:t>等效连续声压级</w:t>
            </w:r>
          </w:p>
        </w:tc>
        <w:tc>
          <w:tcPr>
            <w:tcW w:w="200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lang w:val="en-US" w:eastAsia="zh-CN"/>
              </w:rPr>
              <w:t>选用低噪声设备、建筑隔声（吸声材料）、隔声罩、基础减振</w:t>
            </w:r>
          </w:p>
        </w:tc>
        <w:tc>
          <w:tcPr>
            <w:tcW w:w="175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lang w:val="en-US" w:eastAsia="zh-CN"/>
              </w:rPr>
              <w:t>《工业企业厂界环境噪声排放标准》（GB12348-2008）2类标准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电磁辐射</w:t>
            </w:r>
          </w:p>
        </w:tc>
        <w:tc>
          <w:tcPr>
            <w:tcW w:w="190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eastAsia="宋体" w:cs="Times New Roman"/>
                <w:szCs w:val="21"/>
                <w:lang w:val="en-US" w:eastAsia="zh-CN"/>
              </w:rPr>
            </w:pPr>
            <w:r>
              <w:rPr>
                <w:rFonts w:hint="eastAsia" w:cs="Times New Roman"/>
                <w:szCs w:val="21"/>
                <w:lang w:val="en-US" w:eastAsia="zh-CN"/>
              </w:rPr>
              <w:t>/</w:t>
            </w:r>
          </w:p>
        </w:tc>
        <w:tc>
          <w:tcPr>
            <w:tcW w:w="136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eastAsia="宋体" w:cs="Times New Roman"/>
                <w:szCs w:val="21"/>
                <w:lang w:val="en-US" w:eastAsia="zh-CN"/>
              </w:rPr>
            </w:pPr>
            <w:r>
              <w:rPr>
                <w:rFonts w:hint="eastAsia" w:cs="Times New Roman"/>
                <w:szCs w:val="21"/>
                <w:lang w:val="en-US" w:eastAsia="zh-CN"/>
              </w:rPr>
              <w:t>/</w:t>
            </w:r>
          </w:p>
        </w:tc>
        <w:tc>
          <w:tcPr>
            <w:tcW w:w="200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eastAsia="宋体" w:cs="Times New Roman"/>
                <w:szCs w:val="21"/>
                <w:lang w:val="en-US" w:eastAsia="zh-CN"/>
              </w:rPr>
            </w:pPr>
            <w:r>
              <w:rPr>
                <w:rFonts w:hint="eastAsia" w:cs="Times New Roman"/>
                <w:szCs w:val="21"/>
                <w:lang w:val="en-US" w:eastAsia="zh-CN"/>
              </w:rPr>
              <w:t>/</w:t>
            </w:r>
          </w:p>
        </w:tc>
        <w:tc>
          <w:tcPr>
            <w:tcW w:w="175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eastAsia="宋体" w:cs="Times New Roman"/>
                <w:szCs w:val="21"/>
                <w:lang w:val="en-US" w:eastAsia="zh-CN"/>
              </w:rPr>
            </w:pPr>
            <w:r>
              <w:rPr>
                <w:rFonts w:hint="eastAsia" w:cs="Times New Roman"/>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固体废物</w:t>
            </w:r>
          </w:p>
        </w:tc>
        <w:tc>
          <w:tcPr>
            <w:tcW w:w="7022" w:type="dxa"/>
            <w:gridSpan w:val="4"/>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eastAsia"/>
                <w:szCs w:val="21"/>
                <w:highlight w:val="none"/>
                <w:lang w:val="en-US" w:eastAsia="zh-CN"/>
              </w:rPr>
            </w:pPr>
            <w:r>
              <w:rPr>
                <w:rFonts w:hint="eastAsia"/>
                <w:szCs w:val="21"/>
                <w:highlight w:val="none"/>
                <w:lang w:val="en-US" w:eastAsia="zh-CN"/>
              </w:rPr>
              <w:t>①混凝土废渣：实验室废混凝土样品、拉运过程中产生的少量掉落废渣作为原料及时重新回用于搅拌机搅拌。</w:t>
            </w:r>
          </w:p>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eastAsia"/>
                <w:szCs w:val="21"/>
                <w:highlight w:val="none"/>
                <w:lang w:val="en-US" w:eastAsia="zh-CN"/>
              </w:rPr>
            </w:pPr>
            <w:r>
              <w:rPr>
                <w:rFonts w:hint="eastAsia"/>
                <w:szCs w:val="21"/>
                <w:highlight w:val="none"/>
                <w:lang w:val="en-US" w:eastAsia="zh-CN"/>
              </w:rPr>
              <w:t>②除尘灰：水泥筒仓、粉煤灰筒仓、搅拌站除尘器收集的粉尘返回生产系统回用。</w:t>
            </w:r>
          </w:p>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eastAsia" w:ascii="Times New Roman" w:hAnsi="Times New Roman" w:eastAsia="宋体" w:cs="Times New Roman"/>
                <w:szCs w:val="21"/>
                <w:highlight w:val="none"/>
                <w:lang w:val="en-US" w:eastAsia="zh-CN"/>
              </w:rPr>
            </w:pPr>
            <w:r>
              <w:rPr>
                <w:rFonts w:hint="eastAsia"/>
                <w:szCs w:val="21"/>
                <w:highlight w:val="none"/>
                <w:lang w:val="en-US" w:eastAsia="zh-CN"/>
              </w:rPr>
              <w:t>③沉淀池底泥：</w:t>
            </w:r>
            <w:r>
              <w:rPr>
                <w:rFonts w:hint="eastAsia" w:ascii="Times New Roman" w:hAnsi="Times New Roman" w:eastAsia="宋体" w:cs="Times New Roman"/>
                <w:szCs w:val="21"/>
                <w:highlight w:val="none"/>
                <w:lang w:val="en-US" w:eastAsia="zh-CN"/>
              </w:rPr>
              <w:t>沉淀池产生的沉淀渣定期捞取后回用于混凝土生产。</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cs="Times New Roman"/>
                <w:szCs w:val="21"/>
              </w:rPr>
            </w:pPr>
            <w:r>
              <w:rPr>
                <w:rFonts w:hint="eastAsia" w:ascii="Times New Roman" w:hAnsi="Times New Roman" w:eastAsia="宋体" w:cs="Times New Roman"/>
                <w:szCs w:val="21"/>
                <w:highlight w:val="none"/>
                <w:lang w:val="en-US" w:eastAsia="zh-CN"/>
              </w:rPr>
              <w:t>④生活垃圾：集中收集至垃圾箱后，定期送至环卫部门进行处理。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土壤及地下水</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污染防治措施</w:t>
            </w:r>
          </w:p>
        </w:tc>
        <w:tc>
          <w:tcPr>
            <w:tcW w:w="7022" w:type="dxa"/>
            <w:gridSpan w:val="4"/>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0" w:firstLineChars="0"/>
              <w:textAlignment w:val="auto"/>
              <w:rPr>
                <w:rFonts w:hint="eastAsia"/>
                <w:szCs w:val="21"/>
                <w:highlight w:val="none"/>
                <w:lang w:val="en-US" w:eastAsia="zh-CN"/>
              </w:rPr>
            </w:pPr>
            <w:r>
              <w:rPr>
                <w:rFonts w:hint="eastAsia"/>
                <w:szCs w:val="21"/>
                <w:highlight w:val="none"/>
                <w:lang w:val="en-US" w:eastAsia="zh-CN"/>
              </w:rPr>
              <w:t>①沉淀池、初期雨水池、化粪池进行一般防渗，防渗技术要求等效黏土防渗层Mb≥1.5m，K≤1×10</w:t>
            </w:r>
            <w:r>
              <w:rPr>
                <w:rFonts w:hint="eastAsia"/>
                <w:szCs w:val="21"/>
                <w:highlight w:val="none"/>
                <w:vertAlign w:val="superscript"/>
                <w:lang w:val="en-US" w:eastAsia="zh-CN"/>
              </w:rPr>
              <w:t>-7</w:t>
            </w:r>
            <w:r>
              <w:rPr>
                <w:rFonts w:hint="eastAsia"/>
                <w:szCs w:val="21"/>
                <w:highlight w:val="none"/>
                <w:lang w:val="en-US" w:eastAsia="zh-CN"/>
              </w:rPr>
              <w:t>cm/s。</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hint="default" w:ascii="Times New Roman" w:hAnsi="Times New Roman" w:cs="Times New Roman"/>
                <w:szCs w:val="21"/>
              </w:rPr>
            </w:pPr>
            <w:r>
              <w:rPr>
                <w:rFonts w:hint="eastAsia"/>
                <w:szCs w:val="21"/>
                <w:highlight w:val="none"/>
                <w:lang w:val="en-US" w:eastAsia="zh-CN"/>
              </w:rPr>
              <w:t>②原料堆场、混凝土搅拌站、办公区、实验室、厂区内路面进行水泥硬化简单防渗。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77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生态保护措施</w:t>
            </w:r>
          </w:p>
        </w:tc>
        <w:tc>
          <w:tcPr>
            <w:tcW w:w="7022" w:type="dxa"/>
            <w:gridSpan w:val="4"/>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eastAsia="宋体" w:cs="Times New Roman"/>
                <w:szCs w:val="21"/>
                <w:lang w:val="en-US" w:eastAsia="zh-CN"/>
              </w:rPr>
            </w:pPr>
            <w:r>
              <w:rPr>
                <w:rFonts w:hint="eastAsia" w:cs="Times New Roman"/>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77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pacing w:val="-8"/>
                <w:szCs w:val="21"/>
              </w:rPr>
            </w:pPr>
            <w:r>
              <w:rPr>
                <w:rFonts w:hint="default" w:ascii="Times New Roman" w:hAnsi="Times New Roman" w:cs="Times New Roman"/>
                <w:spacing w:val="-8"/>
                <w:szCs w:val="21"/>
              </w:rPr>
              <w:t>环境风险</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pacing w:val="-8"/>
                <w:szCs w:val="21"/>
              </w:rPr>
            </w:pPr>
            <w:r>
              <w:rPr>
                <w:rFonts w:hint="default" w:ascii="Times New Roman" w:hAnsi="Times New Roman" w:cs="Times New Roman"/>
                <w:spacing w:val="-8"/>
                <w:szCs w:val="21"/>
              </w:rPr>
              <w:t>防范措施</w:t>
            </w:r>
          </w:p>
        </w:tc>
        <w:tc>
          <w:tcPr>
            <w:tcW w:w="7022" w:type="dxa"/>
            <w:gridSpan w:val="4"/>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eastAsia" w:ascii="Times New Roman" w:hAnsi="Times New Roman" w:eastAsia="宋体" w:cs="Times New Roman"/>
                <w:szCs w:val="21"/>
                <w:lang w:val="en-US" w:eastAsia="zh-CN"/>
              </w:rPr>
            </w:pPr>
            <w:r>
              <w:rPr>
                <w:rFonts w:hint="eastAsia" w:cs="Times New Roman"/>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77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pacing w:val="-8"/>
                <w:szCs w:val="21"/>
              </w:rPr>
            </w:pPr>
            <w:r>
              <w:rPr>
                <w:rFonts w:hint="default" w:ascii="Times New Roman" w:hAnsi="Times New Roman" w:cs="Times New Roman"/>
                <w:spacing w:val="-8"/>
                <w:szCs w:val="21"/>
              </w:rPr>
              <w:t>其他环境</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spacing w:val="-8"/>
                <w:szCs w:val="21"/>
              </w:rPr>
            </w:pPr>
            <w:r>
              <w:rPr>
                <w:rFonts w:hint="default" w:ascii="Times New Roman" w:hAnsi="Times New Roman" w:cs="Times New Roman"/>
                <w:spacing w:val="-8"/>
                <w:szCs w:val="21"/>
              </w:rPr>
              <w:t>管理要求</w:t>
            </w:r>
          </w:p>
        </w:tc>
        <w:tc>
          <w:tcPr>
            <w:tcW w:w="7022" w:type="dxa"/>
            <w:gridSpan w:val="4"/>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textAlignment w:val="auto"/>
              <w:rPr>
                <w:rFonts w:hint="default" w:ascii="Times New Roman" w:hAnsi="Times New Roman" w:cs="Times New Roman"/>
                <w:szCs w:val="21"/>
              </w:rPr>
            </w:pPr>
            <w:r>
              <w:rPr>
                <w:rFonts w:hint="default" w:ascii="Times New Roman" w:hAnsi="Times New Roman" w:cs="Times New Roman"/>
                <w:szCs w:val="21"/>
              </w:rPr>
              <w:t>加强管理，保证污染防治设施的正常运行，最大限度地减少污染排放给环境造成的影响。环保设施的日常管理和维护保养保证其长期稳定运行。通过宣传、学习，增强职工的环保意识，将生产管理和环保管理有机结合起来。</w:t>
            </w:r>
          </w:p>
        </w:tc>
      </w:tr>
    </w:tbl>
    <w:p>
      <w:pPr>
        <w:pStyle w:val="8"/>
        <w:jc w:val="center"/>
        <w:outlineLvl w:val="0"/>
        <w:rPr>
          <w:rFonts w:hint="default" w:ascii="Times New Roman" w:hAnsi="Times New Roman" w:eastAsia="黑体" w:cs="Times New Roman"/>
          <w:snapToGrid w:val="0"/>
          <w:sz w:val="30"/>
          <w:szCs w:val="30"/>
        </w:rPr>
      </w:pPr>
      <w:r>
        <w:rPr>
          <w:rFonts w:hint="default" w:ascii="Times New Roman" w:hAnsi="Times New Roman" w:cs="Times New Roman"/>
          <w:snapToGrid w:val="0"/>
        </w:rPr>
        <w:br w:type="page"/>
      </w:r>
      <w:r>
        <w:rPr>
          <w:rFonts w:hint="default" w:ascii="Times New Roman" w:hAnsi="Times New Roman" w:eastAsia="黑体" w:cs="Times New Roman"/>
          <w:snapToGrid w:val="0"/>
          <w:sz w:val="30"/>
          <w:szCs w:val="30"/>
        </w:rPr>
        <w:t>六、结论</w:t>
      </w:r>
    </w:p>
    <w:tbl>
      <w:tblPr>
        <w:tblStyle w:val="9"/>
        <w:tblW w:w="88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vAlign w:val="center"/>
          </w:tcPr>
          <w:p>
            <w:pPr>
              <w:bidi w:val="0"/>
              <w:rPr>
                <w:rFonts w:hint="default"/>
              </w:rPr>
            </w:pPr>
            <w:r>
              <w:rPr>
                <w:rFonts w:hint="default"/>
              </w:rPr>
              <w:t>本项目符合产业政策、选址合理，项目的建设</w:t>
            </w:r>
            <w:r>
              <w:rPr>
                <w:rFonts w:hint="default"/>
                <w:lang w:val="en-US" w:eastAsia="zh-CN"/>
              </w:rPr>
              <w:t>不</w:t>
            </w:r>
            <w:r>
              <w:rPr>
                <w:rFonts w:hint="default"/>
              </w:rPr>
              <w:t>会对周围环境产生影响，在认真落实本报告中提出的各项污染防治措施及建议的前提下，加强环境管理，其废气、废水、噪声、固体废弃物等对周围环境的影响控制在可接受范围内，项目建设对周边生态影响较小，从环境保护角度分析，该建设项目可行。</w:t>
            </w:r>
          </w:p>
          <w:p>
            <w:pPr>
              <w:spacing w:line="360" w:lineRule="auto"/>
              <w:rPr>
                <w:rFonts w:hint="default" w:ascii="Times New Roman" w:hAnsi="Times New Roman" w:cs="Times New Roman"/>
                <w:sz w:val="24"/>
              </w:rPr>
            </w:pPr>
          </w:p>
        </w:tc>
      </w:tr>
    </w:tbl>
    <w:p>
      <w:pPr>
        <w:rPr>
          <w:rFonts w:hint="default" w:ascii="Times New Roman" w:hAnsi="Times New Roman" w:cs="Times New Roman"/>
        </w:rPr>
        <w:sectPr>
          <w:pgSz w:w="11906" w:h="16838"/>
          <w:pgMar w:top="1440" w:right="1800" w:bottom="1440" w:left="1800" w:header="851" w:footer="851" w:gutter="0"/>
          <w:pgNumType w:fmt="numberInDash"/>
          <w:cols w:space="720" w:num="1"/>
          <w:docGrid w:linePitch="312" w:charSpace="0"/>
        </w:sectPr>
      </w:pPr>
    </w:p>
    <w:p>
      <w:pPr>
        <w:pStyle w:val="8"/>
        <w:adjustRightInd w:val="0"/>
        <w:snapToGrid w:val="0"/>
        <w:spacing w:before="0" w:beforeAutospacing="0" w:after="0" w:afterAutospacing="0" w:line="648" w:lineRule="auto"/>
        <w:outlineLvl w:val="0"/>
        <w:rPr>
          <w:rFonts w:hint="default" w:ascii="Times New Roman" w:hAnsi="Times New Roman" w:eastAsia="黑体" w:cs="Times New Roman"/>
          <w:snapToGrid w:val="0"/>
          <w:sz w:val="32"/>
          <w:szCs w:val="32"/>
        </w:rPr>
      </w:pPr>
      <w:r>
        <w:rPr>
          <w:rFonts w:hint="default" w:ascii="Times New Roman" w:hAnsi="Times New Roman" w:eastAsia="黑体" w:cs="Times New Roman"/>
          <w:snapToGrid w:val="0"/>
          <w:sz w:val="32"/>
          <w:szCs w:val="32"/>
        </w:rPr>
        <w:t>附表</w:t>
      </w:r>
    </w:p>
    <w:p>
      <w:pPr>
        <w:pStyle w:val="8"/>
        <w:adjustRightInd w:val="0"/>
        <w:snapToGrid w:val="0"/>
        <w:spacing w:before="0" w:beforeAutospacing="0" w:after="0" w:afterAutospacing="0" w:line="552" w:lineRule="auto"/>
        <w:jc w:val="center"/>
        <w:outlineLvl w:val="0"/>
        <w:rPr>
          <w:rFonts w:hint="default" w:ascii="Times New Roman" w:hAnsi="Times New Roman" w:eastAsia="方正小标宋_GBK" w:cs="Times New Roman"/>
          <w:snapToGrid w:val="0"/>
          <w:sz w:val="38"/>
          <w:szCs w:val="38"/>
        </w:rPr>
      </w:pPr>
      <w:r>
        <w:rPr>
          <w:rFonts w:hint="default" w:ascii="Times New Roman" w:hAnsi="Times New Roman" w:eastAsia="方正小标宋_GBK" w:cs="Times New Roman"/>
          <w:snapToGrid w:val="0"/>
          <w:sz w:val="38"/>
          <w:szCs w:val="38"/>
        </w:rPr>
        <w:t>建设项目污染物排放量汇总表</w:t>
      </w:r>
    </w:p>
    <w:tbl>
      <w:tblPr>
        <w:tblStyle w:val="9"/>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761"/>
        <w:gridCol w:w="1959"/>
        <w:gridCol w:w="8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tcMar>
              <w:left w:w="28" w:type="dxa"/>
              <w:right w:w="28" w:type="dxa"/>
            </w:tcMar>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jc w:val="right"/>
              <w:textAlignment w:val="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项目</w:t>
            </w:r>
          </w:p>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jc w:val="left"/>
              <w:textAlignment w:val="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分类</w:t>
            </w:r>
          </w:p>
        </w:tc>
        <w:tc>
          <w:tcPr>
            <w:tcW w:w="1417" w:type="dxa"/>
            <w:tcMar>
              <w:left w:w="28" w:type="dxa"/>
              <w:right w:w="28" w:type="dxa"/>
            </w:tcMar>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污染物名称</w:t>
            </w:r>
          </w:p>
        </w:tc>
        <w:tc>
          <w:tcPr>
            <w:tcW w:w="1701" w:type="dxa"/>
            <w:tcMar>
              <w:left w:w="28" w:type="dxa"/>
              <w:right w:w="28" w:type="dxa"/>
            </w:tcMar>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现有工程</w:t>
            </w:r>
          </w:p>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排放量（固体废物产生量）</w:t>
            </w:r>
            <w:r>
              <w:rPr>
                <w:rFonts w:hint="default" w:ascii="Times New Roman" w:hAnsi="Times New Roman" w:eastAsia="黑体" w:cs="Times New Roman"/>
                <w:snapToGrid w:val="0"/>
                <w:color w:val="000000"/>
                <w:spacing w:val="-6"/>
                <w:kern w:val="21"/>
                <w:szCs w:val="21"/>
              </w:rPr>
              <w:fldChar w:fldCharType="begin"/>
            </w:r>
            <w:r>
              <w:rPr>
                <w:rFonts w:hint="default" w:ascii="Times New Roman" w:hAnsi="Times New Roman" w:eastAsia="黑体" w:cs="Times New Roman"/>
                <w:snapToGrid w:val="0"/>
                <w:color w:val="000000"/>
                <w:spacing w:val="-6"/>
                <w:kern w:val="21"/>
                <w:szCs w:val="21"/>
              </w:rPr>
              <w:instrText xml:space="preserve"> = 1 \* GB3 \* MERGEFORMAT </w:instrText>
            </w:r>
            <w:r>
              <w:rPr>
                <w:rFonts w:hint="default" w:ascii="Times New Roman" w:hAnsi="Times New Roman" w:eastAsia="黑体" w:cs="Times New Roman"/>
                <w:snapToGrid w:val="0"/>
                <w:color w:val="000000"/>
                <w:spacing w:val="-6"/>
                <w:kern w:val="21"/>
                <w:szCs w:val="21"/>
              </w:rPr>
              <w:fldChar w:fldCharType="separate"/>
            </w:r>
            <w:r>
              <w:rPr>
                <w:rFonts w:hint="default" w:ascii="Times New Roman" w:hAnsi="Times New Roman" w:eastAsia="黑体" w:cs="Times New Roman"/>
                <w:kern w:val="2"/>
                <w:szCs w:val="21"/>
              </w:rPr>
              <w:t>①</w:t>
            </w:r>
            <w:r>
              <w:rPr>
                <w:rFonts w:hint="default" w:ascii="Times New Roman" w:hAnsi="Times New Roman" w:eastAsia="黑体" w:cs="Times New Roman"/>
                <w:snapToGrid w:val="0"/>
                <w:color w:val="000000"/>
                <w:spacing w:val="-6"/>
                <w:kern w:val="21"/>
                <w:szCs w:val="21"/>
              </w:rPr>
              <w:fldChar w:fldCharType="end"/>
            </w:r>
          </w:p>
        </w:tc>
        <w:tc>
          <w:tcPr>
            <w:tcW w:w="1276" w:type="dxa"/>
            <w:tcMar>
              <w:left w:w="28" w:type="dxa"/>
              <w:right w:w="28" w:type="dxa"/>
            </w:tcMar>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现有工程</w:t>
            </w:r>
          </w:p>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许可排放量</w:t>
            </w:r>
          </w:p>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ind w:firstLine="0" w:firstLineChars="0"/>
              <w:textAlignment w:val="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fldChar w:fldCharType="begin"/>
            </w:r>
            <w:r>
              <w:rPr>
                <w:rFonts w:hint="default" w:ascii="Times New Roman" w:hAnsi="Times New Roman" w:eastAsia="黑体" w:cs="Times New Roman"/>
                <w:snapToGrid w:val="0"/>
                <w:color w:val="000000"/>
                <w:spacing w:val="-6"/>
                <w:kern w:val="21"/>
                <w:szCs w:val="21"/>
              </w:rPr>
              <w:instrText xml:space="preserve"> = 2 \* GB3 \* MERGEFORMAT </w:instrText>
            </w:r>
            <w:r>
              <w:rPr>
                <w:rFonts w:hint="default" w:ascii="Times New Roman" w:hAnsi="Times New Roman" w:eastAsia="黑体" w:cs="Times New Roman"/>
                <w:snapToGrid w:val="0"/>
                <w:color w:val="000000"/>
                <w:spacing w:val="-6"/>
                <w:kern w:val="21"/>
                <w:szCs w:val="21"/>
              </w:rPr>
              <w:fldChar w:fldCharType="separate"/>
            </w:r>
            <w:r>
              <w:rPr>
                <w:rFonts w:hint="default" w:ascii="Times New Roman" w:hAnsi="Times New Roman" w:eastAsia="黑体" w:cs="Times New Roman"/>
                <w:snapToGrid w:val="0"/>
                <w:color w:val="000000"/>
                <w:spacing w:val="-6"/>
                <w:kern w:val="21"/>
                <w:szCs w:val="21"/>
              </w:rPr>
              <w:t>②</w:t>
            </w:r>
            <w:r>
              <w:rPr>
                <w:rFonts w:hint="default" w:ascii="Times New Roman" w:hAnsi="Times New Roman" w:eastAsia="黑体" w:cs="Times New Roman"/>
                <w:snapToGrid w:val="0"/>
                <w:color w:val="000000"/>
                <w:spacing w:val="-6"/>
                <w:kern w:val="21"/>
                <w:szCs w:val="21"/>
              </w:rPr>
              <w:fldChar w:fldCharType="end"/>
            </w:r>
          </w:p>
        </w:tc>
        <w:tc>
          <w:tcPr>
            <w:tcW w:w="1701" w:type="dxa"/>
            <w:tcMar>
              <w:left w:w="28" w:type="dxa"/>
              <w:right w:w="28" w:type="dxa"/>
            </w:tcMar>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在建工程</w:t>
            </w:r>
          </w:p>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排放量（固体废物产生量）</w:t>
            </w:r>
            <w:r>
              <w:rPr>
                <w:rFonts w:hint="default" w:ascii="Times New Roman" w:hAnsi="Times New Roman" w:eastAsia="黑体" w:cs="Times New Roman"/>
                <w:snapToGrid w:val="0"/>
                <w:color w:val="000000"/>
                <w:spacing w:val="-6"/>
                <w:kern w:val="21"/>
                <w:szCs w:val="21"/>
              </w:rPr>
              <w:fldChar w:fldCharType="begin"/>
            </w:r>
            <w:r>
              <w:rPr>
                <w:rFonts w:hint="default" w:ascii="Times New Roman" w:hAnsi="Times New Roman" w:eastAsia="黑体" w:cs="Times New Roman"/>
                <w:snapToGrid w:val="0"/>
                <w:color w:val="000000"/>
                <w:spacing w:val="-6"/>
                <w:kern w:val="21"/>
                <w:szCs w:val="21"/>
              </w:rPr>
              <w:instrText xml:space="preserve"> = 3 \* GB3 \* MERGEFORMAT </w:instrText>
            </w:r>
            <w:r>
              <w:rPr>
                <w:rFonts w:hint="default" w:ascii="Times New Roman" w:hAnsi="Times New Roman" w:eastAsia="黑体" w:cs="Times New Roman"/>
                <w:snapToGrid w:val="0"/>
                <w:color w:val="000000"/>
                <w:spacing w:val="-6"/>
                <w:kern w:val="21"/>
                <w:szCs w:val="21"/>
              </w:rPr>
              <w:fldChar w:fldCharType="separate"/>
            </w:r>
            <w:r>
              <w:rPr>
                <w:rFonts w:hint="default" w:ascii="Times New Roman" w:hAnsi="Times New Roman" w:eastAsia="黑体" w:cs="Times New Roman"/>
                <w:kern w:val="2"/>
                <w:szCs w:val="21"/>
              </w:rPr>
              <w:t>③</w:t>
            </w:r>
            <w:r>
              <w:rPr>
                <w:rFonts w:hint="default" w:ascii="Times New Roman" w:hAnsi="Times New Roman" w:eastAsia="黑体" w:cs="Times New Roman"/>
                <w:snapToGrid w:val="0"/>
                <w:color w:val="000000"/>
                <w:spacing w:val="-6"/>
                <w:kern w:val="21"/>
                <w:szCs w:val="21"/>
              </w:rPr>
              <w:fldChar w:fldCharType="end"/>
            </w:r>
          </w:p>
        </w:tc>
        <w:tc>
          <w:tcPr>
            <w:tcW w:w="1559" w:type="dxa"/>
            <w:tcMar>
              <w:left w:w="28" w:type="dxa"/>
              <w:right w:w="28" w:type="dxa"/>
            </w:tcMar>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本项目</w:t>
            </w:r>
          </w:p>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排放量（固体废物产生量）</w:t>
            </w:r>
            <w:r>
              <w:rPr>
                <w:rFonts w:hint="default" w:ascii="Times New Roman" w:hAnsi="Times New Roman" w:eastAsia="黑体" w:cs="Times New Roman"/>
                <w:snapToGrid w:val="0"/>
                <w:color w:val="000000"/>
                <w:spacing w:val="-6"/>
                <w:kern w:val="21"/>
                <w:szCs w:val="21"/>
              </w:rPr>
              <w:fldChar w:fldCharType="begin"/>
            </w:r>
            <w:r>
              <w:rPr>
                <w:rFonts w:hint="default" w:ascii="Times New Roman" w:hAnsi="Times New Roman" w:eastAsia="黑体" w:cs="Times New Roman"/>
                <w:snapToGrid w:val="0"/>
                <w:color w:val="000000"/>
                <w:spacing w:val="-6"/>
                <w:kern w:val="21"/>
                <w:szCs w:val="21"/>
              </w:rPr>
              <w:instrText xml:space="preserve"> = 4 \* GB3 \* MERGEFORMAT </w:instrText>
            </w:r>
            <w:r>
              <w:rPr>
                <w:rFonts w:hint="default" w:ascii="Times New Roman" w:hAnsi="Times New Roman" w:eastAsia="黑体" w:cs="Times New Roman"/>
                <w:snapToGrid w:val="0"/>
                <w:color w:val="000000"/>
                <w:spacing w:val="-6"/>
                <w:kern w:val="21"/>
                <w:szCs w:val="21"/>
              </w:rPr>
              <w:fldChar w:fldCharType="separate"/>
            </w:r>
            <w:r>
              <w:rPr>
                <w:rFonts w:hint="default" w:ascii="Times New Roman" w:hAnsi="Times New Roman" w:eastAsia="黑体" w:cs="Times New Roman"/>
                <w:kern w:val="2"/>
                <w:szCs w:val="21"/>
              </w:rPr>
              <w:t>④</w:t>
            </w:r>
            <w:r>
              <w:rPr>
                <w:rFonts w:hint="default" w:ascii="Times New Roman" w:hAnsi="Times New Roman" w:eastAsia="黑体" w:cs="Times New Roman"/>
                <w:snapToGrid w:val="0"/>
                <w:color w:val="000000"/>
                <w:spacing w:val="-6"/>
                <w:kern w:val="21"/>
                <w:szCs w:val="21"/>
              </w:rPr>
              <w:fldChar w:fldCharType="end"/>
            </w:r>
          </w:p>
        </w:tc>
        <w:tc>
          <w:tcPr>
            <w:tcW w:w="1761" w:type="dxa"/>
            <w:tcMar>
              <w:left w:w="28" w:type="dxa"/>
              <w:right w:w="28" w:type="dxa"/>
            </w:tcMar>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eastAsia="黑体" w:cs="Times New Roman"/>
                <w:snapToGrid w:val="0"/>
                <w:color w:val="000000"/>
                <w:spacing w:val="-16"/>
                <w:kern w:val="21"/>
                <w:szCs w:val="21"/>
              </w:rPr>
            </w:pPr>
            <w:r>
              <w:rPr>
                <w:rFonts w:hint="default" w:ascii="Times New Roman" w:hAnsi="Times New Roman" w:eastAsia="黑体" w:cs="Times New Roman"/>
                <w:snapToGrid w:val="0"/>
                <w:color w:val="000000"/>
                <w:spacing w:val="-16"/>
                <w:kern w:val="21"/>
                <w:szCs w:val="21"/>
              </w:rPr>
              <w:t>以新带老削减量</w:t>
            </w:r>
          </w:p>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eastAsia="黑体" w:cs="Times New Roman"/>
                <w:snapToGrid w:val="0"/>
                <w:color w:val="000000"/>
                <w:spacing w:val="-16"/>
                <w:kern w:val="21"/>
                <w:szCs w:val="21"/>
              </w:rPr>
            </w:pPr>
            <w:r>
              <w:rPr>
                <w:rFonts w:hint="default" w:ascii="Times New Roman" w:hAnsi="Times New Roman" w:eastAsia="黑体" w:cs="Times New Roman"/>
                <w:snapToGrid w:val="0"/>
                <w:color w:val="000000"/>
                <w:spacing w:val="-16"/>
                <w:kern w:val="21"/>
                <w:szCs w:val="21"/>
              </w:rPr>
              <w:t>（新建项目不填）</w:t>
            </w:r>
            <w:r>
              <w:rPr>
                <w:rFonts w:hint="default" w:ascii="Times New Roman" w:hAnsi="Times New Roman" w:eastAsia="黑体" w:cs="Times New Roman"/>
                <w:snapToGrid w:val="0"/>
                <w:color w:val="000000"/>
                <w:spacing w:val="-16"/>
                <w:kern w:val="21"/>
                <w:szCs w:val="21"/>
              </w:rPr>
              <w:fldChar w:fldCharType="begin"/>
            </w:r>
            <w:r>
              <w:rPr>
                <w:rFonts w:hint="default" w:ascii="Times New Roman" w:hAnsi="Times New Roman" w:eastAsia="黑体" w:cs="Times New Roman"/>
                <w:snapToGrid w:val="0"/>
                <w:color w:val="000000"/>
                <w:spacing w:val="-16"/>
                <w:kern w:val="21"/>
                <w:szCs w:val="21"/>
              </w:rPr>
              <w:instrText xml:space="preserve"> = 5 \* GB3 \* MERGEFORMAT </w:instrText>
            </w:r>
            <w:r>
              <w:rPr>
                <w:rFonts w:hint="default" w:ascii="Times New Roman" w:hAnsi="Times New Roman" w:eastAsia="黑体" w:cs="Times New Roman"/>
                <w:snapToGrid w:val="0"/>
                <w:color w:val="000000"/>
                <w:spacing w:val="-16"/>
                <w:kern w:val="21"/>
                <w:szCs w:val="21"/>
              </w:rPr>
              <w:fldChar w:fldCharType="separate"/>
            </w:r>
            <w:r>
              <w:rPr>
                <w:rFonts w:hint="default" w:ascii="Times New Roman" w:hAnsi="Times New Roman" w:eastAsia="黑体" w:cs="Times New Roman"/>
                <w:kern w:val="2"/>
                <w:szCs w:val="21"/>
              </w:rPr>
              <w:t>⑤</w:t>
            </w:r>
            <w:r>
              <w:rPr>
                <w:rFonts w:hint="default" w:ascii="Times New Roman" w:hAnsi="Times New Roman" w:eastAsia="黑体" w:cs="Times New Roman"/>
                <w:snapToGrid w:val="0"/>
                <w:color w:val="000000"/>
                <w:spacing w:val="-16"/>
                <w:kern w:val="21"/>
                <w:szCs w:val="21"/>
              </w:rPr>
              <w:fldChar w:fldCharType="end"/>
            </w:r>
          </w:p>
        </w:tc>
        <w:tc>
          <w:tcPr>
            <w:tcW w:w="1959" w:type="dxa"/>
            <w:tcMar>
              <w:left w:w="28" w:type="dxa"/>
              <w:right w:w="28" w:type="dxa"/>
            </w:tcMar>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eastAsia="黑体" w:cs="Times New Roman"/>
                <w:snapToGrid w:val="0"/>
                <w:color w:val="000000"/>
                <w:spacing w:val="-16"/>
                <w:kern w:val="21"/>
                <w:szCs w:val="21"/>
              </w:rPr>
            </w:pPr>
            <w:r>
              <w:rPr>
                <w:rFonts w:hint="default" w:ascii="Times New Roman" w:hAnsi="Times New Roman" w:eastAsia="黑体" w:cs="Times New Roman"/>
                <w:snapToGrid w:val="0"/>
                <w:color w:val="000000"/>
                <w:spacing w:val="-16"/>
                <w:kern w:val="21"/>
                <w:szCs w:val="21"/>
              </w:rPr>
              <w:t>本项目建成后</w:t>
            </w:r>
          </w:p>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eastAsia="黑体" w:cs="Times New Roman"/>
                <w:snapToGrid w:val="0"/>
                <w:color w:val="000000"/>
                <w:spacing w:val="-16"/>
                <w:kern w:val="21"/>
                <w:szCs w:val="21"/>
              </w:rPr>
            </w:pPr>
            <w:r>
              <w:rPr>
                <w:rFonts w:hint="default" w:ascii="Times New Roman" w:hAnsi="Times New Roman" w:eastAsia="黑体" w:cs="Times New Roman"/>
                <w:snapToGrid w:val="0"/>
                <w:color w:val="000000"/>
                <w:spacing w:val="-16"/>
                <w:kern w:val="21"/>
                <w:szCs w:val="21"/>
              </w:rPr>
              <w:t>全厂排放量（固体废物产生量）</w:t>
            </w:r>
            <w:r>
              <w:rPr>
                <w:rFonts w:hint="default" w:ascii="Times New Roman" w:hAnsi="Times New Roman" w:eastAsia="黑体" w:cs="Times New Roman"/>
                <w:snapToGrid w:val="0"/>
                <w:color w:val="000000"/>
                <w:spacing w:val="-16"/>
                <w:kern w:val="21"/>
                <w:szCs w:val="21"/>
              </w:rPr>
              <w:fldChar w:fldCharType="begin"/>
            </w:r>
            <w:r>
              <w:rPr>
                <w:rFonts w:hint="default" w:ascii="Times New Roman" w:hAnsi="Times New Roman" w:eastAsia="黑体" w:cs="Times New Roman"/>
                <w:snapToGrid w:val="0"/>
                <w:color w:val="000000"/>
                <w:spacing w:val="-16"/>
                <w:kern w:val="21"/>
                <w:szCs w:val="21"/>
              </w:rPr>
              <w:instrText xml:space="preserve"> = 6 \* GB3 \* MERGEFORMAT </w:instrText>
            </w:r>
            <w:r>
              <w:rPr>
                <w:rFonts w:hint="default" w:ascii="Times New Roman" w:hAnsi="Times New Roman" w:eastAsia="黑体" w:cs="Times New Roman"/>
                <w:snapToGrid w:val="0"/>
                <w:color w:val="000000"/>
                <w:spacing w:val="-16"/>
                <w:kern w:val="21"/>
                <w:szCs w:val="21"/>
              </w:rPr>
              <w:fldChar w:fldCharType="separate"/>
            </w:r>
            <w:r>
              <w:rPr>
                <w:rFonts w:hint="default" w:ascii="Times New Roman" w:hAnsi="Times New Roman" w:eastAsia="黑体" w:cs="Times New Roman"/>
                <w:kern w:val="2"/>
                <w:szCs w:val="21"/>
              </w:rPr>
              <w:t>⑥</w:t>
            </w:r>
            <w:r>
              <w:rPr>
                <w:rFonts w:hint="default" w:ascii="Times New Roman" w:hAnsi="Times New Roman" w:eastAsia="黑体" w:cs="Times New Roman"/>
                <w:snapToGrid w:val="0"/>
                <w:color w:val="000000"/>
                <w:spacing w:val="-16"/>
                <w:kern w:val="21"/>
                <w:szCs w:val="21"/>
              </w:rPr>
              <w:fldChar w:fldCharType="end"/>
            </w:r>
          </w:p>
        </w:tc>
        <w:tc>
          <w:tcPr>
            <w:tcW w:w="826" w:type="dxa"/>
            <w:tcMar>
              <w:left w:w="28" w:type="dxa"/>
              <w:right w:w="28" w:type="dxa"/>
            </w:tcMar>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t>变化量</w:t>
            </w:r>
          </w:p>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eastAsia="黑体" w:cs="Times New Roman"/>
                <w:snapToGrid w:val="0"/>
                <w:color w:val="000000"/>
                <w:spacing w:val="-6"/>
                <w:kern w:val="21"/>
                <w:szCs w:val="21"/>
              </w:rPr>
            </w:pPr>
            <w:r>
              <w:rPr>
                <w:rFonts w:hint="default" w:ascii="Times New Roman" w:hAnsi="Times New Roman" w:eastAsia="黑体" w:cs="Times New Roman"/>
                <w:snapToGrid w:val="0"/>
                <w:color w:val="000000"/>
                <w:spacing w:val="-6"/>
                <w:kern w:val="21"/>
                <w:szCs w:val="21"/>
              </w:rPr>
              <w:fldChar w:fldCharType="begin"/>
            </w:r>
            <w:r>
              <w:rPr>
                <w:rFonts w:hint="default" w:ascii="Times New Roman" w:hAnsi="Times New Roman" w:eastAsia="黑体" w:cs="Times New Roman"/>
                <w:snapToGrid w:val="0"/>
                <w:color w:val="000000"/>
                <w:spacing w:val="-6"/>
                <w:kern w:val="21"/>
                <w:szCs w:val="21"/>
              </w:rPr>
              <w:instrText xml:space="preserve"> = 7 \* GB3 \* MERGEFORMAT </w:instrText>
            </w:r>
            <w:r>
              <w:rPr>
                <w:rFonts w:hint="default" w:ascii="Times New Roman" w:hAnsi="Times New Roman" w:eastAsia="黑体" w:cs="Times New Roman"/>
                <w:snapToGrid w:val="0"/>
                <w:color w:val="000000"/>
                <w:spacing w:val="-6"/>
                <w:kern w:val="21"/>
                <w:szCs w:val="21"/>
              </w:rPr>
              <w:fldChar w:fldCharType="separate"/>
            </w:r>
            <w:r>
              <w:rPr>
                <w:rFonts w:hint="default" w:ascii="Times New Roman" w:hAnsi="Times New Roman" w:eastAsia="黑体" w:cs="Times New Roman"/>
                <w:kern w:val="2"/>
                <w:szCs w:val="21"/>
              </w:rPr>
              <w:t>⑦</w:t>
            </w:r>
            <w:r>
              <w:rPr>
                <w:rFonts w:hint="default" w:ascii="Times New Roman" w:hAnsi="Times New Roman" w:eastAsia="黑体" w:cs="Times New Roman"/>
                <w:snapToGrid w:val="0"/>
                <w:color w:val="000000"/>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rPr>
              <w:t>废气</w:t>
            </w:r>
          </w:p>
        </w:tc>
        <w:tc>
          <w:tcPr>
            <w:tcW w:w="1417"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eastAsia" w:ascii="Times New Roman" w:hAnsi="Times New Roman" w:eastAsia="宋体"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颗粒物</w:t>
            </w:r>
          </w:p>
        </w:tc>
        <w:tc>
          <w:tcPr>
            <w:tcW w:w="1701"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276"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701"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559"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eastAsia="宋体"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+7.69t/a</w:t>
            </w:r>
          </w:p>
        </w:tc>
        <w:tc>
          <w:tcPr>
            <w:tcW w:w="1761"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959"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r>
              <w:rPr>
                <w:rFonts w:hint="eastAsia" w:ascii="Times New Roman" w:cs="Times New Roman"/>
                <w:snapToGrid w:val="0"/>
                <w:color w:val="000000"/>
                <w:kern w:val="21"/>
                <w:szCs w:val="21"/>
                <w:lang w:val="en-US" w:eastAsia="zh-CN"/>
              </w:rPr>
              <w:t>+7.69t/a</w:t>
            </w:r>
          </w:p>
        </w:tc>
        <w:tc>
          <w:tcPr>
            <w:tcW w:w="826"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r>
              <w:rPr>
                <w:rFonts w:hint="eastAsia" w:ascii="Times New Roman" w:cs="Times New Roman"/>
                <w:snapToGrid w:val="0"/>
                <w:color w:val="000000"/>
                <w:kern w:val="21"/>
                <w:szCs w:val="21"/>
                <w:lang w:val="en-US" w:eastAsia="zh-CN"/>
              </w:rPr>
              <w:t>+7.69t/a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rPr>
              <w:t>废水</w:t>
            </w:r>
          </w:p>
        </w:tc>
        <w:tc>
          <w:tcPr>
            <w:tcW w:w="1417"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eastAsia="宋体"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生活污水</w:t>
            </w:r>
          </w:p>
        </w:tc>
        <w:tc>
          <w:tcPr>
            <w:tcW w:w="1701"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276"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701"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559"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r>
              <w:rPr>
                <w:rFonts w:hint="eastAsia" w:ascii="Times New Roman" w:cs="Times New Roman"/>
                <w:snapToGrid w:val="0"/>
                <w:color w:val="000000"/>
                <w:kern w:val="21"/>
                <w:szCs w:val="21"/>
                <w:lang w:val="en-US" w:eastAsia="zh-CN"/>
              </w:rPr>
              <w:t>+</w:t>
            </w:r>
            <w:r>
              <w:rPr>
                <w:rFonts w:hint="default" w:ascii="Times New Roman" w:hAnsi="Times New Roman" w:cs="Times New Roman"/>
                <w:snapToGrid w:val="0"/>
                <w:color w:val="000000"/>
                <w:kern w:val="21"/>
                <w:szCs w:val="21"/>
                <w:lang w:val="en-US" w:eastAsia="zh-CN"/>
              </w:rPr>
              <w:t>259.2m³/a</w:t>
            </w:r>
          </w:p>
        </w:tc>
        <w:tc>
          <w:tcPr>
            <w:tcW w:w="1761"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959"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r>
              <w:rPr>
                <w:rFonts w:hint="eastAsia" w:ascii="Times New Roman" w:cs="Times New Roman"/>
                <w:snapToGrid w:val="0"/>
                <w:color w:val="000000"/>
                <w:kern w:val="21"/>
                <w:szCs w:val="21"/>
                <w:lang w:val="en-US" w:eastAsia="zh-CN"/>
              </w:rPr>
              <w:t>+</w:t>
            </w:r>
            <w:r>
              <w:rPr>
                <w:rFonts w:hint="default" w:ascii="Times New Roman" w:hAnsi="Times New Roman" w:cs="Times New Roman"/>
                <w:snapToGrid w:val="0"/>
                <w:color w:val="000000"/>
                <w:kern w:val="21"/>
                <w:szCs w:val="21"/>
                <w:lang w:val="en-US" w:eastAsia="zh-CN"/>
              </w:rPr>
              <w:t>259.2m³/a</w:t>
            </w:r>
          </w:p>
        </w:tc>
        <w:tc>
          <w:tcPr>
            <w:tcW w:w="826"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r>
              <w:rPr>
                <w:rFonts w:hint="eastAsia" w:ascii="Times New Roman" w:cs="Times New Roman"/>
                <w:snapToGrid w:val="0"/>
                <w:color w:val="000000"/>
                <w:kern w:val="21"/>
                <w:szCs w:val="21"/>
                <w:lang w:val="en-US" w:eastAsia="zh-CN"/>
              </w:rPr>
              <w:t>+</w:t>
            </w:r>
            <w:r>
              <w:rPr>
                <w:rFonts w:hint="default" w:ascii="Times New Roman" w:hAnsi="Times New Roman" w:cs="Times New Roman"/>
                <w:snapToGrid w:val="0"/>
                <w:color w:val="000000"/>
                <w:kern w:val="21"/>
                <w:szCs w:val="21"/>
                <w:lang w:val="en-US" w:eastAsia="zh-CN"/>
              </w:rPr>
              <w:t>259.2m³/a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rPr>
              <w:t>一般工业</w:t>
            </w:r>
          </w:p>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rPr>
              <w:t>固体废物</w:t>
            </w:r>
          </w:p>
        </w:tc>
        <w:tc>
          <w:tcPr>
            <w:tcW w:w="1417"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eastAsia="宋体"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混凝土废渣</w:t>
            </w:r>
          </w:p>
        </w:tc>
        <w:tc>
          <w:tcPr>
            <w:tcW w:w="1701"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276"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701"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559"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eastAsia="宋体"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+1.0t/a</w:t>
            </w:r>
          </w:p>
        </w:tc>
        <w:tc>
          <w:tcPr>
            <w:tcW w:w="1761"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959"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r>
              <w:rPr>
                <w:rFonts w:hint="eastAsia" w:ascii="Times New Roman" w:cs="Times New Roman"/>
                <w:snapToGrid w:val="0"/>
                <w:color w:val="000000"/>
                <w:kern w:val="21"/>
                <w:szCs w:val="21"/>
                <w:lang w:val="en-US" w:eastAsia="zh-CN"/>
              </w:rPr>
              <w:t>+1.0t/a</w:t>
            </w:r>
          </w:p>
        </w:tc>
        <w:tc>
          <w:tcPr>
            <w:tcW w:w="826"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r>
              <w:rPr>
                <w:rFonts w:hint="eastAsia" w:ascii="Times New Roman" w:cs="Times New Roman"/>
                <w:snapToGrid w:val="0"/>
                <w:color w:val="000000"/>
                <w:kern w:val="21"/>
                <w:szCs w:val="21"/>
                <w:lang w:val="en-US" w:eastAsia="zh-CN"/>
              </w:rPr>
              <w:t>+1.0t/a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417"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eastAsia" w:ascii="Times New Roman" w:hAnsi="Times New Roman" w:eastAsia="宋体"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除尘灰</w:t>
            </w:r>
          </w:p>
        </w:tc>
        <w:tc>
          <w:tcPr>
            <w:tcW w:w="1701"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276"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701"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559"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r>
              <w:rPr>
                <w:rFonts w:hint="eastAsia" w:ascii="Times New Roman" w:cs="Times New Roman"/>
                <w:snapToGrid w:val="0"/>
                <w:color w:val="000000"/>
                <w:kern w:val="21"/>
                <w:szCs w:val="21"/>
                <w:lang w:val="en-US" w:eastAsia="zh-CN"/>
              </w:rPr>
              <w:t>+</w:t>
            </w:r>
            <w:r>
              <w:rPr>
                <w:rFonts w:hint="default" w:ascii="Times New Roman" w:hAnsi="Times New Roman" w:cs="Times New Roman"/>
                <w:snapToGrid w:val="0"/>
                <w:color w:val="000000"/>
                <w:kern w:val="21"/>
                <w:szCs w:val="21"/>
                <w:lang w:val="en-US" w:eastAsia="zh-CN"/>
              </w:rPr>
              <w:t>1012.10t/a</w:t>
            </w:r>
          </w:p>
        </w:tc>
        <w:tc>
          <w:tcPr>
            <w:tcW w:w="1761"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959"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r>
              <w:rPr>
                <w:rFonts w:hint="eastAsia" w:ascii="Times New Roman" w:cs="Times New Roman"/>
                <w:snapToGrid w:val="0"/>
                <w:color w:val="000000"/>
                <w:kern w:val="21"/>
                <w:szCs w:val="21"/>
                <w:lang w:val="en-US" w:eastAsia="zh-CN"/>
              </w:rPr>
              <w:t>+</w:t>
            </w:r>
            <w:r>
              <w:rPr>
                <w:rFonts w:hint="default" w:ascii="Times New Roman" w:hAnsi="Times New Roman" w:cs="Times New Roman"/>
                <w:snapToGrid w:val="0"/>
                <w:color w:val="000000"/>
                <w:kern w:val="21"/>
                <w:szCs w:val="21"/>
                <w:lang w:val="en-US" w:eastAsia="zh-CN"/>
              </w:rPr>
              <w:t>1012.10t/a</w:t>
            </w:r>
          </w:p>
        </w:tc>
        <w:tc>
          <w:tcPr>
            <w:tcW w:w="826"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r>
              <w:rPr>
                <w:rFonts w:hint="eastAsia" w:ascii="Times New Roman" w:cs="Times New Roman"/>
                <w:snapToGrid w:val="0"/>
                <w:color w:val="000000"/>
                <w:kern w:val="21"/>
                <w:szCs w:val="21"/>
                <w:lang w:val="en-US" w:eastAsia="zh-CN"/>
              </w:rPr>
              <w:t>+</w:t>
            </w:r>
            <w:r>
              <w:rPr>
                <w:rFonts w:hint="default" w:ascii="Times New Roman" w:hAnsi="Times New Roman" w:cs="Times New Roman"/>
                <w:snapToGrid w:val="0"/>
                <w:color w:val="000000"/>
                <w:kern w:val="21"/>
                <w:szCs w:val="21"/>
                <w:lang w:val="en-US" w:eastAsia="zh-CN"/>
              </w:rPr>
              <w:t>1012.10t/a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417"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r>
              <w:rPr>
                <w:rFonts w:hint="eastAsia"/>
                <w:szCs w:val="21"/>
                <w:highlight w:val="none"/>
                <w:lang w:val="en-US" w:eastAsia="zh-CN"/>
              </w:rPr>
              <w:t>沉淀池底泥</w:t>
            </w:r>
          </w:p>
        </w:tc>
        <w:tc>
          <w:tcPr>
            <w:tcW w:w="1701"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276"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701"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559"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r>
              <w:rPr>
                <w:rFonts w:hint="eastAsia" w:ascii="Times New Roman" w:cs="Times New Roman"/>
                <w:snapToGrid w:val="0"/>
                <w:color w:val="000000"/>
                <w:kern w:val="21"/>
                <w:szCs w:val="21"/>
                <w:lang w:val="en-US" w:eastAsia="zh-CN"/>
              </w:rPr>
              <w:t>+</w:t>
            </w:r>
            <w:r>
              <w:rPr>
                <w:rFonts w:hint="default" w:ascii="Times New Roman" w:hAnsi="Times New Roman" w:cs="Times New Roman"/>
                <w:snapToGrid w:val="0"/>
                <w:color w:val="000000"/>
                <w:kern w:val="21"/>
                <w:szCs w:val="21"/>
                <w:lang w:val="en-US" w:eastAsia="zh-CN"/>
              </w:rPr>
              <w:t>0.5t/a</w:t>
            </w:r>
          </w:p>
        </w:tc>
        <w:tc>
          <w:tcPr>
            <w:tcW w:w="1761"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959"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r>
              <w:rPr>
                <w:rFonts w:hint="eastAsia" w:ascii="Times New Roman" w:cs="Times New Roman"/>
                <w:snapToGrid w:val="0"/>
                <w:color w:val="000000"/>
                <w:kern w:val="21"/>
                <w:szCs w:val="21"/>
                <w:lang w:val="en-US" w:eastAsia="zh-CN"/>
              </w:rPr>
              <w:t>+</w:t>
            </w:r>
            <w:r>
              <w:rPr>
                <w:rFonts w:hint="default" w:ascii="Times New Roman" w:hAnsi="Times New Roman" w:cs="Times New Roman"/>
                <w:snapToGrid w:val="0"/>
                <w:color w:val="000000"/>
                <w:kern w:val="21"/>
                <w:szCs w:val="21"/>
                <w:lang w:val="en-US" w:eastAsia="zh-CN"/>
              </w:rPr>
              <w:t>0.5t/a</w:t>
            </w:r>
          </w:p>
        </w:tc>
        <w:tc>
          <w:tcPr>
            <w:tcW w:w="826"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r>
              <w:rPr>
                <w:rFonts w:hint="eastAsia" w:ascii="Times New Roman" w:cs="Times New Roman"/>
                <w:snapToGrid w:val="0"/>
                <w:color w:val="000000"/>
                <w:kern w:val="21"/>
                <w:szCs w:val="21"/>
                <w:lang w:val="en-US" w:eastAsia="zh-CN"/>
              </w:rPr>
              <w:t>+</w:t>
            </w:r>
            <w:r>
              <w:rPr>
                <w:rFonts w:hint="default" w:ascii="Times New Roman" w:hAnsi="Times New Roman" w:cs="Times New Roman"/>
                <w:snapToGrid w:val="0"/>
                <w:color w:val="000000"/>
                <w:kern w:val="21"/>
                <w:szCs w:val="21"/>
                <w:lang w:val="en-US" w:eastAsia="zh-CN"/>
              </w:rPr>
              <w:t>0.5t/a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3005" w:type="dxa"/>
            <w:gridSpan w:val="2"/>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eastAsia="宋体"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生活垃圾</w:t>
            </w:r>
          </w:p>
        </w:tc>
        <w:tc>
          <w:tcPr>
            <w:tcW w:w="1701"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276"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701"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559"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eastAsia="宋体"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+2.7t/a</w:t>
            </w:r>
          </w:p>
        </w:tc>
        <w:tc>
          <w:tcPr>
            <w:tcW w:w="1761"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959"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r>
              <w:rPr>
                <w:rFonts w:hint="eastAsia" w:ascii="Times New Roman" w:cs="Times New Roman"/>
                <w:snapToGrid w:val="0"/>
                <w:color w:val="000000"/>
                <w:kern w:val="21"/>
                <w:szCs w:val="21"/>
                <w:lang w:val="en-US" w:eastAsia="zh-CN"/>
              </w:rPr>
              <w:t>+2.7t/a</w:t>
            </w:r>
          </w:p>
        </w:tc>
        <w:tc>
          <w:tcPr>
            <w:tcW w:w="826"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r>
              <w:rPr>
                <w:rFonts w:hint="eastAsia" w:ascii="Times New Roman" w:cs="Times New Roman"/>
                <w:snapToGrid w:val="0"/>
                <w:color w:val="000000"/>
                <w:kern w:val="21"/>
                <w:szCs w:val="21"/>
                <w:lang w:val="en-US" w:eastAsia="zh-CN"/>
              </w:rPr>
              <w:t>+2.7t/a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r>
              <w:rPr>
                <w:rFonts w:hint="default" w:ascii="Times New Roman" w:hAnsi="Times New Roman" w:cs="Times New Roman"/>
                <w:snapToGrid w:val="0"/>
                <w:color w:val="000000"/>
                <w:kern w:val="21"/>
                <w:szCs w:val="21"/>
              </w:rPr>
              <w:t>危险废物</w:t>
            </w:r>
          </w:p>
        </w:tc>
        <w:tc>
          <w:tcPr>
            <w:tcW w:w="1417"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eastAsia" w:ascii="Times New Roman" w:hAnsi="Times New Roman" w:eastAsia="宋体" w:cs="Times New Roman"/>
                <w:snapToGrid w:val="0"/>
                <w:color w:val="000000"/>
                <w:kern w:val="21"/>
                <w:szCs w:val="21"/>
                <w:lang w:val="en-US" w:eastAsia="zh-CN"/>
              </w:rPr>
            </w:pPr>
            <w:r>
              <w:rPr>
                <w:rFonts w:hint="eastAsia" w:ascii="Times New Roman" w:cs="Times New Roman"/>
                <w:snapToGrid w:val="0"/>
                <w:color w:val="000000"/>
                <w:kern w:val="21"/>
                <w:szCs w:val="21"/>
                <w:lang w:val="en-US" w:eastAsia="zh-CN"/>
              </w:rPr>
              <w:t>/</w:t>
            </w:r>
          </w:p>
        </w:tc>
        <w:tc>
          <w:tcPr>
            <w:tcW w:w="1701"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276"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701"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559"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761"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1959"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c>
          <w:tcPr>
            <w:tcW w:w="826" w:type="dxa"/>
            <w:vAlign w:val="center"/>
          </w:tcPr>
          <w:p>
            <w:pPr>
              <w:pStyle w:val="13"/>
              <w:keepNext w:val="0"/>
              <w:keepLines w:val="0"/>
              <w:pageBreakBefore w:val="0"/>
              <w:widowControl w:val="0"/>
              <w:kinsoku/>
              <w:wordWrap/>
              <w:overflowPunct/>
              <w:topLinePunct w:val="0"/>
              <w:autoSpaceDE w:val="0"/>
              <w:autoSpaceDN w:val="0"/>
              <w:bidi w:val="0"/>
              <w:adjustRightInd w:val="0"/>
              <w:snapToGrid w:val="0"/>
              <w:spacing w:beforeLines="0" w:afterLines="0" w:line="240" w:lineRule="auto"/>
              <w:ind w:firstLine="0" w:firstLineChars="0"/>
              <w:textAlignment w:val="auto"/>
              <w:rPr>
                <w:rFonts w:hint="default" w:ascii="Times New Roman" w:hAnsi="Times New Roman" w:cs="Times New Roman"/>
                <w:snapToGrid w:val="0"/>
                <w:color w:val="000000"/>
                <w:kern w:val="21"/>
                <w:szCs w:val="21"/>
              </w:rPr>
            </w:pPr>
          </w:p>
        </w:tc>
      </w:tr>
    </w:tbl>
    <w:p>
      <w:pPr>
        <w:pStyle w:val="13"/>
        <w:spacing w:before="192" w:beforeLines="80" w:after="24"/>
        <w:jc w:val="left"/>
        <w:rPr>
          <w:rFonts w:hint="default" w:ascii="Times New Roman" w:hAnsi="Times New Roman" w:cs="Times New Roman"/>
          <w:snapToGrid w:val="0"/>
          <w:color w:val="000000"/>
          <w:spacing w:val="-6"/>
          <w:kern w:val="21"/>
          <w:szCs w:val="21"/>
        </w:rPr>
      </w:pPr>
      <w:r>
        <w:rPr>
          <w:rFonts w:hint="default" w:ascii="Times New Roman" w:hAnsi="Times New Roman" w:cs="Times New Roman"/>
          <w:snapToGrid w:val="0"/>
          <w:color w:val="000000"/>
          <w:kern w:val="21"/>
          <w:szCs w:val="21"/>
        </w:rPr>
        <w:t>注：</w:t>
      </w:r>
      <w:r>
        <w:rPr>
          <w:rFonts w:hint="default" w:ascii="Times New Roman" w:hAnsi="Times New Roman" w:cs="Times New Roman"/>
          <w:snapToGrid w:val="0"/>
          <w:color w:val="000000"/>
          <w:spacing w:val="-16"/>
          <w:kern w:val="21"/>
          <w:szCs w:val="21"/>
        </w:rPr>
        <w:fldChar w:fldCharType="begin"/>
      </w:r>
      <w:r>
        <w:rPr>
          <w:rFonts w:hint="default" w:ascii="Times New Roman" w:hAnsi="Times New Roman" w:cs="Times New Roman"/>
          <w:snapToGrid w:val="0"/>
          <w:color w:val="000000"/>
          <w:spacing w:val="-16"/>
          <w:kern w:val="21"/>
          <w:szCs w:val="21"/>
        </w:rPr>
        <w:instrText xml:space="preserve"> = 6 \* GB3 \* MERGEFORMAT </w:instrText>
      </w:r>
      <w:r>
        <w:rPr>
          <w:rFonts w:hint="default" w:ascii="Times New Roman" w:hAnsi="Times New Roman" w:cs="Times New Roman"/>
          <w:snapToGrid w:val="0"/>
          <w:color w:val="000000"/>
          <w:spacing w:val="-16"/>
          <w:kern w:val="21"/>
          <w:szCs w:val="21"/>
        </w:rPr>
        <w:fldChar w:fldCharType="separate"/>
      </w:r>
      <w:r>
        <w:rPr>
          <w:rFonts w:hint="default" w:ascii="Times New Roman" w:hAnsi="Times New Roman" w:cs="Times New Roman"/>
          <w:szCs w:val="21"/>
        </w:rPr>
        <w:t>⑥</w:t>
      </w:r>
      <w:r>
        <w:rPr>
          <w:rFonts w:hint="default" w:ascii="Times New Roman" w:hAnsi="Times New Roman" w:cs="Times New Roman"/>
          <w:snapToGrid w:val="0"/>
          <w:color w:val="000000"/>
          <w:spacing w:val="-16"/>
          <w:kern w:val="21"/>
          <w:szCs w:val="21"/>
        </w:rPr>
        <w:fldChar w:fldCharType="end"/>
      </w:r>
      <w:r>
        <w:rPr>
          <w:rFonts w:hint="default" w:ascii="Times New Roman" w:hAnsi="Times New Roman" w:cs="Times New Roman"/>
          <w:snapToGrid w:val="0"/>
          <w:color w:val="000000"/>
          <w:spacing w:val="-16"/>
          <w:kern w:val="21"/>
          <w:szCs w:val="21"/>
        </w:rPr>
        <w:t>=</w:t>
      </w:r>
      <w:r>
        <w:rPr>
          <w:rFonts w:hint="default" w:ascii="Times New Roman" w:hAnsi="Times New Roman" w:cs="Times New Roman"/>
          <w:snapToGrid w:val="0"/>
          <w:color w:val="000000"/>
          <w:spacing w:val="-6"/>
          <w:kern w:val="21"/>
          <w:szCs w:val="21"/>
        </w:rPr>
        <w:fldChar w:fldCharType="begin"/>
      </w:r>
      <w:r>
        <w:rPr>
          <w:rFonts w:hint="default" w:ascii="Times New Roman" w:hAnsi="Times New Roman" w:cs="Times New Roman"/>
          <w:snapToGrid w:val="0"/>
          <w:color w:val="000000"/>
          <w:spacing w:val="-6"/>
          <w:kern w:val="21"/>
          <w:szCs w:val="21"/>
        </w:rPr>
        <w:instrText xml:space="preserve"> = 1 \* GB3 \* MERGEFORMAT </w:instrText>
      </w:r>
      <w:r>
        <w:rPr>
          <w:rFonts w:hint="default" w:ascii="Times New Roman" w:hAnsi="Times New Roman" w:cs="Times New Roman"/>
          <w:snapToGrid w:val="0"/>
          <w:color w:val="000000"/>
          <w:spacing w:val="-6"/>
          <w:kern w:val="21"/>
          <w:szCs w:val="21"/>
        </w:rPr>
        <w:fldChar w:fldCharType="separate"/>
      </w:r>
      <w:r>
        <w:rPr>
          <w:rFonts w:hint="default" w:ascii="Times New Roman" w:hAnsi="Times New Roman" w:cs="Times New Roman"/>
          <w:szCs w:val="21"/>
        </w:rPr>
        <w:t>①</w:t>
      </w:r>
      <w:r>
        <w:rPr>
          <w:rFonts w:hint="default" w:ascii="Times New Roman" w:hAnsi="Times New Roman" w:cs="Times New Roman"/>
          <w:snapToGrid w:val="0"/>
          <w:color w:val="000000"/>
          <w:spacing w:val="-6"/>
          <w:kern w:val="21"/>
          <w:szCs w:val="21"/>
        </w:rPr>
        <w:fldChar w:fldCharType="end"/>
      </w:r>
      <w:r>
        <w:rPr>
          <w:rFonts w:hint="default" w:ascii="Times New Roman" w:hAnsi="Times New Roman" w:cs="Times New Roman"/>
          <w:snapToGrid w:val="0"/>
          <w:color w:val="000000"/>
          <w:spacing w:val="-6"/>
          <w:kern w:val="21"/>
          <w:szCs w:val="21"/>
        </w:rPr>
        <w:t>+</w:t>
      </w:r>
      <w:r>
        <w:rPr>
          <w:rFonts w:hint="default" w:ascii="Times New Roman" w:hAnsi="Times New Roman" w:cs="Times New Roman"/>
          <w:snapToGrid w:val="0"/>
          <w:color w:val="000000"/>
          <w:spacing w:val="-6"/>
          <w:kern w:val="21"/>
          <w:szCs w:val="21"/>
        </w:rPr>
        <w:fldChar w:fldCharType="begin"/>
      </w:r>
      <w:r>
        <w:rPr>
          <w:rFonts w:hint="default" w:ascii="Times New Roman" w:hAnsi="Times New Roman" w:cs="Times New Roman"/>
          <w:snapToGrid w:val="0"/>
          <w:color w:val="000000"/>
          <w:spacing w:val="-6"/>
          <w:kern w:val="21"/>
          <w:szCs w:val="21"/>
        </w:rPr>
        <w:instrText xml:space="preserve"> = 3 \* GB3 \* MERGEFORMAT </w:instrText>
      </w:r>
      <w:r>
        <w:rPr>
          <w:rFonts w:hint="default" w:ascii="Times New Roman" w:hAnsi="Times New Roman" w:cs="Times New Roman"/>
          <w:snapToGrid w:val="0"/>
          <w:color w:val="000000"/>
          <w:spacing w:val="-6"/>
          <w:kern w:val="21"/>
          <w:szCs w:val="21"/>
        </w:rPr>
        <w:fldChar w:fldCharType="separate"/>
      </w:r>
      <w:r>
        <w:rPr>
          <w:rFonts w:hint="default" w:ascii="Times New Roman" w:hAnsi="Times New Roman" w:cs="Times New Roman"/>
          <w:szCs w:val="21"/>
        </w:rPr>
        <w:t>③</w:t>
      </w:r>
      <w:r>
        <w:rPr>
          <w:rFonts w:hint="default" w:ascii="Times New Roman" w:hAnsi="Times New Roman" w:cs="Times New Roman"/>
          <w:snapToGrid w:val="0"/>
          <w:color w:val="000000"/>
          <w:spacing w:val="-6"/>
          <w:kern w:val="21"/>
          <w:szCs w:val="21"/>
        </w:rPr>
        <w:fldChar w:fldCharType="end"/>
      </w:r>
      <w:r>
        <w:rPr>
          <w:rFonts w:hint="default" w:ascii="Times New Roman" w:hAnsi="Times New Roman" w:cs="Times New Roman"/>
          <w:snapToGrid w:val="0"/>
          <w:color w:val="000000"/>
          <w:spacing w:val="-6"/>
          <w:kern w:val="21"/>
          <w:szCs w:val="21"/>
        </w:rPr>
        <w:t>+</w:t>
      </w:r>
      <w:r>
        <w:rPr>
          <w:rFonts w:hint="default" w:ascii="Times New Roman" w:hAnsi="Times New Roman" w:cs="Times New Roman"/>
          <w:snapToGrid w:val="0"/>
          <w:color w:val="000000"/>
          <w:spacing w:val="-6"/>
          <w:kern w:val="21"/>
          <w:szCs w:val="21"/>
        </w:rPr>
        <w:fldChar w:fldCharType="begin"/>
      </w:r>
      <w:r>
        <w:rPr>
          <w:rFonts w:hint="default" w:ascii="Times New Roman" w:hAnsi="Times New Roman" w:cs="Times New Roman"/>
          <w:snapToGrid w:val="0"/>
          <w:color w:val="000000"/>
          <w:spacing w:val="-6"/>
          <w:kern w:val="21"/>
          <w:szCs w:val="21"/>
        </w:rPr>
        <w:instrText xml:space="preserve"> = 4 \* GB3 \* MERGEFORMAT </w:instrText>
      </w:r>
      <w:r>
        <w:rPr>
          <w:rFonts w:hint="default" w:ascii="Times New Roman" w:hAnsi="Times New Roman" w:cs="Times New Roman"/>
          <w:snapToGrid w:val="0"/>
          <w:color w:val="000000"/>
          <w:spacing w:val="-6"/>
          <w:kern w:val="21"/>
          <w:szCs w:val="21"/>
        </w:rPr>
        <w:fldChar w:fldCharType="separate"/>
      </w:r>
      <w:r>
        <w:rPr>
          <w:rFonts w:hint="default" w:ascii="Times New Roman" w:hAnsi="Times New Roman" w:cs="Times New Roman"/>
          <w:szCs w:val="21"/>
        </w:rPr>
        <w:t>④</w:t>
      </w:r>
      <w:r>
        <w:rPr>
          <w:rFonts w:hint="default" w:ascii="Times New Roman" w:hAnsi="Times New Roman" w:cs="Times New Roman"/>
          <w:snapToGrid w:val="0"/>
          <w:color w:val="000000"/>
          <w:spacing w:val="-6"/>
          <w:kern w:val="21"/>
          <w:szCs w:val="21"/>
        </w:rPr>
        <w:fldChar w:fldCharType="end"/>
      </w:r>
      <w:r>
        <w:rPr>
          <w:rFonts w:hint="default" w:ascii="Times New Roman" w:hAnsi="Times New Roman" w:cs="Times New Roman"/>
          <w:snapToGrid w:val="0"/>
          <w:color w:val="000000"/>
          <w:spacing w:val="-6"/>
          <w:kern w:val="21"/>
          <w:szCs w:val="21"/>
        </w:rPr>
        <w:t>-</w:t>
      </w:r>
      <w:r>
        <w:rPr>
          <w:rFonts w:hint="default" w:ascii="Times New Roman" w:hAnsi="Times New Roman" w:cs="Times New Roman"/>
          <w:snapToGrid w:val="0"/>
          <w:color w:val="000000"/>
          <w:spacing w:val="-16"/>
          <w:kern w:val="21"/>
          <w:szCs w:val="21"/>
        </w:rPr>
        <w:fldChar w:fldCharType="begin"/>
      </w:r>
      <w:r>
        <w:rPr>
          <w:rFonts w:hint="default" w:ascii="Times New Roman" w:hAnsi="Times New Roman" w:cs="Times New Roman"/>
          <w:snapToGrid w:val="0"/>
          <w:color w:val="000000"/>
          <w:spacing w:val="-16"/>
          <w:kern w:val="21"/>
          <w:szCs w:val="21"/>
        </w:rPr>
        <w:instrText xml:space="preserve"> = 5 \* GB3 \* MERGEFORMAT </w:instrText>
      </w:r>
      <w:r>
        <w:rPr>
          <w:rFonts w:hint="default" w:ascii="Times New Roman" w:hAnsi="Times New Roman" w:cs="Times New Roman"/>
          <w:snapToGrid w:val="0"/>
          <w:color w:val="000000"/>
          <w:spacing w:val="-16"/>
          <w:kern w:val="21"/>
          <w:szCs w:val="21"/>
        </w:rPr>
        <w:fldChar w:fldCharType="separate"/>
      </w:r>
      <w:r>
        <w:rPr>
          <w:rFonts w:hint="default" w:ascii="Times New Roman" w:hAnsi="Times New Roman" w:cs="Times New Roman"/>
          <w:szCs w:val="21"/>
        </w:rPr>
        <w:t>⑤</w:t>
      </w:r>
      <w:r>
        <w:rPr>
          <w:rFonts w:hint="default" w:ascii="Times New Roman" w:hAnsi="Times New Roman" w:cs="Times New Roman"/>
          <w:snapToGrid w:val="0"/>
          <w:color w:val="000000"/>
          <w:spacing w:val="-16"/>
          <w:kern w:val="21"/>
          <w:szCs w:val="21"/>
        </w:rPr>
        <w:fldChar w:fldCharType="end"/>
      </w:r>
      <w:r>
        <w:rPr>
          <w:rFonts w:hint="default" w:ascii="Times New Roman" w:hAnsi="Times New Roman" w:cs="Times New Roman"/>
          <w:snapToGrid w:val="0"/>
          <w:color w:val="000000"/>
          <w:spacing w:val="-16"/>
          <w:kern w:val="21"/>
          <w:szCs w:val="21"/>
        </w:rPr>
        <w:t>；</w:t>
      </w:r>
      <w:r>
        <w:rPr>
          <w:rFonts w:hint="default" w:ascii="Times New Roman" w:hAnsi="Times New Roman" w:cs="Times New Roman"/>
          <w:snapToGrid w:val="0"/>
          <w:color w:val="000000"/>
          <w:spacing w:val="-6"/>
          <w:kern w:val="21"/>
          <w:szCs w:val="21"/>
        </w:rPr>
        <w:fldChar w:fldCharType="begin"/>
      </w:r>
      <w:r>
        <w:rPr>
          <w:rFonts w:hint="default" w:ascii="Times New Roman" w:hAnsi="Times New Roman" w:cs="Times New Roman"/>
          <w:snapToGrid w:val="0"/>
          <w:color w:val="000000"/>
          <w:spacing w:val="-6"/>
          <w:kern w:val="21"/>
          <w:szCs w:val="21"/>
        </w:rPr>
        <w:instrText xml:space="preserve"> = 7 \* GB3 \* MERGEFORMAT </w:instrText>
      </w:r>
      <w:r>
        <w:rPr>
          <w:rFonts w:hint="default" w:ascii="Times New Roman" w:hAnsi="Times New Roman" w:cs="Times New Roman"/>
          <w:snapToGrid w:val="0"/>
          <w:color w:val="000000"/>
          <w:spacing w:val="-6"/>
          <w:kern w:val="21"/>
          <w:szCs w:val="21"/>
        </w:rPr>
        <w:fldChar w:fldCharType="separate"/>
      </w:r>
      <w:r>
        <w:rPr>
          <w:rFonts w:hint="default" w:ascii="Times New Roman" w:hAnsi="Times New Roman" w:cs="Times New Roman"/>
          <w:szCs w:val="21"/>
        </w:rPr>
        <w:t>⑦</w:t>
      </w:r>
      <w:r>
        <w:rPr>
          <w:rFonts w:hint="default" w:ascii="Times New Roman" w:hAnsi="Times New Roman" w:cs="Times New Roman"/>
          <w:snapToGrid w:val="0"/>
          <w:color w:val="000000"/>
          <w:spacing w:val="-6"/>
          <w:kern w:val="21"/>
          <w:szCs w:val="21"/>
        </w:rPr>
        <w:fldChar w:fldCharType="end"/>
      </w:r>
      <w:r>
        <w:rPr>
          <w:rFonts w:hint="default" w:ascii="Times New Roman" w:hAnsi="Times New Roman" w:cs="Times New Roman"/>
          <w:snapToGrid w:val="0"/>
          <w:color w:val="000000"/>
          <w:spacing w:val="-6"/>
          <w:kern w:val="21"/>
          <w:szCs w:val="21"/>
        </w:rPr>
        <w:t>=</w:t>
      </w:r>
      <w:r>
        <w:rPr>
          <w:rFonts w:hint="default" w:ascii="Times New Roman" w:hAnsi="Times New Roman" w:cs="Times New Roman"/>
          <w:snapToGrid w:val="0"/>
          <w:color w:val="000000"/>
          <w:spacing w:val="-16"/>
          <w:kern w:val="21"/>
          <w:szCs w:val="21"/>
        </w:rPr>
        <w:fldChar w:fldCharType="begin"/>
      </w:r>
      <w:r>
        <w:rPr>
          <w:rFonts w:hint="default" w:ascii="Times New Roman" w:hAnsi="Times New Roman" w:cs="Times New Roman"/>
          <w:snapToGrid w:val="0"/>
          <w:color w:val="000000"/>
          <w:spacing w:val="-16"/>
          <w:kern w:val="21"/>
          <w:szCs w:val="21"/>
        </w:rPr>
        <w:instrText xml:space="preserve"> = 6 \* GB3 \* MERGEFORMAT </w:instrText>
      </w:r>
      <w:r>
        <w:rPr>
          <w:rFonts w:hint="default" w:ascii="Times New Roman" w:hAnsi="Times New Roman" w:cs="Times New Roman"/>
          <w:snapToGrid w:val="0"/>
          <w:color w:val="000000"/>
          <w:spacing w:val="-16"/>
          <w:kern w:val="21"/>
          <w:szCs w:val="21"/>
        </w:rPr>
        <w:fldChar w:fldCharType="separate"/>
      </w:r>
      <w:r>
        <w:rPr>
          <w:rFonts w:hint="default" w:ascii="Times New Roman" w:hAnsi="Times New Roman" w:cs="Times New Roman"/>
          <w:szCs w:val="21"/>
        </w:rPr>
        <w:t>⑥</w:t>
      </w:r>
      <w:r>
        <w:rPr>
          <w:rFonts w:hint="default" w:ascii="Times New Roman" w:hAnsi="Times New Roman" w:cs="Times New Roman"/>
          <w:snapToGrid w:val="0"/>
          <w:color w:val="000000"/>
          <w:spacing w:val="-16"/>
          <w:kern w:val="21"/>
          <w:szCs w:val="21"/>
        </w:rPr>
        <w:fldChar w:fldCharType="end"/>
      </w:r>
      <w:r>
        <w:rPr>
          <w:rFonts w:hint="default" w:ascii="Times New Roman" w:hAnsi="Times New Roman" w:cs="Times New Roman"/>
          <w:snapToGrid w:val="0"/>
          <w:color w:val="000000"/>
          <w:spacing w:val="-16"/>
          <w:kern w:val="21"/>
          <w:szCs w:val="21"/>
        </w:rPr>
        <w:t>-</w:t>
      </w:r>
      <w:r>
        <w:rPr>
          <w:rFonts w:hint="default" w:ascii="Times New Roman" w:hAnsi="Times New Roman" w:cs="Times New Roman"/>
          <w:snapToGrid w:val="0"/>
          <w:color w:val="000000"/>
          <w:spacing w:val="-6"/>
          <w:kern w:val="21"/>
          <w:szCs w:val="21"/>
        </w:rPr>
        <w:fldChar w:fldCharType="begin"/>
      </w:r>
      <w:r>
        <w:rPr>
          <w:rFonts w:hint="default" w:ascii="Times New Roman" w:hAnsi="Times New Roman" w:cs="Times New Roman"/>
          <w:snapToGrid w:val="0"/>
          <w:color w:val="000000"/>
          <w:spacing w:val="-6"/>
          <w:kern w:val="21"/>
          <w:szCs w:val="21"/>
        </w:rPr>
        <w:instrText xml:space="preserve"> = 1 \* GB3 \* MERGEFORMAT </w:instrText>
      </w:r>
      <w:r>
        <w:rPr>
          <w:rFonts w:hint="default" w:ascii="Times New Roman" w:hAnsi="Times New Roman" w:cs="Times New Roman"/>
          <w:snapToGrid w:val="0"/>
          <w:color w:val="000000"/>
          <w:spacing w:val="-6"/>
          <w:kern w:val="21"/>
          <w:szCs w:val="21"/>
        </w:rPr>
        <w:fldChar w:fldCharType="separate"/>
      </w:r>
      <w:r>
        <w:rPr>
          <w:rFonts w:hint="default" w:ascii="Times New Roman" w:hAnsi="Times New Roman" w:cs="Times New Roman"/>
          <w:szCs w:val="21"/>
        </w:rPr>
        <w:t>①</w:t>
      </w:r>
      <w:r>
        <w:rPr>
          <w:rFonts w:hint="default" w:ascii="Times New Roman" w:hAnsi="Times New Roman" w:cs="Times New Roman"/>
          <w:snapToGrid w:val="0"/>
          <w:color w:val="000000"/>
          <w:spacing w:val="-6"/>
          <w:kern w:val="21"/>
          <w:szCs w:val="21"/>
        </w:rPr>
        <w:fldChar w:fldCharType="end"/>
      </w:r>
    </w:p>
    <w:p>
      <w:pPr>
        <w:rPr>
          <w:rFonts w:hint="default" w:ascii="Times New Roman" w:hAnsi="Times New Roman" w:cs="Times New Roman"/>
        </w:rPr>
      </w:pPr>
    </w:p>
    <w:p>
      <w:pPr>
        <w:rPr>
          <w:rFonts w:hint="default" w:ascii="Times New Roman" w:hAnsi="Times New Roman" w:cs="Times New Roman"/>
        </w:rPr>
        <w:sectPr>
          <w:footerReference r:id="rId8" w:type="default"/>
          <w:pgSz w:w="16838" w:h="11906" w:orient="landscape"/>
          <w:pgMar w:top="1440" w:right="1800" w:bottom="1440" w:left="1800" w:header="851" w:footer="851" w:gutter="0"/>
          <w:pgNumType w:fmt="numberInDash"/>
          <w:cols w:space="720" w:num="1"/>
          <w:docGrid w:linePitch="312" w:charSpace="0"/>
        </w:sectPr>
      </w:pPr>
    </w:p>
    <w:p>
      <w:pPr>
        <w:ind w:left="0" w:leftChars="0" w:firstLine="0" w:firstLineChars="0"/>
        <w:rPr>
          <w:rFonts w:hint="default"/>
          <w:lang w:val="en-US" w:eastAsia="zh-CN"/>
        </w:rPr>
      </w:pPr>
    </w:p>
    <w:p/>
    <w:sectPr>
      <w:footerReference r:id="rId9" w:type="default"/>
      <w:pgSz w:w="16838" w:h="11906" w:orient="landscape"/>
      <w:pgMar w:top="1800" w:right="1440" w:bottom="1800" w:left="1440" w:header="851" w:footer="851" w:gutter="0"/>
      <w:pgNumType w:fmt="numberInDash"/>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0"/>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Cambria Math">
    <w:altName w:val="DejaVu Math TeX Gyre"/>
    <w:panose1 w:val="02040503050406030204"/>
    <w:charset w:val="00"/>
    <w:family w:val="auto"/>
    <w:pitch w:val="default"/>
    <w:sig w:usb0="00000000" w:usb1="00000000" w:usb2="02000000" w:usb3="00000000" w:csb0="2000019F" w:csb1="00000000"/>
  </w:font>
  <w:font w:name="DejaVu Math TeX Gyre">
    <w:panose1 w:val="02000503000000000000"/>
    <w:charset w:val="00"/>
    <w:family w:val="auto"/>
    <w:pitch w:val="default"/>
    <w:sig w:usb0="A10000EF" w:usb1="4201F9EE" w:usb2="02000000" w:usb3="00000000" w:csb0="60000193" w:csb1="0DD40000"/>
  </w:font>
  <w:font w:name="方正小标宋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M6pebnPAAAABQEAAA8AAAAAAAAAAQAgAAAAOAAAAGRycy9kb3ducmV2LnhtbFBLAQIUABQAAAAI&#10;AIdO4kDyoNz54AEAAMIDAAAOAAAAAAAAAAEAIAAAADQBAABkcnMvZTJvRG9jLnhtbFBLBQYAAAAA&#10;BgAGAFkBAACG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DOqXm5zwAAAAUBAAAPAAAAAAAAAAEAIAAAADgAAABkcnMvZG93bnJldi54bWxQSwECFAAUAAAA&#10;CACHTuJAxHHQieEBAADCAwAADgAAAAAAAAABACAAAAA0AQAAZHJzL2Uyb0RvYy54bWxQSwUGAAAA&#10;AAYABgBZAQAAhw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7</w:t>
                          </w:r>
                          <w:r>
                            <w:fldChar w:fldCharType="end"/>
                          </w:r>
                        </w:p>
                      </w:txbxContent>
                    </wps:txbx>
                    <wps:bodyPr vert="horz" wrap="none" lIns="0" tIns="0" rIns="0" bIns="0" anchor="t" anchorCtr="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zql5uc8AAAAFAQAADwAAAAAAAAABACAAAAA4AAAAZHJzL2Rvd25yZXYueG1sUEsBAhQAFAAA&#10;AAgAh07iQAdAhwLiAQAAwgMAAA4AAAAAAAAAAQAgAAAANAEAAGRycy9lMm9Eb2MueG1sUEsFBgAA&#10;AAAGAAYAWQEAAIg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8</w:t>
                          </w:r>
                          <w:r>
                            <w:fldChar w:fldCharType="end"/>
                          </w:r>
                        </w:p>
                      </w:txbxContent>
                    </wps:txbx>
                    <wps:bodyPr vert="horz" wrap="none" lIns="0" tIns="0" rIns="0" bIns="0" anchor="t" anchorCtr="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zql5uc8AAAAFAQAADwAAAAAAAAABACAAAAA4AAAAZHJzL2Rvd25yZXYueG1sUEsBAhQAFAAA&#10;AAgAh07iQDGRi3LiAQAAwgMAAA4AAAAAAAAAAQAgAAAANAEAAGRycy9lMm9Eb2MueG1sUEsFBgAA&#10;AAAGAAYAWQEAAIg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yOWVkMDQ1ZDJiMmU2YTY0Y2RjZjk2MTY4MmNjZTAifQ=="/>
  </w:docVars>
  <w:rsids>
    <w:rsidRoot w:val="75F25A50"/>
    <w:rsid w:val="242F0933"/>
    <w:rsid w:val="454D4A9C"/>
    <w:rsid w:val="69936ACE"/>
    <w:rsid w:val="75F25A50"/>
    <w:rsid w:val="FF369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line="360" w:lineRule="auto"/>
      <w:ind w:firstLine="720" w:firstLineChars="20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9"/>
    <w:pPr>
      <w:keepNext/>
      <w:overflowPunct w:val="0"/>
      <w:snapToGrid w:val="0"/>
      <w:spacing w:line="360" w:lineRule="auto"/>
      <w:ind w:left="431" w:firstLine="0" w:firstLineChars="0"/>
      <w:outlineLvl w:val="0"/>
    </w:pPr>
    <w:rPr>
      <w:rFonts w:eastAsia="黑体"/>
      <w:b/>
      <w:bCs/>
      <w:color w:val="000000"/>
      <w:kern w:val="44"/>
      <w:szCs w:val="3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3"/>
    <w:unhideWhenUsed/>
    <w:qFormat/>
    <w:uiPriority w:val="99"/>
    <w:pPr>
      <w:ind w:firstLine="420" w:firstLineChars="200"/>
    </w:pPr>
  </w:style>
  <w:style w:type="paragraph" w:styleId="3">
    <w:name w:val="Body Text First Indent 2"/>
    <w:basedOn w:val="4"/>
    <w:next w:val="1"/>
    <w:unhideWhenUsed/>
    <w:qFormat/>
    <w:uiPriority w:val="99"/>
    <w:pPr>
      <w:spacing w:after="120" w:line="480" w:lineRule="exact"/>
      <w:ind w:left="420" w:leftChars="200" w:firstLine="420" w:firstLineChars="200"/>
    </w:pPr>
    <w:rPr>
      <w:rFonts w:ascii="Times New Roman" w:hAnsi="Times New Roman" w:eastAsia="宋体"/>
      <w:kern w:val="2"/>
      <w:sz w:val="24"/>
      <w:szCs w:val="24"/>
    </w:rPr>
  </w:style>
  <w:style w:type="paragraph" w:styleId="4">
    <w:name w:val="Body Text Indent"/>
    <w:basedOn w:val="1"/>
    <w:next w:val="1"/>
    <w:qFormat/>
    <w:uiPriority w:val="0"/>
    <w:pPr>
      <w:spacing w:after="120"/>
      <w:ind w:left="420" w:leftChars="200"/>
    </w:pPr>
    <w:rPr>
      <w:kern w:val="0"/>
      <w:sz w:val="24"/>
      <w:szCs w:val="20"/>
    </w:rPr>
  </w:style>
  <w:style w:type="paragraph" w:styleId="6">
    <w:name w:val="footer"/>
    <w:basedOn w:val="1"/>
    <w:qFormat/>
    <w:uiPriority w:val="99"/>
    <w:pPr>
      <w:tabs>
        <w:tab w:val="center" w:pos="4153"/>
        <w:tab w:val="right" w:pos="8306"/>
      </w:tabs>
      <w:snapToGrid w:val="0"/>
      <w:jc w:val="left"/>
    </w:pPr>
    <w:rPr>
      <w:kern w:val="0"/>
      <w:sz w:val="18"/>
      <w:szCs w:val="20"/>
    </w:rPr>
  </w:style>
  <w:style w:type="paragraph" w:styleId="7">
    <w:name w:val="Body Text 2"/>
    <w:basedOn w:val="1"/>
    <w:next w:val="1"/>
    <w:qFormat/>
    <w:uiPriority w:val="0"/>
    <w:pPr>
      <w:spacing w:after="120" w:line="480" w:lineRule="auto"/>
    </w:pPr>
  </w:style>
  <w:style w:type="paragraph" w:styleId="8">
    <w:name w:val="Normal (Web)"/>
    <w:basedOn w:val="1"/>
    <w:qFormat/>
    <w:uiPriority w:val="0"/>
    <w:pPr>
      <w:widowControl/>
      <w:spacing w:before="100" w:beforeAutospacing="1" w:after="100" w:afterAutospacing="1"/>
      <w:jc w:val="left"/>
    </w:pPr>
    <w:rPr>
      <w:rFonts w:ascii="宋体" w:hAnsi="宋体"/>
      <w:kern w:val="0"/>
      <w:sz w:val="24"/>
      <w:szCs w:val="20"/>
    </w:rPr>
  </w:style>
  <w:style w:type="table" w:styleId="10">
    <w:name w:val="Table Grid"/>
    <w:basedOn w:val="9"/>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paragraph" w:customStyle="1" w:styleId="13">
    <w:name w:val="表格"/>
    <w:basedOn w:val="1"/>
    <w:next w:val="1"/>
    <w:qFormat/>
    <w:uiPriority w:val="0"/>
    <w:pPr>
      <w:adjustRightInd w:val="0"/>
      <w:snapToGrid w:val="0"/>
      <w:spacing w:beforeLines="10" w:afterLines="10" w:line="259" w:lineRule="auto"/>
      <w:jc w:val="center"/>
    </w:pPr>
    <w:rPr>
      <w:rFonts w:ascii="宋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zAzNzM0Mzk3NTgyIiwKCSJHcm91cElkIiA6ICIxOTY1NTU4NTUiLAoJIkltYWdlIiA6ICJpVkJPUncwS0dnb0FBQUFOU1VoRVVnQUFCak1BQUFPZ0NBWUFBQUI0RG9RWkFBQUFBWE5TUjBJQXJzNGM2UUFBSUFCSlJFRlVlSnpzM1hsOFZPWFovL0h2ZldhU3NHOEZCRUZGWmRHb3laeUpQTlVxUXBGYXJkcHFxMzNzZ2d0aXJhM0Zha3ZkcTlZaVd1V3gxZHBhNjFMci90TzZkVkhVNGthbExwbEpRZ3dnU01FaXNwVkZBZ25KekxsK2YyUW1uU1NUamNVSitIbS9Ycnh5NXR6THVjNlFUSExPZGU3N2xn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UUUvK0YzWWxJZ3ZaQ3g5bkFBQUFBRWxGVGtTdVFtQ0MiLAoJIlRoZW1lIiA6ICIiLAoJIlR5cGUiIDogImZsb3ciLAoJIlZlcnNpb24iIDogIiIKfQo="/>
    </extobj>
    <extobj name="ECB019B1-382A-4266-B25C-5B523AA43C14-2">
      <extobjdata type="ECB019B1-382A-4266-B25C-5B523AA43C14" data="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19851</Words>
  <Characters>22358</Characters>
  <Lines>0</Lines>
  <Paragraphs>0</Paragraphs>
  <TotalTime>14</TotalTime>
  <ScaleCrop>false</ScaleCrop>
  <LinksUpToDate>false</LinksUpToDate>
  <CharactersWithSpaces>22360</CharactersWithSpaces>
  <Application>WPS Office_11.8.2.1129_F1E327BC-269C-435d-A152-05C5408002CA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2024-06-24T10:37:00Z</dcterms:created>
  <dc:creator>IKL</dc:creator>
  <cp:lastModifiedBy>user</cp:lastModifiedBy>
  <dcterms:modified xsi:type="dcterms:W3CDTF">2024-07-11T11:13:19Z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2052-11.8.2.1129</vt:lpwstr>
  </property>
  <property fmtid="{D5CDD505-2E9C-101B-9397-08002B2CF9AE}" pid="3" name="ICV">
    <vt:lpwstr>07E143C244454881B48B4CBF5BC67E1C_13</vt:lpwstr>
  </property>
</Properties>
</file>