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8" w:beforeLines="130" w:beforeAutospacing="0"/>
        <w:rPr>
          <w:rFonts w:hint="eastAsia" w:eastAsia="宋体"/>
          <w:lang w:eastAsia="zh-CN"/>
        </w:rPr>
      </w:pPr>
      <w:bookmarkStart w:id="1" w:name="_GoBack"/>
      <w:bookmarkEnd w:id="1"/>
      <w:r>
        <w:rPr>
          <w:rFonts w:hint="eastAsia" w:eastAsia="宋体"/>
          <w:lang w:eastAsia="zh-CN"/>
        </w:rPr>
        <w:drawing>
          <wp:inline distT="0" distB="0" distL="114300" distR="114300">
            <wp:extent cx="9291320" cy="6721475"/>
            <wp:effectExtent l="0" t="0" r="5080" b="3175"/>
            <wp:docPr id="1" name="图片 1" descr="001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1_wps图片"/>
                    <pic:cNvPicPr>
                      <a:picLocks noChangeAspect="1"/>
                    </pic:cNvPicPr>
                  </pic:nvPicPr>
                  <pic:blipFill>
                    <a:blip r:embed="rId4"/>
                    <a:stretch>
                      <a:fillRect/>
                    </a:stretch>
                  </pic:blipFill>
                  <pic:spPr>
                    <a:xfrm>
                      <a:off x="0" y="0"/>
                      <a:ext cx="9291320" cy="6721475"/>
                    </a:xfrm>
                    <a:prstGeom prst="rect">
                      <a:avLst/>
                    </a:prstGeom>
                  </pic:spPr>
                </pic:pic>
              </a:graphicData>
            </a:graphic>
          </wp:inline>
        </w:drawing>
      </w:r>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0" w:hRule="atLeast"/>
          <w:jc w:val="center"/>
        </w:trPr>
        <w:tc>
          <w:tcPr>
            <w:tcW w:w="540" w:type="dxa"/>
            <w:tcBorders>
              <w:tl2br w:val="nil"/>
              <w:tr2bl w:val="nil"/>
            </w:tcBorders>
            <w:vAlign w:val="center"/>
          </w:tcPr>
          <w:p>
            <w:pPr>
              <w:rPr>
                <w:rFonts w:hint="eastAsia" w:ascii="仿宋_GB2312" w:hAnsi="宋体" w:eastAsia="仿宋_GB2312" w:cs="宋体"/>
                <w:color w:val="000000"/>
                <w:sz w:val="18"/>
                <w:szCs w:val="18"/>
                <w:lang w:eastAsia="zh-CN"/>
              </w:rPr>
            </w:pPr>
            <w:r>
              <w:rPr>
                <w:rFonts w:hint="eastAsia" w:ascii="仿宋_GB2312" w:hAnsi="宋体" w:eastAsia="仿宋_GB2312" w:cs="宋体"/>
                <w:color w:val="000000"/>
                <w:sz w:val="18"/>
                <w:szCs w:val="18"/>
                <w:lang w:val="en-US" w:eastAsia="zh-CN"/>
              </w:rPr>
              <w:t>3</w:t>
            </w:r>
          </w:p>
        </w:tc>
        <w:tc>
          <w:tcPr>
            <w:tcW w:w="900" w:type="dxa"/>
            <w:vMerge w:val="restart"/>
            <w:tcBorders>
              <w:tl2br w:val="nil"/>
              <w:tr2bl w:val="nil"/>
            </w:tcBorders>
            <w:shd w:val="clear" w:color="auto" w:fill="auto"/>
            <w:vAlign w:val="center"/>
          </w:tcPr>
          <w:p>
            <w:pPr>
              <w:rPr>
                <w:rFonts w:hint="eastAsia" w:ascii="仿宋_GB2312" w:hAnsi="宋体" w:eastAsia="仿宋_GB2312" w:cs="宋体"/>
                <w:color w:val="000000"/>
                <w:sz w:val="18"/>
                <w:szCs w:val="18"/>
              </w:rPr>
            </w:pPr>
          </w:p>
        </w:tc>
        <w:tc>
          <w:tcPr>
            <w:tcW w:w="1260" w:type="dxa"/>
            <w:tcBorders>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特殊车辆在城市道路上行驶</w:t>
            </w:r>
          </w:p>
        </w:tc>
        <w:tc>
          <w:tcPr>
            <w:tcW w:w="198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tcBorders>
              <w:tl2br w:val="nil"/>
              <w:tr2bl w:val="nil"/>
            </w:tcBorders>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城市道路管理条例</w:t>
            </w:r>
            <w:r>
              <w:rPr>
                <w:rFonts w:hint="eastAsia" w:ascii="仿宋_GB2312" w:eastAsia="仿宋_GB2312"/>
                <w:color w:val="000000"/>
                <w:sz w:val="18"/>
                <w:szCs w:val="18"/>
              </w:rPr>
              <w:t>》</w:t>
            </w:r>
          </w:p>
        </w:tc>
        <w:tc>
          <w:tcPr>
            <w:tcW w:w="1620" w:type="dxa"/>
            <w:tcBorders>
              <w:tl2br w:val="nil"/>
              <w:tr2bl w:val="nil"/>
            </w:tcBorders>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tcBorders>
              <w:right w:val="single" w:color="auto" w:sz="4" w:space="0"/>
              <w:tl2br w:val="nil"/>
              <w:tr2bl w:val="nil"/>
            </w:tcBorders>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政府</w:t>
            </w:r>
            <w:r>
              <w:rPr>
                <w:rFonts w:hint="eastAsia" w:ascii="仿宋_GB2312" w:eastAsia="仿宋_GB2312"/>
                <w:color w:val="000000"/>
                <w:sz w:val="18"/>
                <w:szCs w:val="18"/>
                <w:lang w:eastAsia="zh-CN"/>
              </w:rPr>
              <w:t>门户</w:t>
            </w:r>
            <w:r>
              <w:rPr>
                <w:rFonts w:hint="eastAsia" w:ascii="仿宋_GB2312" w:eastAsia="仿宋_GB2312"/>
                <w:color w:val="000000"/>
                <w:sz w:val="18"/>
                <w:szCs w:val="18"/>
              </w:rPr>
              <w:t>网站</w:t>
            </w:r>
          </w:p>
        </w:tc>
        <w:tc>
          <w:tcPr>
            <w:tcW w:w="720" w:type="dxa"/>
            <w:tcBorders>
              <w:left w:val="single" w:color="auto" w:sz="4" w:space="0"/>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tcBorders>
              <w:tl2br w:val="nil"/>
              <w:tr2bl w:val="nil"/>
            </w:tcBorders>
            <w:vAlign w:val="center"/>
          </w:tcPr>
          <w:p>
            <w:pPr>
              <w:jc w:val="both"/>
              <w:rPr>
                <w:rFonts w:hint="eastAsia" w:ascii="仿宋_GB2312" w:hAnsi="宋体" w:eastAsia="仿宋_GB2312" w:cs="宋体"/>
                <w:color w:val="000000"/>
                <w:sz w:val="18"/>
                <w:szCs w:val="18"/>
                <w:lang w:eastAsia="zh-CN"/>
              </w:rPr>
            </w:pPr>
            <w:r>
              <w:rPr>
                <w:rFonts w:hint="eastAsia" w:ascii="仿宋_GB2312" w:eastAsia="仿宋_GB2312"/>
                <w:color w:val="000000"/>
                <w:sz w:val="18"/>
                <w:szCs w:val="18"/>
                <w:lang w:val="en-US" w:eastAsia="zh-CN"/>
              </w:rPr>
              <w:t>4</w:t>
            </w:r>
          </w:p>
        </w:tc>
        <w:tc>
          <w:tcPr>
            <w:tcW w:w="900" w:type="dxa"/>
            <w:tcBorders>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城镇污水排入排水管网许可</w:t>
            </w:r>
          </w:p>
        </w:tc>
        <w:tc>
          <w:tcPr>
            <w:tcW w:w="1260" w:type="dxa"/>
            <w:tcBorders>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80" w:type="dxa"/>
            <w:tcBorders>
              <w:tl2br w:val="nil"/>
              <w:tr2bl w:val="nil"/>
            </w:tcBorders>
            <w:shd w:val="clear" w:color="auto" w:fill="auto"/>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p>
          <w:p>
            <w:pPr>
              <w:jc w:val="left"/>
              <w:rPr>
                <w:rFonts w:hint="eastAsia" w:ascii="仿宋_GB2312" w:hAnsi="宋体" w:eastAsia="仿宋_GB2312" w:cs="宋体"/>
                <w:color w:val="000000"/>
                <w:sz w:val="18"/>
                <w:szCs w:val="18"/>
              </w:rPr>
            </w:pPr>
            <w:r>
              <w:rPr>
                <w:rFonts w:hint="eastAsia" w:ascii="仿宋_GB2312" w:eastAsia="仿宋_GB2312"/>
                <w:color w:val="000000"/>
                <w:sz w:val="18"/>
                <w:szCs w:val="18"/>
              </w:rPr>
              <w:t>法定依据</w:t>
            </w:r>
          </w:p>
        </w:tc>
        <w:tc>
          <w:tcPr>
            <w:tcW w:w="1800" w:type="dxa"/>
            <w:tcBorders>
              <w:tl2br w:val="nil"/>
              <w:tr2bl w:val="nil"/>
            </w:tcBorders>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p>
        </w:tc>
        <w:tc>
          <w:tcPr>
            <w:tcW w:w="1620" w:type="dxa"/>
            <w:tcBorders>
              <w:tl2br w:val="nil"/>
              <w:tr2bl w:val="nil"/>
            </w:tcBorders>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tcBorders>
              <w:tl2br w:val="nil"/>
              <w:tr2bl w:val="nil"/>
            </w:tcBorders>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城镇排水与污水处理主管部门</w:t>
            </w:r>
          </w:p>
        </w:tc>
        <w:tc>
          <w:tcPr>
            <w:tcW w:w="1440" w:type="dxa"/>
            <w:tcBorders>
              <w:top w:val="single" w:color="auto" w:sz="4" w:space="0"/>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政府门户网站</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tcBorders>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tcBorders>
              <w:tl2br w:val="nil"/>
              <w:tr2bl w:val="nil"/>
            </w:tcBorders>
            <w:shd w:val="clear" w:color="auto" w:fill="auto"/>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Borders>
              <w:tl2br w:val="nil"/>
              <w:tr2bl w:val="nil"/>
            </w:tcBorders>
            <w:shd w:val="clear" w:color="auto" w:fill="auto"/>
            <w:vAlign w:val="center"/>
          </w:tcPr>
          <w:p>
            <w:pP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bl>
    <w:p>
      <w:pPr>
        <w:jc w:val="center"/>
        <w:rPr>
          <w:rFonts w:ascii="仿宋_GB2312" w:hAnsi="Times New Roman" w:eastAsia="仿宋_GB2312"/>
          <w:sz w:val="18"/>
          <w:szCs w:val="18"/>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lang w:eastAsia="zh-CN"/>
        </w:rPr>
        <w:t>伊金霍洛旗市政局</w:t>
      </w:r>
      <w:r>
        <w:rPr>
          <w:rFonts w:hint="eastAsia" w:ascii="方正小标宋_GBK" w:hAnsi="方正小标宋_GBK" w:eastAsia="方正小标宋_GBK"/>
          <w:b w:val="0"/>
          <w:bCs w:val="0"/>
          <w:sz w:val="30"/>
        </w:rPr>
        <w:t>财政预决算领域基层政务公开标准目录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368"/>
        <w:gridCol w:w="1790"/>
        <w:gridCol w:w="1502"/>
        <w:gridCol w:w="900"/>
        <w:gridCol w:w="180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368"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79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368" w:type="dxa"/>
            <w:vMerge w:val="continue"/>
            <w:vAlign w:val="center"/>
          </w:tcPr>
          <w:p>
            <w:pPr>
              <w:widowControl/>
              <w:jc w:val="left"/>
              <w:rPr>
                <w:rFonts w:ascii="黑体" w:hAnsi="宋体" w:eastAsia="黑体" w:cs="宋体"/>
                <w:color w:val="000000"/>
                <w:kern w:val="0"/>
                <w:sz w:val="22"/>
              </w:rPr>
            </w:pPr>
          </w:p>
        </w:tc>
        <w:tc>
          <w:tcPr>
            <w:tcW w:w="1790" w:type="dxa"/>
            <w:vMerge w:val="continue"/>
            <w:vAlign w:val="center"/>
          </w:tcPr>
          <w:p>
            <w:pPr>
              <w:widowControl/>
              <w:jc w:val="left"/>
              <w:rPr>
                <w:rFonts w:ascii="黑体" w:hAnsi="宋体" w:eastAsia="黑体" w:cs="宋体"/>
                <w:color w:val="000000"/>
                <w:kern w:val="0"/>
                <w:sz w:val="22"/>
              </w:rPr>
            </w:pPr>
          </w:p>
        </w:tc>
        <w:tc>
          <w:tcPr>
            <w:tcW w:w="1502" w:type="dxa"/>
            <w:vMerge w:val="continue"/>
            <w:vAlign w:val="center"/>
          </w:tcPr>
          <w:p>
            <w:pPr>
              <w:widowControl/>
              <w:jc w:val="left"/>
              <w:rPr>
                <w:rFonts w:ascii="黑体" w:hAnsi="宋体" w:eastAsia="黑体" w:cs="宋体"/>
                <w:color w:val="000000"/>
                <w:kern w:val="0"/>
                <w:sz w:val="22"/>
              </w:rPr>
            </w:pPr>
          </w:p>
        </w:tc>
        <w:tc>
          <w:tcPr>
            <w:tcW w:w="90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w:t>
            </w:r>
          </w:p>
        </w:tc>
        <w:tc>
          <w:tcPr>
            <w:tcW w:w="179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、《财政部关于印发&lt;地方预决算公开操作规程的通知&gt;》、《财政部关于印发&lt;地方政府债务信息公开办法（试行）&gt;的通知》等法律法规和文件规定</w:t>
            </w:r>
          </w:p>
        </w:tc>
        <w:tc>
          <w:tcPr>
            <w:tcW w:w="1502"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Merge w:val="restart"/>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地方一般公共预算应当公开到功能分类项级科目。本级一般公共预算基本支出应当公开到经济性质分类款级科目。</w:t>
            </w:r>
          </w:p>
        </w:tc>
        <w:tc>
          <w:tcPr>
            <w:tcW w:w="1790" w:type="dxa"/>
            <w:vMerge w:val="restart"/>
            <w:vAlign w:val="center"/>
          </w:tcPr>
          <w:p>
            <w:pPr>
              <w:widowControl/>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、《财政部关于印发&lt;地方预决算公开操作规程的通知&gt;》、《财政部关于印发&lt;地方政府债务信息公开办法（试行）&gt;的通知》等法律法规和文件规定</w:t>
            </w:r>
          </w:p>
        </w:tc>
        <w:tc>
          <w:tcPr>
            <w:tcW w:w="1502" w:type="dxa"/>
            <w:vMerge w:val="restart"/>
            <w:vAlign w:val="center"/>
          </w:tcPr>
          <w:p>
            <w:pPr>
              <w:widowControl/>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pPr>
              <w:widowControl/>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s="Times New Roman"/>
                <w:color w:val="000000"/>
                <w:kern w:val="2"/>
                <w:sz w:val="18"/>
                <w:szCs w:val="18"/>
                <w:lang w:val="en-US" w:eastAsia="zh-CN" w:bidi="ar-SA"/>
              </w:rPr>
            </w:pPr>
          </w:p>
        </w:tc>
        <w:tc>
          <w:tcPr>
            <w:tcW w:w="720"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p>
        </w:tc>
        <w:tc>
          <w:tcPr>
            <w:tcW w:w="551"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p>
        </w:tc>
        <w:tc>
          <w:tcPr>
            <w:tcW w:w="720"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s="Times New Roman"/>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790" w:type="dxa"/>
            <w:vMerge w:val="continue"/>
            <w:vAlign w:val="center"/>
          </w:tcPr>
          <w:p>
            <w:pPr>
              <w:widowControl/>
              <w:jc w:val="center"/>
              <w:textAlignment w:val="center"/>
              <w:rPr>
                <w:rFonts w:ascii="仿宋_GB2312" w:hAnsi="宋体" w:eastAsia="仿宋_GB2312"/>
                <w:color w:val="000000"/>
                <w:sz w:val="18"/>
                <w:szCs w:val="18"/>
              </w:rPr>
            </w:pPr>
          </w:p>
        </w:tc>
        <w:tc>
          <w:tcPr>
            <w:tcW w:w="1502"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w:t>
            </w:r>
            <w:r>
              <w:rPr>
                <w:rFonts w:hint="eastAsia" w:ascii="仿宋_GB2312" w:hAnsi="宋体" w:eastAsia="仿宋_GB2312"/>
                <w:color w:val="000000"/>
                <w:sz w:val="18"/>
                <w:szCs w:val="18"/>
                <w:lang w:eastAsia="zh-CN"/>
              </w:rPr>
              <w:t>等</w:t>
            </w:r>
            <w:r>
              <w:rPr>
                <w:rFonts w:hint="eastAsia" w:ascii="仿宋_GB2312" w:hAnsi="宋体" w:eastAsia="仿宋_GB2312"/>
                <w:color w:val="000000"/>
                <w:sz w:val="18"/>
                <w:szCs w:val="18"/>
              </w:rPr>
              <w:t>信息，包括：①随同预算公开上一年度本地区、本级及所属地区地方政府债务余额，以及本地区和本级上一年度地方政府债券发行、本年度地方政府债券预算数等；②随同调整预算公开当年本地区及本级地方政府债务限额、本级新增地方政府债券资金使用安排等。</w:t>
            </w:r>
          </w:p>
        </w:tc>
        <w:tc>
          <w:tcPr>
            <w:tcW w:w="179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、《财政部关于印发&lt;地方预决算公开操作规程的通知&gt;》、《财政部关于印发&lt;地方政府债务信息公开办法（试行）&gt;的通知》等法律法规和文件规定</w:t>
            </w:r>
          </w:p>
        </w:tc>
        <w:tc>
          <w:tcPr>
            <w:tcW w:w="1502"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pPr>
              <w:widowControl/>
              <w:textAlignment w:val="center"/>
              <w:rPr>
                <w:rFonts w:ascii="仿宋_GB2312" w:hAnsi="宋体" w:eastAsia="仿宋_GB2312"/>
                <w:color w:val="000000"/>
                <w:sz w:val="18"/>
                <w:szCs w:val="18"/>
              </w:rPr>
            </w:pPr>
          </w:p>
        </w:tc>
        <w:tc>
          <w:tcPr>
            <w:tcW w:w="72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widowControl/>
              <w:textAlignment w:val="center"/>
              <w:rPr>
                <w:rFonts w:ascii="仿宋_GB2312" w:hAnsi="宋体" w:eastAsia="仿宋_GB2312"/>
                <w:color w:val="000000"/>
                <w:sz w:val="18"/>
                <w:szCs w:val="18"/>
              </w:rPr>
            </w:pPr>
          </w:p>
        </w:tc>
        <w:tc>
          <w:tcPr>
            <w:tcW w:w="551"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textAlignment w:val="center"/>
              <w:rPr>
                <w:rFonts w:ascii="仿宋_GB2312" w:hAnsi="宋体" w:eastAsia="仿宋_GB2312"/>
                <w:color w:val="000000"/>
                <w:sz w:val="18"/>
                <w:szCs w:val="18"/>
              </w:rPr>
            </w:pPr>
          </w:p>
        </w:tc>
        <w:tc>
          <w:tcPr>
            <w:tcW w:w="720" w:type="dxa"/>
            <w:shd w:val="clear" w:color="auto" w:fill="auto"/>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widowControl/>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368"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一般公共预算：①一般公共预算收入表。②一般公共预算支出表。③一般公共预算本级支出表。④一般公共预算本级基本支出表。</w:t>
            </w:r>
          </w:p>
        </w:tc>
        <w:tc>
          <w:tcPr>
            <w:tcW w:w="1790"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《预算法》、</w:t>
            </w:r>
            <w:r>
              <w:rPr>
                <w:rFonts w:hint="eastAsia" w:ascii="仿宋_GB2312" w:hAnsi="宋体" w:eastAsia="仿宋_GB2312"/>
                <w:color w:val="000000"/>
                <w:sz w:val="18"/>
                <w:szCs w:val="18"/>
                <w:highlight w:val="none"/>
                <w:lang w:eastAsia="zh-CN"/>
              </w:rPr>
              <w:t>《中华人民共和国政府信息公开条例》</w:t>
            </w:r>
            <w:r>
              <w:rPr>
                <w:rFonts w:hint="eastAsia" w:ascii="仿宋_GB2312" w:hAnsi="宋体" w:eastAsia="仿宋_GB2312"/>
                <w:color w:val="000000"/>
                <w:sz w:val="18"/>
                <w:szCs w:val="18"/>
                <w:highlight w:val="none"/>
              </w:rPr>
              <w:t>、《财政部关于印发&lt;地方预决算公开操作规程的通知&gt;》、《财政部关于印发&lt;地方政府债务信息公开办法（试行）&gt;的通知》等法律法规和文件规定</w:t>
            </w:r>
          </w:p>
        </w:tc>
        <w:tc>
          <w:tcPr>
            <w:tcW w:w="1502"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本级人民代表大会或其常务委员会批准后20日内</w:t>
            </w:r>
          </w:p>
        </w:tc>
        <w:tc>
          <w:tcPr>
            <w:tcW w:w="900"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地方各级财政部门</w:t>
            </w:r>
          </w:p>
        </w:tc>
        <w:tc>
          <w:tcPr>
            <w:tcW w:w="1800" w:type="dxa"/>
            <w:vMerge w:val="restart"/>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■政府网站</w:t>
            </w:r>
          </w:p>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■财政部门网站公开平台</w:t>
            </w:r>
          </w:p>
          <w:p>
            <w:pPr>
              <w:widowControl/>
              <w:textAlignment w:val="center"/>
              <w:rPr>
                <w:rFonts w:ascii="仿宋_GB2312" w:hAnsi="宋体" w:eastAsia="仿宋_GB2312"/>
                <w:color w:val="000000"/>
                <w:sz w:val="18"/>
                <w:szCs w:val="18"/>
                <w:highlight w:val="none"/>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　</w:t>
            </w: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　</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highlight w:val="none"/>
                <w:lang w:eastAsia="zh-CN"/>
              </w:rPr>
            </w:pPr>
            <w:r>
              <w:rPr>
                <w:rFonts w:hint="eastAsia" w:ascii="仿宋_GB2312" w:hAnsi="宋体" w:eastAsia="仿宋_GB2312"/>
                <w:color w:val="000000"/>
                <w:sz w:val="18"/>
                <w:szCs w:val="18"/>
                <w:highlight w:val="none"/>
              </w:rPr>
              <w:t>地方一般公共预算应当公开到功能分类项级科目。本级一般公共预算基本支出应当公开到经济性质分类款级科目</w:t>
            </w:r>
            <w:r>
              <w:rPr>
                <w:rFonts w:hint="eastAsia" w:ascii="仿宋_GB2312" w:hAnsi="宋体" w:eastAsia="仿宋_GB2312"/>
                <w:color w:val="000000"/>
                <w:sz w:val="18"/>
                <w:szCs w:val="18"/>
                <w:highlight w:val="none"/>
                <w:lang w:eastAsia="zh-CN"/>
              </w:rPr>
              <w:t>。</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368"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3368" w:type="dxa"/>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地方政府债务余额、使用安排等信息，包括：上年末本地区、本级及所属地区地方政府债务余额决算数，地方政府债券发行决算数，以及债券资金使用安排等。</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79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w:t>
            </w: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、《财政部关于印发&lt;地方预决算公开操作规程的通知&gt;》等法律法规和文件规定</w:t>
            </w:r>
          </w:p>
        </w:tc>
        <w:tc>
          <w:tcPr>
            <w:tcW w:w="1502"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■部门网站</w:t>
            </w:r>
          </w:p>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widowControl/>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w:t>
            </w:r>
          </w:p>
        </w:tc>
        <w:tc>
          <w:tcPr>
            <w:tcW w:w="1790" w:type="dxa"/>
            <w:vMerge w:val="continue"/>
            <w:vAlign w:val="center"/>
          </w:tcPr>
          <w:p>
            <w:pPr>
              <w:widowControl/>
              <w:jc w:val="center"/>
              <w:textAlignment w:val="center"/>
              <w:rPr>
                <w:rFonts w:ascii="仿宋_GB2312" w:hAnsi="宋体" w:eastAsia="仿宋_GB2312"/>
                <w:color w:val="000000"/>
                <w:sz w:val="18"/>
                <w:szCs w:val="18"/>
              </w:rPr>
            </w:pPr>
          </w:p>
        </w:tc>
        <w:tc>
          <w:tcPr>
            <w:tcW w:w="1502"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790" w:type="dxa"/>
            <w:vMerge w:val="continue"/>
            <w:vAlign w:val="center"/>
          </w:tcPr>
          <w:p>
            <w:pPr>
              <w:widowControl/>
              <w:jc w:val="center"/>
              <w:textAlignment w:val="center"/>
              <w:rPr>
                <w:rFonts w:ascii="仿宋_GB2312" w:hAnsi="宋体" w:eastAsia="仿宋_GB2312"/>
                <w:color w:val="000000"/>
                <w:sz w:val="18"/>
                <w:szCs w:val="18"/>
              </w:rPr>
            </w:pPr>
          </w:p>
        </w:tc>
        <w:tc>
          <w:tcPr>
            <w:tcW w:w="1502"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790" w:type="dxa"/>
            <w:vMerge w:val="continue"/>
            <w:vAlign w:val="center"/>
          </w:tcPr>
          <w:p>
            <w:pPr>
              <w:widowControl/>
              <w:jc w:val="center"/>
              <w:textAlignment w:val="center"/>
              <w:rPr>
                <w:rFonts w:ascii="仿宋_GB2312" w:hAnsi="宋体" w:eastAsia="仿宋_GB2312"/>
                <w:color w:val="000000"/>
                <w:sz w:val="18"/>
                <w:szCs w:val="18"/>
              </w:rPr>
            </w:pPr>
          </w:p>
        </w:tc>
        <w:tc>
          <w:tcPr>
            <w:tcW w:w="1502"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重点项目预算的绩效目标等情况。</w:t>
            </w:r>
          </w:p>
        </w:tc>
        <w:tc>
          <w:tcPr>
            <w:tcW w:w="1790" w:type="dxa"/>
            <w:vMerge w:val="continue"/>
            <w:vAlign w:val="center"/>
          </w:tcPr>
          <w:p>
            <w:pPr>
              <w:widowControl/>
              <w:jc w:val="center"/>
              <w:textAlignment w:val="center"/>
              <w:rPr>
                <w:rFonts w:ascii="仿宋_GB2312" w:hAnsi="宋体" w:eastAsia="仿宋_GB2312"/>
                <w:color w:val="000000"/>
                <w:sz w:val="18"/>
                <w:szCs w:val="18"/>
              </w:rPr>
            </w:pPr>
          </w:p>
        </w:tc>
        <w:tc>
          <w:tcPr>
            <w:tcW w:w="1502" w:type="dxa"/>
            <w:vMerge w:val="continue"/>
            <w:vAlign w:val="center"/>
          </w:tcPr>
          <w:p>
            <w:pPr>
              <w:widowControl/>
              <w:jc w:val="center"/>
              <w:textAlignment w:val="center"/>
              <w:rPr>
                <w:rFonts w:ascii="仿宋_GB2312" w:hAnsi="宋体" w:eastAsia="仿宋_GB2312"/>
                <w:color w:val="000000"/>
                <w:sz w:val="18"/>
                <w:szCs w:val="18"/>
              </w:rPr>
            </w:pPr>
          </w:p>
        </w:tc>
        <w:tc>
          <w:tcPr>
            <w:tcW w:w="900" w:type="dxa"/>
            <w:vMerge w:val="continue"/>
            <w:vAlign w:val="center"/>
          </w:tcPr>
          <w:p>
            <w:pPr>
              <w:widowControl/>
              <w:jc w:val="center"/>
              <w:textAlignment w:val="center"/>
              <w:rPr>
                <w:rFonts w:ascii="仿宋_GB2312" w:hAnsi="宋体" w:eastAsia="仿宋_GB2312"/>
                <w:color w:val="000000"/>
                <w:sz w:val="18"/>
                <w:szCs w:val="18"/>
              </w:rPr>
            </w:pPr>
          </w:p>
        </w:tc>
        <w:tc>
          <w:tcPr>
            <w:tcW w:w="1800" w:type="dxa"/>
            <w:vMerge w:val="continue"/>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368"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收支总体情况表：①部门收支总体情况表。②部门收入总体情况表。③部门支出总体情况表。</w:t>
            </w:r>
          </w:p>
        </w:tc>
        <w:tc>
          <w:tcPr>
            <w:tcW w:w="1790"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《预算法》、</w:t>
            </w:r>
            <w:r>
              <w:rPr>
                <w:rFonts w:hint="eastAsia" w:ascii="仿宋_GB2312" w:hAnsi="宋体" w:eastAsia="仿宋_GB2312"/>
                <w:color w:val="000000"/>
                <w:sz w:val="18"/>
                <w:szCs w:val="18"/>
                <w:highlight w:val="none"/>
                <w:lang w:eastAsia="zh-CN"/>
              </w:rPr>
              <w:t>《中华人民共和国政府信息公开条例》</w:t>
            </w:r>
            <w:r>
              <w:rPr>
                <w:rFonts w:hint="eastAsia" w:ascii="仿宋_GB2312" w:hAnsi="宋体" w:eastAsia="仿宋_GB2312"/>
                <w:color w:val="000000"/>
                <w:sz w:val="18"/>
                <w:szCs w:val="18"/>
                <w:highlight w:val="none"/>
              </w:rPr>
              <w:t>、《财政部关于印发&lt;地方预决算公开操作规程的通知&gt;》等法律法规和文件规定</w:t>
            </w:r>
          </w:p>
        </w:tc>
        <w:tc>
          <w:tcPr>
            <w:tcW w:w="1502"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本级政府财政部门批复后20日内</w:t>
            </w:r>
          </w:p>
        </w:tc>
        <w:tc>
          <w:tcPr>
            <w:tcW w:w="900" w:type="dxa"/>
            <w:vMerge w:val="restart"/>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地方各级预算部门</w:t>
            </w:r>
          </w:p>
        </w:tc>
        <w:tc>
          <w:tcPr>
            <w:tcW w:w="1800" w:type="dxa"/>
            <w:vMerge w:val="restart"/>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■部门网站</w:t>
            </w:r>
          </w:p>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■政府网站</w:t>
            </w:r>
          </w:p>
          <w:p>
            <w:pPr>
              <w:widowControl/>
              <w:textAlignment w:val="center"/>
              <w:rPr>
                <w:rFonts w:ascii="仿宋_GB2312" w:hAnsi="宋体" w:eastAsia="仿宋_GB2312"/>
                <w:color w:val="000000"/>
                <w:sz w:val="18"/>
                <w:szCs w:val="18"/>
                <w:highlight w:val="none"/>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09"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vMerge w:val="restart"/>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财政拨款收支情况表：①财政拨款收支总体情况表。②一般公共预算支出情况表。③一般公共预算基本支出情况表。④一般公共预算“三公”经费支出情况表。</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一般公共预算支出情况表公开到功能分类项级科目。一般公共预算基本支出表公开到经济分类款级科目。</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720" w:type="dxa"/>
            <w:vMerge w:val="continue"/>
            <w:shd w:val="clear" w:color="auto" w:fill="auto"/>
            <w:vAlign w:val="center"/>
          </w:tcPr>
          <w:p>
            <w:pPr>
              <w:widowControl/>
              <w:jc w:val="center"/>
              <w:textAlignment w:val="center"/>
              <w:rPr>
                <w:rFonts w:hint="eastAsia" w:ascii="仿宋_GB2312" w:hAnsi="宋体" w:eastAsia="仿宋_GB2312"/>
                <w:color w:val="000000"/>
                <w:sz w:val="18"/>
                <w:szCs w:val="18"/>
              </w:rPr>
            </w:pPr>
          </w:p>
        </w:tc>
        <w:tc>
          <w:tcPr>
            <w:tcW w:w="3368"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79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502"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9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1800" w:type="dxa"/>
            <w:vMerge w:val="continue"/>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09"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vMerge w:val="continue"/>
            <w:shd w:val="clear" w:color="auto" w:fill="auto"/>
            <w:vAlign w:val="center"/>
          </w:tcPr>
          <w:p>
            <w:pPr>
              <w:widowControl/>
              <w:jc w:val="center"/>
              <w:textAlignment w:val="center"/>
              <w:rPr>
                <w:rFonts w:ascii="仿宋_GB2312" w:hAnsi="宋体" w:eastAsia="仿宋_GB2312"/>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shd w:val="clear" w:color="auto" w:fill="auto"/>
            <w:vAlign w:val="center"/>
          </w:tcPr>
          <w:p>
            <w:pPr>
              <w:widowControl/>
              <w:jc w:val="center"/>
              <w:textAlignment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368"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本部门职责、机构设置情况、决算收支增减变化、机关运行经费安排以及政府采购（主要包括部门政府采购支出总金额，货物、工程、服务的采购金额）等情况的说明。结合工作进展情况，逐步公开绩效评价结果等情况。</w:t>
            </w:r>
          </w:p>
        </w:tc>
        <w:tc>
          <w:tcPr>
            <w:tcW w:w="1790"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《预算法》、</w:t>
            </w:r>
            <w:r>
              <w:rPr>
                <w:rFonts w:hint="eastAsia" w:ascii="仿宋_GB2312" w:hAnsi="宋体" w:eastAsia="仿宋_GB2312"/>
                <w:color w:val="000000"/>
                <w:sz w:val="18"/>
                <w:szCs w:val="18"/>
                <w:highlight w:val="none"/>
                <w:lang w:eastAsia="zh-CN"/>
              </w:rPr>
              <w:t>《中华人民共和国政府信息公开条例》</w:t>
            </w:r>
            <w:r>
              <w:rPr>
                <w:rFonts w:hint="eastAsia" w:ascii="仿宋_GB2312" w:hAnsi="宋体" w:eastAsia="仿宋_GB2312"/>
                <w:color w:val="000000"/>
                <w:sz w:val="18"/>
                <w:szCs w:val="18"/>
                <w:highlight w:val="none"/>
              </w:rPr>
              <w:t>、《财政部关于印发&lt;地方预决算公开操作规程的通知&gt;》等法律法规和文件规定</w:t>
            </w:r>
          </w:p>
        </w:tc>
        <w:tc>
          <w:tcPr>
            <w:tcW w:w="1502"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本级政府财政部门批复后20日内</w:t>
            </w:r>
          </w:p>
        </w:tc>
        <w:tc>
          <w:tcPr>
            <w:tcW w:w="900" w:type="dxa"/>
            <w:vAlign w:val="center"/>
          </w:tcPr>
          <w:p>
            <w:pPr>
              <w:widowControl/>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地方各级预算部门</w:t>
            </w:r>
          </w:p>
        </w:tc>
        <w:tc>
          <w:tcPr>
            <w:tcW w:w="1800" w:type="dxa"/>
            <w:vAlign w:val="center"/>
          </w:tcPr>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■部门网站</w:t>
            </w:r>
          </w:p>
          <w:p>
            <w:pPr>
              <w:widowControl/>
              <w:textAlignment w:val="center"/>
              <w:rPr>
                <w:rFonts w:hint="eastAsia"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■政府网站</w:t>
            </w:r>
          </w:p>
          <w:p>
            <w:pPr>
              <w:widowControl/>
              <w:textAlignment w:val="center"/>
              <w:rPr>
                <w:rFonts w:ascii="仿宋_GB2312" w:hAnsi="宋体" w:eastAsia="仿宋_GB2312"/>
                <w:color w:val="000000"/>
                <w:sz w:val="18"/>
                <w:szCs w:val="18"/>
                <w:highlight w:val="none"/>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09" w:type="dxa"/>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551" w:type="dxa"/>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highlight w:val="none"/>
              </w:rPr>
            </w:pPr>
          </w:p>
        </w:tc>
        <w:tc>
          <w:tcPr>
            <w:tcW w:w="720" w:type="dxa"/>
            <w:shd w:val="clear" w:color="auto" w:fill="auto"/>
            <w:vAlign w:val="center"/>
          </w:tcPr>
          <w:p>
            <w:pPr>
              <w:widowControl/>
              <w:jc w:val="center"/>
              <w:textAlignment w:val="center"/>
              <w:rPr>
                <w:rFonts w:ascii="仿宋_GB2312" w:hAnsi="宋体" w:eastAsia="仿宋_GB2312"/>
                <w:color w:val="000000"/>
                <w:sz w:val="18"/>
                <w:szCs w:val="18"/>
                <w:highlight w:val="none"/>
              </w:rPr>
            </w:pPr>
            <w:r>
              <w:rPr>
                <w:rFonts w:hint="eastAsia" w:ascii="仿宋_GB2312" w:hAnsi="宋体" w:eastAsia="仿宋_GB2312"/>
                <w:color w:val="000000"/>
                <w:sz w:val="18"/>
                <w:szCs w:val="18"/>
                <w:highlight w:val="none"/>
              </w:rPr>
              <w:t>√</w:t>
            </w:r>
          </w:p>
        </w:tc>
        <w:tc>
          <w:tcPr>
            <w:tcW w:w="720" w:type="dxa"/>
            <w:shd w:val="clear" w:color="auto" w:fill="auto"/>
            <w:vAlign w:val="center"/>
          </w:tcPr>
          <w:p>
            <w:pPr>
              <w:widowControl/>
              <w:jc w:val="center"/>
              <w:textAlignment w:val="center"/>
              <w:rPr>
                <w:rFonts w:ascii="仿宋_GB2312" w:hAnsi="宋体" w:eastAsia="仿宋_GB2312"/>
                <w:color w:val="000000"/>
                <w:sz w:val="18"/>
                <w:szCs w:val="18"/>
                <w:highlight w:val="none"/>
              </w:rPr>
            </w:pPr>
          </w:p>
        </w:tc>
      </w:tr>
    </w:tbl>
    <w:p/>
    <w:p>
      <w:pPr>
        <w:rPr>
          <w:rFonts w:hint="eastAsia" w:eastAsia="宋体"/>
          <w:lang w:eastAsia="zh-CN"/>
        </w:rPr>
      </w:pPr>
    </w:p>
    <w:p>
      <w:pPr>
        <w:rPr>
          <w:rFonts w:hint="eastAsia" w:eastAsia="宋体"/>
          <w:lang w:eastAsia="zh-CN"/>
        </w:rPr>
      </w:pPr>
    </w:p>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lang w:eastAsia="zh-CN"/>
        </w:rPr>
        <w:t>伊金霍洛旗市政局</w:t>
      </w:r>
      <w:r>
        <w:rPr>
          <w:rFonts w:hint="eastAsia" w:ascii="方正小标宋_GBK" w:hAnsi="方正小标宋_GBK" w:eastAsia="方正小标宋_GBK"/>
          <w:b w:val="0"/>
          <w:bCs w:val="0"/>
          <w:sz w:val="30"/>
        </w:rPr>
        <w:t>公共资源交易领域基层政务公开标准目录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hint="eastAsia" w:ascii="黑体" w:hAnsi="宋体" w:eastAsia="黑体" w:cs="宋体"/>
                <w:kern w:val="0"/>
                <w:sz w:val="22"/>
              </w:rPr>
            </w:pPr>
          </w:p>
        </w:tc>
        <w:tc>
          <w:tcPr>
            <w:tcW w:w="2340" w:type="dxa"/>
            <w:vMerge w:val="continue"/>
            <w:vAlign w:val="center"/>
          </w:tcPr>
          <w:p>
            <w:pPr>
              <w:widowControl/>
              <w:jc w:val="left"/>
              <w:rPr>
                <w:rFonts w:hint="eastAsia" w:ascii="黑体" w:hAnsi="宋体" w:eastAsia="黑体" w:cs="宋体"/>
                <w:kern w:val="0"/>
                <w:sz w:val="22"/>
              </w:rPr>
            </w:pPr>
          </w:p>
        </w:tc>
        <w:tc>
          <w:tcPr>
            <w:tcW w:w="1620" w:type="dxa"/>
            <w:vMerge w:val="continue"/>
            <w:vAlign w:val="center"/>
          </w:tcPr>
          <w:p>
            <w:pPr>
              <w:widowControl/>
              <w:jc w:val="left"/>
              <w:rPr>
                <w:rFonts w:hint="eastAsia"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《招标投标法实施条例》、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pPr>
              <w:jc w:val="center"/>
              <w:rPr>
                <w:rFonts w:hint="eastAsia" w:ascii="仿宋_GB2312" w:hAnsi="宋体" w:eastAsia="仿宋_GB2312" w:cs="宋体"/>
                <w:sz w:val="18"/>
                <w:szCs w:val="18"/>
              </w:rPr>
            </w:pPr>
          </w:p>
        </w:tc>
        <w:tc>
          <w:tcPr>
            <w:tcW w:w="776" w:type="dxa"/>
            <w:shd w:val="clear" w:color="auto" w:fill="auto"/>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hint="eastAsia" w:ascii="仿宋_GB2312" w:hAnsi="宋体" w:eastAsia="仿宋_GB2312"/>
                <w:sz w:val="18"/>
                <w:szCs w:val="18"/>
              </w:rPr>
            </w:pPr>
          </w:p>
        </w:tc>
        <w:tc>
          <w:tcPr>
            <w:tcW w:w="1620" w:type="dxa"/>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shd w:val="clear" w:color="auto" w:fill="auto"/>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p>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6</w:t>
            </w:r>
          </w:p>
        </w:tc>
        <w:tc>
          <w:tcPr>
            <w:tcW w:w="900" w:type="dxa"/>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p>
            <w:pPr>
              <w:rPr>
                <w:rFonts w:hint="eastAsia" w:ascii="仿宋_GB2312"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7</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8</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lang w:val="en-US" w:eastAsia="zh-CN"/>
              </w:rPr>
              <w:t>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《行政处罚法》、</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p>
            <w:pPr>
              <w:spacing w:line="240" w:lineRule="exact"/>
              <w:rPr>
                <w:rFonts w:hint="eastAsia" w:ascii="仿宋_GB2312"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val="en-US" w:eastAsia="zh-CN"/>
              </w:rPr>
            </w:pPr>
            <w:r>
              <w:rPr>
                <w:rFonts w:hint="eastAsia" w:ascii="仿宋_GB2312" w:eastAsia="仿宋_GB2312"/>
                <w:sz w:val="18"/>
                <w:szCs w:val="18"/>
              </w:rPr>
              <w:t>1</w:t>
            </w:r>
            <w:r>
              <w:rPr>
                <w:rFonts w:hint="eastAsia" w:ascii="仿宋_GB2312" w:eastAsia="仿宋_GB2312"/>
                <w:sz w:val="18"/>
                <w:szCs w:val="18"/>
                <w:lang w:val="en-US" w:eastAsia="zh-CN"/>
              </w:rPr>
              <w:t>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2</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3</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4</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5</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1</w:t>
            </w:r>
            <w:r>
              <w:rPr>
                <w:rFonts w:hint="eastAsia" w:ascii="仿宋_GB2312" w:eastAsia="仿宋_GB2312"/>
                <w:sz w:val="18"/>
                <w:szCs w:val="18"/>
                <w:lang w:val="en-US" w:eastAsia="zh-CN"/>
              </w:rPr>
              <w:t>7</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p>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0</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1</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2</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3</w:t>
            </w:r>
          </w:p>
        </w:tc>
        <w:tc>
          <w:tcPr>
            <w:tcW w:w="900" w:type="dxa"/>
            <w:vMerge w:val="restart"/>
            <w:shd w:val="clear" w:color="auto" w:fill="auto"/>
            <w:vAlign w:val="center"/>
          </w:tcPr>
          <w:p>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■政府网站</w:t>
            </w:r>
            <w:r>
              <w:rPr>
                <w:rFonts w:ascii="仿宋_GB2312" w:hAnsi="宋体" w:eastAsia="仿宋_GB2312"/>
                <w:sz w:val="18"/>
                <w:szCs w:val="18"/>
              </w:rPr>
              <w:t></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hint="eastAsia" w:ascii="仿宋_GB2312" w:eastAsia="仿宋_GB2312"/>
                <w:sz w:val="18"/>
                <w:szCs w:val="18"/>
                <w:lang w:eastAsia="zh-CN"/>
              </w:rPr>
            </w:pPr>
            <w:r>
              <w:rPr>
                <w:rFonts w:hint="eastAsia" w:ascii="仿宋_GB2312" w:eastAsia="仿宋_GB2312"/>
                <w:sz w:val="18"/>
                <w:szCs w:val="18"/>
              </w:rPr>
              <w:t>2</w:t>
            </w:r>
            <w:r>
              <w:rPr>
                <w:rFonts w:hint="eastAsia" w:ascii="仿宋_GB2312" w:eastAsia="仿宋_GB2312"/>
                <w:sz w:val="18"/>
                <w:szCs w:val="18"/>
                <w:lang w:val="en-US" w:eastAsia="zh-CN"/>
              </w:rPr>
              <w:t>4</w:t>
            </w:r>
          </w:p>
        </w:tc>
        <w:tc>
          <w:tcPr>
            <w:tcW w:w="900" w:type="dxa"/>
            <w:vMerge w:val="continue"/>
            <w:shd w:val="clear" w:color="auto" w:fill="auto"/>
            <w:vAlign w:val="center"/>
          </w:tcPr>
          <w:p>
            <w:pPr>
              <w:jc w:val="center"/>
              <w:rPr>
                <w:rFonts w:hint="eastAsia" w:ascii="仿宋_GB2312" w:eastAsia="仿宋_GB2312"/>
                <w:sz w:val="18"/>
                <w:szCs w:val="18"/>
              </w:rPr>
            </w:pPr>
          </w:p>
        </w:tc>
        <w:tc>
          <w:tcPr>
            <w:tcW w:w="776" w:type="dxa"/>
            <w:shd w:val="clear" w:color="auto" w:fill="auto"/>
            <w:vAlign w:val="center"/>
          </w:tcPr>
          <w:p>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pPr>
              <w:jc w:val="center"/>
              <w:rPr>
                <w:rFonts w:ascii="仿宋_GB2312" w:eastAsia="仿宋_GB2312"/>
                <w:sz w:val="18"/>
                <w:szCs w:val="18"/>
              </w:rPr>
            </w:pPr>
            <w:r>
              <w:rPr>
                <w:rFonts w:hint="eastAsia" w:ascii="仿宋_GB2312" w:eastAsia="仿宋_GB2312"/>
                <w:sz w:val="18"/>
                <w:szCs w:val="18"/>
              </w:rPr>
              <w:t>　</w:t>
            </w:r>
          </w:p>
        </w:tc>
      </w:tr>
    </w:tbl>
    <w:p/>
    <w:p>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ongolian Baiti">
    <w:altName w:val="阳光吾坚体"/>
    <w:panose1 w:val="03000500000000000000"/>
    <w:charset w:val="00"/>
    <w:family w:val="script"/>
    <w:pitch w:val="default"/>
    <w:sig w:usb0="00000000" w:usb1="00000000" w:usb2="00020000" w:usb3="00000000" w:csb0="00000001" w:csb1="00000000"/>
  </w:font>
  <w:font w:name="阳光吾坚体">
    <w:panose1 w:val="01010100010101010101"/>
    <w:charset w:val="00"/>
    <w:family w:val="auto"/>
    <w:pitch w:val="default"/>
    <w:sig w:usb0="80000003" w:usb1="00010000" w:usb2="00000040" w:usb3="00000000" w:csb0="0000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E6D63"/>
    <w:rsid w:val="002967AA"/>
    <w:rsid w:val="002E0878"/>
    <w:rsid w:val="003B2C77"/>
    <w:rsid w:val="00416393"/>
    <w:rsid w:val="00612901"/>
    <w:rsid w:val="008438B0"/>
    <w:rsid w:val="00902A01"/>
    <w:rsid w:val="00A41EEC"/>
    <w:rsid w:val="00DE1F6E"/>
    <w:rsid w:val="00FA002F"/>
    <w:rsid w:val="0497037C"/>
    <w:rsid w:val="0A7556BC"/>
    <w:rsid w:val="1D60028F"/>
    <w:rsid w:val="3C0B73E6"/>
    <w:rsid w:val="3DB52EDF"/>
    <w:rsid w:val="3E1E45F8"/>
    <w:rsid w:val="479A3658"/>
    <w:rsid w:val="52901DD3"/>
    <w:rsid w:val="5A37338B"/>
    <w:rsid w:val="640C5FEF"/>
    <w:rsid w:val="79B021D7"/>
    <w:rsid w:val="7B951595"/>
    <w:rsid w:val="F57D5F7F"/>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564</Words>
  <Characters>3216</Characters>
  <Lines>26</Lines>
  <Paragraphs>7</Paragraphs>
  <TotalTime>0</TotalTime>
  <ScaleCrop>false</ScaleCrop>
  <LinksUpToDate>false</LinksUpToDate>
  <CharactersWithSpaces>3773</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2020-03-06T14:55:00Z</dcterms:created>
  <dc:creator>tai yuzhu</dc:creator>
  <cp:lastModifiedBy>aaa</cp:lastModifiedBy>
  <cp:lastPrinted>2020-09-16T14:43:00Z</cp:lastPrinted>
  <dcterms:modified xsi:type="dcterms:W3CDTF">2024-04-02T10:09:47Z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60C1F2DC11321FB2EB680B663B04871A</vt:lpwstr>
  </property>
</Properties>
</file>