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EA7C6">
      <w:pPr>
        <w:keepNext w:val="0"/>
        <w:keepLines w:val="0"/>
        <w:pageBreakBefore w:val="0"/>
        <w:widowControl w:val="0"/>
        <w:kinsoku/>
        <w:wordWrap/>
        <w:overflowPunct/>
        <w:topLinePunct w:val="0"/>
        <w:autoSpaceDE/>
        <w:autoSpaceDN/>
        <w:bidi w:val="0"/>
        <w:adjustRightInd/>
        <w:snapToGrid/>
        <w:spacing w:line="560" w:lineRule="exact"/>
        <w:ind w:firstLine="880" w:firstLineChars="200"/>
        <w:textAlignment w:val="auto"/>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pPr>
    </w:p>
    <w:p w14:paraId="33D7AE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t>伊金霍洛旗惠民殡葬政策实施方案</w:t>
      </w:r>
    </w:p>
    <w:p w14:paraId="6E5B06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征求意见稿</w:t>
      </w:r>
    </w:p>
    <w:p w14:paraId="715F4870">
      <w:pPr>
        <w:pStyle w:val="2"/>
        <w:rPr>
          <w:rFonts w:hint="eastAsia"/>
          <w:lang w:val="en-US" w:eastAsia="zh-CN"/>
        </w:rPr>
      </w:pPr>
    </w:p>
    <w:p w14:paraId="4222CB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为进一步</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深化殡葬改革，</w:t>
      </w:r>
      <w:r>
        <w:rPr>
          <w:rFonts w:hint="eastAsia" w:ascii="仿宋_GB2312" w:hAnsi="仿宋_GB2312" w:eastAsia="仿宋_GB2312" w:cs="仿宋_GB2312"/>
          <w:color w:val="000000" w:themeColor="text1"/>
          <w:sz w:val="32"/>
          <w:szCs w:val="40"/>
          <w:highlight w:val="none"/>
          <w14:textFill>
            <w14:solidFill>
              <w14:schemeClr w14:val="tx1"/>
            </w14:solidFill>
          </w14:textFill>
        </w:rPr>
        <w:t>切实保障群众基本殡葬</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服务</w:t>
      </w:r>
      <w:r>
        <w:rPr>
          <w:rFonts w:hint="eastAsia" w:ascii="仿宋_GB2312" w:hAnsi="仿宋_GB2312" w:eastAsia="仿宋_GB2312" w:cs="仿宋_GB2312"/>
          <w:color w:val="000000" w:themeColor="text1"/>
          <w:sz w:val="32"/>
          <w:szCs w:val="40"/>
          <w:highlight w:val="none"/>
          <w14:textFill>
            <w14:solidFill>
              <w14:schemeClr w14:val="tx1"/>
            </w14:solidFill>
          </w14:textFill>
        </w:rPr>
        <w:t>需求，</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落实惠民殡葬政策，减轻群众丧葬负担，</w:t>
      </w:r>
      <w:r>
        <w:rPr>
          <w:rFonts w:hint="eastAsia" w:ascii="仿宋_GB2312" w:hAnsi="仿宋_GB2312" w:eastAsia="仿宋_GB2312" w:cs="仿宋_GB2312"/>
          <w:color w:val="000000" w:themeColor="text1"/>
          <w:sz w:val="32"/>
          <w:szCs w:val="40"/>
          <w:highlight w:val="none"/>
          <w14:textFill>
            <w14:solidFill>
              <w14:schemeClr w14:val="tx1"/>
            </w14:solidFill>
          </w14:textFill>
        </w:rPr>
        <w:t>大力推行节地生态安葬，积极推进殡葬移风易俗，根据《民政部关于全面推行惠民殡葬政策的指导意见》（民发〔2012〕211号）</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shd w:val="clear" w:color="auto" w:fill="auto"/>
          <w:lang w:eastAsia="zh-CN"/>
          <w14:textFill>
            <w14:solidFill>
              <w14:schemeClr w14:val="tx1"/>
            </w14:solidFill>
          </w14:textFill>
        </w:rPr>
        <w:t>《内蒙古自治区民政厅</w:t>
      </w:r>
      <w:r>
        <w:rPr>
          <w:rFonts w:hint="eastAsia" w:ascii="仿宋_GB2312" w:hAnsi="仿宋_GB2312" w:eastAsia="仿宋_GB2312" w:cs="仿宋_GB2312"/>
          <w:color w:val="000000" w:themeColor="text1"/>
          <w:sz w:val="32"/>
          <w:szCs w:val="40"/>
          <w:highlight w:val="none"/>
          <w:shd w:val="clear" w:color="auto" w:fill="auto"/>
          <w:lang w:val="en-US" w:eastAsia="zh-CN"/>
          <w14:textFill>
            <w14:solidFill>
              <w14:schemeClr w14:val="tx1"/>
            </w14:solidFill>
          </w14:textFill>
        </w:rPr>
        <w:t>财政厅关于免除城乡低收入困难群体重点优抚对象等基本殡葬服务费用的通知</w:t>
      </w:r>
      <w:r>
        <w:rPr>
          <w:rFonts w:hint="eastAsia" w:ascii="仿宋_GB2312" w:hAnsi="仿宋_GB2312" w:eastAsia="仿宋_GB2312" w:cs="仿宋_GB2312"/>
          <w:color w:val="000000" w:themeColor="text1"/>
          <w:sz w:val="32"/>
          <w:szCs w:val="40"/>
          <w:highlight w:val="none"/>
          <w:shd w:val="clear" w:color="auto" w:fill="auto"/>
          <w:lang w:eastAsia="zh-CN"/>
          <w14:textFill>
            <w14:solidFill>
              <w14:schemeClr w14:val="tx1"/>
            </w14:solidFill>
          </w14:textFill>
        </w:rPr>
        <w:t>》（内民政社事〔2012〕</w:t>
      </w:r>
      <w:r>
        <w:rPr>
          <w:rFonts w:hint="eastAsia" w:ascii="仿宋_GB2312" w:hAnsi="仿宋_GB2312" w:eastAsia="仿宋_GB2312" w:cs="仿宋_GB2312"/>
          <w:color w:val="000000" w:themeColor="text1"/>
          <w:sz w:val="32"/>
          <w:szCs w:val="40"/>
          <w:highlight w:val="none"/>
          <w:shd w:val="clear" w:color="auto" w:fill="auto"/>
          <w:lang w:val="en-US" w:eastAsia="zh-CN"/>
          <w14:textFill>
            <w14:solidFill>
              <w14:schemeClr w14:val="tx1"/>
            </w14:solidFill>
          </w14:textFill>
        </w:rPr>
        <w:t>349</w:t>
      </w:r>
      <w:r>
        <w:rPr>
          <w:rFonts w:hint="eastAsia" w:ascii="仿宋_GB2312" w:hAnsi="仿宋_GB2312" w:eastAsia="仿宋_GB2312" w:cs="仿宋_GB2312"/>
          <w:color w:val="000000" w:themeColor="text1"/>
          <w:sz w:val="32"/>
          <w:szCs w:val="40"/>
          <w:highlight w:val="none"/>
          <w:shd w:val="clear" w:color="auto" w:fill="auto"/>
          <w:lang w:eastAsia="zh-CN"/>
          <w14:textFill>
            <w14:solidFill>
              <w14:schemeClr w14:val="tx1"/>
            </w14:solidFill>
          </w14:textFill>
        </w:rPr>
        <w:t>号）、</w:t>
      </w:r>
      <w:r>
        <w:rPr>
          <w:rFonts w:hint="eastAsia" w:ascii="仿宋_GB2312" w:hAnsi="仿宋_GB2312" w:eastAsia="仿宋_GB2312" w:cs="仿宋_GB2312"/>
          <w:color w:val="000000" w:themeColor="text1"/>
          <w:sz w:val="32"/>
          <w:szCs w:val="40"/>
          <w:highlight w:val="none"/>
          <w:shd w:val="clear" w:color="auto" w:fill="auto"/>
          <w14:textFill>
            <w14:solidFill>
              <w14:schemeClr w14:val="tx1"/>
            </w14:solidFill>
          </w14:textFill>
        </w:rPr>
        <w:t>《民政部等9部门关于推行节地生态安葬的指导意见》（民发〔2016〕21号）</w:t>
      </w:r>
      <w:r>
        <w:rPr>
          <w:rFonts w:hint="eastAsia" w:ascii="仿宋_GB2312" w:hAnsi="仿宋_GB2312" w:eastAsia="仿宋_GB2312" w:cs="仿宋_GB2312"/>
          <w:color w:val="000000" w:themeColor="text1"/>
          <w:sz w:val="32"/>
          <w:szCs w:val="40"/>
          <w:highlight w:val="none"/>
          <w:shd w:val="clear" w:color="auto" w:fill="auto"/>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shd w:val="clear" w:color="auto" w:fill="auto"/>
          <w14:textFill>
            <w14:solidFill>
              <w14:schemeClr w14:val="tx1"/>
            </w14:solidFill>
          </w14:textFill>
        </w:rPr>
        <w:t>《鄂尔多斯市</w:t>
      </w:r>
      <w:r>
        <w:rPr>
          <w:rFonts w:hint="eastAsia" w:ascii="仿宋_GB2312" w:hAnsi="仿宋_GB2312" w:eastAsia="仿宋_GB2312" w:cs="仿宋_GB2312"/>
          <w:color w:val="000000" w:themeColor="text1"/>
          <w:sz w:val="32"/>
          <w:szCs w:val="40"/>
          <w:highlight w:val="none"/>
          <w:shd w:val="clear" w:color="auto" w:fill="auto"/>
          <w:lang w:eastAsia="zh-CN"/>
          <w14:textFill>
            <w14:solidFill>
              <w14:schemeClr w14:val="tx1"/>
            </w14:solidFill>
          </w14:textFill>
        </w:rPr>
        <w:t>民政局</w:t>
      </w:r>
      <w:r>
        <w:rPr>
          <w:rFonts w:hint="eastAsia" w:ascii="仿宋_GB2312" w:hAnsi="仿宋_GB2312" w:eastAsia="仿宋_GB2312" w:cs="仿宋_GB2312"/>
          <w:color w:val="000000" w:themeColor="text1"/>
          <w:sz w:val="32"/>
          <w:szCs w:val="40"/>
          <w:highlight w:val="none"/>
          <w:shd w:val="clear" w:color="auto" w:fill="auto"/>
          <w:lang w:val="en-US" w:eastAsia="zh-CN"/>
          <w14:textFill>
            <w14:solidFill>
              <w14:schemeClr w14:val="tx1"/>
            </w14:solidFill>
          </w14:textFill>
        </w:rPr>
        <w:t>财政局</w:t>
      </w:r>
      <w:r>
        <w:rPr>
          <w:rFonts w:hint="eastAsia" w:ascii="仿宋_GB2312" w:hAnsi="仿宋_GB2312" w:eastAsia="仿宋_GB2312" w:cs="仿宋_GB2312"/>
          <w:color w:val="000000" w:themeColor="text1"/>
          <w:sz w:val="32"/>
          <w:szCs w:val="40"/>
          <w:highlight w:val="none"/>
          <w14:textFill>
            <w14:solidFill>
              <w14:schemeClr w14:val="tx1"/>
            </w14:solidFill>
          </w14:textFill>
        </w:rPr>
        <w:t>关于</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印发</w:t>
      </w:r>
      <w:r>
        <w:rPr>
          <w:rFonts w:hint="eastAsia" w:ascii="仿宋_GB2312" w:hAnsi="仿宋_GB2312" w:eastAsia="仿宋_GB2312" w:cs="仿宋_GB2312"/>
          <w:color w:val="000000" w:themeColor="text1"/>
          <w:sz w:val="32"/>
          <w:szCs w:val="40"/>
          <w:highlight w:val="none"/>
          <w14:textFill>
            <w14:solidFill>
              <w14:schemeClr w14:val="tx1"/>
            </w14:solidFill>
          </w14:textFill>
        </w:rPr>
        <w:t>惠民殡葬政策</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实施方案</w:t>
      </w:r>
      <w:r>
        <w:rPr>
          <w:rFonts w:hint="eastAsia" w:ascii="仿宋_GB2312" w:hAnsi="仿宋_GB2312" w:eastAsia="仿宋_GB2312" w:cs="仿宋_GB2312"/>
          <w:color w:val="000000" w:themeColor="text1"/>
          <w:sz w:val="32"/>
          <w:szCs w:val="40"/>
          <w:highlight w:val="none"/>
          <w14:textFill>
            <w14:solidFill>
              <w14:schemeClr w14:val="tx1"/>
            </w14:solidFill>
          </w14:textFill>
        </w:rPr>
        <w:t>的</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通知</w:t>
      </w:r>
      <w:r>
        <w:rPr>
          <w:rFonts w:hint="eastAsia" w:ascii="仿宋_GB2312" w:hAnsi="仿宋_GB2312" w:eastAsia="仿宋_GB2312" w:cs="仿宋_GB2312"/>
          <w:color w:val="000000" w:themeColor="text1"/>
          <w:sz w:val="32"/>
          <w:szCs w:val="40"/>
          <w:highlight w:val="none"/>
          <w14:textFill>
            <w14:solidFill>
              <w14:schemeClr w14:val="tx1"/>
            </w14:solidFill>
          </w14:textFill>
        </w:rPr>
        <w:t>》（鄂</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民</w:t>
      </w:r>
      <w:r>
        <w:rPr>
          <w:rFonts w:hint="eastAsia" w:ascii="仿宋_GB2312" w:hAnsi="仿宋_GB2312" w:eastAsia="仿宋_GB2312" w:cs="仿宋_GB2312"/>
          <w:color w:val="000000" w:themeColor="text1"/>
          <w:sz w:val="32"/>
          <w:szCs w:val="40"/>
          <w:highlight w:val="none"/>
          <w14:textFill>
            <w14:solidFill>
              <w14:schemeClr w14:val="tx1"/>
            </w14:solidFill>
          </w14:textFill>
        </w:rPr>
        <w:t>发〔201</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40"/>
          <w:highlight w:val="none"/>
          <w14:textFill>
            <w14:solidFill>
              <w14:schemeClr w14:val="tx1"/>
            </w14:solidFill>
          </w14:textFill>
        </w:rPr>
        <w:t>〕</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155</w:t>
      </w:r>
      <w:r>
        <w:rPr>
          <w:rFonts w:hint="eastAsia" w:ascii="仿宋_GB2312" w:hAnsi="仿宋_GB2312" w:eastAsia="仿宋_GB2312" w:cs="仿宋_GB2312"/>
          <w:color w:val="000000" w:themeColor="text1"/>
          <w:sz w:val="32"/>
          <w:szCs w:val="40"/>
          <w:highlight w:val="none"/>
          <w14:textFill>
            <w14:solidFill>
              <w14:schemeClr w14:val="tx1"/>
            </w14:solidFill>
          </w14:textFill>
        </w:rPr>
        <w:t>号）</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《民政部等16部门关于进一步推动殡葬改革促进殡葬事业发展的指导意见的通知》（民发〔2018〕5号）</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鄂尔多斯市发展和改革委员会鄂尔多斯市财政局鄂尔多斯市民政局关于规范我市基本殡葬服务收费有关问题的通知</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（鄂</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发改费</w:t>
      </w:r>
      <w:r>
        <w:rPr>
          <w:rFonts w:hint="eastAsia" w:ascii="仿宋_GB2312" w:hAnsi="仿宋_GB2312" w:eastAsia="仿宋_GB2312" w:cs="仿宋_GB2312"/>
          <w:color w:val="000000" w:themeColor="text1"/>
          <w:sz w:val="32"/>
          <w:szCs w:val="40"/>
          <w:highlight w:val="none"/>
          <w14:textFill>
            <w14:solidFill>
              <w14:schemeClr w14:val="tx1"/>
            </w14:solidFill>
          </w14:textFill>
        </w:rPr>
        <w:t>发〔20</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32"/>
          <w:szCs w:val="40"/>
          <w:highlight w:val="none"/>
          <w14:textFill>
            <w14:solidFill>
              <w14:schemeClr w14:val="tx1"/>
            </w14:solidFill>
          </w14:textFill>
        </w:rPr>
        <w:t>〕</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115</w:t>
      </w:r>
      <w:r>
        <w:rPr>
          <w:rFonts w:hint="eastAsia" w:ascii="仿宋_GB2312" w:hAnsi="仿宋_GB2312" w:eastAsia="仿宋_GB2312" w:cs="仿宋_GB2312"/>
          <w:color w:val="000000" w:themeColor="text1"/>
          <w:sz w:val="32"/>
          <w:szCs w:val="40"/>
          <w:highlight w:val="none"/>
          <w14:textFill>
            <w14:solidFill>
              <w14:schemeClr w14:val="tx1"/>
            </w14:solidFill>
          </w14:textFill>
        </w:rPr>
        <w:t>号）等文件精神，结合我旗实际，制定如下方案</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p>
    <w:p w14:paraId="214D7C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40"/>
          <w:highlight w:val="none"/>
          <w14:textFill>
            <w14:solidFill>
              <w14:schemeClr w14:val="tx1"/>
            </w14:solidFill>
          </w14:textFill>
        </w:rPr>
      </w:pPr>
      <w:r>
        <w:rPr>
          <w:rFonts w:hint="eastAsia" w:ascii="黑体" w:hAnsi="黑体" w:eastAsia="黑体" w:cs="黑体"/>
          <w:color w:val="000000" w:themeColor="text1"/>
          <w:sz w:val="32"/>
          <w:szCs w:val="40"/>
          <w:highlight w:val="none"/>
          <w14:textFill>
            <w14:solidFill>
              <w14:schemeClr w14:val="tx1"/>
            </w14:solidFill>
          </w14:textFill>
        </w:rPr>
        <w:t>一、基本殡葬服务免费项目</w:t>
      </w:r>
    </w:p>
    <w:p w14:paraId="78EB50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000000" w:themeColor="text1"/>
          <w:sz w:val="32"/>
          <w:szCs w:val="40"/>
          <w:highlight w:val="none"/>
          <w14:textFill>
            <w14:solidFill>
              <w14:schemeClr w14:val="tx1"/>
            </w14:solidFill>
          </w14:textFill>
        </w:rPr>
      </w:pPr>
      <w:r>
        <w:rPr>
          <w:rFonts w:hint="eastAsia" w:ascii="楷体" w:hAnsi="楷体" w:eastAsia="楷体" w:cs="楷体"/>
          <w:color w:val="000000" w:themeColor="text1"/>
          <w:sz w:val="32"/>
          <w:szCs w:val="40"/>
          <w:highlight w:val="none"/>
          <w14:textFill>
            <w14:solidFill>
              <w14:schemeClr w14:val="tx1"/>
            </w14:solidFill>
          </w14:textFill>
        </w:rPr>
        <w:t>（</w:t>
      </w:r>
      <w:r>
        <w:rPr>
          <w:rFonts w:hint="eastAsia" w:ascii="楷体" w:hAnsi="楷体" w:eastAsia="楷体" w:cs="楷体"/>
          <w:color w:val="000000" w:themeColor="text1"/>
          <w:sz w:val="32"/>
          <w:szCs w:val="40"/>
          <w:highlight w:val="none"/>
          <w:lang w:eastAsia="zh-CN"/>
          <w14:textFill>
            <w14:solidFill>
              <w14:schemeClr w14:val="tx1"/>
            </w14:solidFill>
          </w14:textFill>
        </w:rPr>
        <w:t>一</w:t>
      </w:r>
      <w:r>
        <w:rPr>
          <w:rFonts w:hint="eastAsia" w:ascii="楷体" w:hAnsi="楷体" w:eastAsia="楷体" w:cs="楷体"/>
          <w:color w:val="000000" w:themeColor="text1"/>
          <w:sz w:val="32"/>
          <w:szCs w:val="40"/>
          <w:highlight w:val="none"/>
          <w14:textFill>
            <w14:solidFill>
              <w14:schemeClr w14:val="tx1"/>
            </w14:solidFill>
          </w14:textFill>
        </w:rPr>
        <w:t>）</w:t>
      </w:r>
      <w:r>
        <w:rPr>
          <w:rFonts w:hint="eastAsia" w:ascii="楷体" w:hAnsi="楷体" w:eastAsia="楷体" w:cs="楷体"/>
          <w:color w:val="000000" w:themeColor="text1"/>
          <w:sz w:val="32"/>
          <w:szCs w:val="40"/>
          <w:highlight w:val="none"/>
          <w:lang w:val="en-US" w:eastAsia="zh-CN"/>
          <w14:textFill>
            <w14:solidFill>
              <w14:schemeClr w14:val="tx1"/>
            </w14:solidFill>
          </w14:textFill>
        </w:rPr>
        <w:t>基本殡葬服务</w:t>
      </w:r>
      <w:r>
        <w:rPr>
          <w:rFonts w:hint="eastAsia" w:ascii="楷体" w:hAnsi="楷体" w:eastAsia="楷体" w:cs="楷体"/>
          <w:color w:val="000000" w:themeColor="text1"/>
          <w:sz w:val="32"/>
          <w:szCs w:val="40"/>
          <w:highlight w:val="none"/>
          <w14:textFill>
            <w14:solidFill>
              <w14:schemeClr w14:val="tx1"/>
            </w14:solidFill>
          </w14:textFill>
        </w:rPr>
        <w:t>减免项目及标准</w:t>
      </w:r>
    </w:p>
    <w:p w14:paraId="598B75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1.</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殡葬</w:t>
      </w:r>
      <w:r>
        <w:rPr>
          <w:rFonts w:hint="eastAsia" w:ascii="仿宋_GB2312" w:hAnsi="仿宋_GB2312" w:eastAsia="仿宋_GB2312" w:cs="仿宋_GB2312"/>
          <w:color w:val="000000" w:themeColor="text1"/>
          <w:sz w:val="32"/>
          <w:szCs w:val="40"/>
          <w:highlight w:val="none"/>
          <w14:textFill>
            <w14:solidFill>
              <w14:schemeClr w14:val="tx1"/>
            </w14:solidFill>
          </w14:textFill>
        </w:rPr>
        <w:t>专用车遗体接运费</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850</w:t>
      </w:r>
      <w:r>
        <w:rPr>
          <w:rFonts w:hint="eastAsia" w:ascii="仿宋_GB2312" w:hAnsi="仿宋_GB2312" w:eastAsia="仿宋_GB2312" w:cs="仿宋_GB2312"/>
          <w:color w:val="000000" w:themeColor="text1"/>
          <w:sz w:val="32"/>
          <w:szCs w:val="40"/>
          <w:highlight w:val="none"/>
          <w14:textFill>
            <w14:solidFill>
              <w14:schemeClr w14:val="tx1"/>
            </w14:solidFill>
          </w14:textFill>
        </w:rPr>
        <w:t>元/具</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含遗体</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接运、抬尸及</w:t>
      </w:r>
      <w:r>
        <w:rPr>
          <w:rFonts w:hint="eastAsia" w:ascii="仿宋_GB2312" w:hAnsi="仿宋_GB2312" w:eastAsia="仿宋_GB2312" w:cs="仿宋_GB2312"/>
          <w:color w:val="000000" w:themeColor="text1"/>
          <w:sz w:val="32"/>
          <w:szCs w:val="40"/>
          <w:highlight w:val="none"/>
          <w14:textFill>
            <w14:solidFill>
              <w14:schemeClr w14:val="tx1"/>
            </w14:solidFill>
          </w14:textFill>
        </w:rPr>
        <w:t>消毒费</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特殊遗体（水溺、传染、事故等特殊遗体）接运费协商确定。</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30公里以外每公里加收2元，夜间、节假日加收100元运费。</w:t>
      </w:r>
    </w:p>
    <w:p w14:paraId="05461D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2.</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遗体存放（含冷藏）收费标准为</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100元/具/日（屉式冷藏，不足1天按1天），3日内免费。</w:t>
      </w:r>
    </w:p>
    <w:p w14:paraId="754909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3.普通</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火化</w:t>
      </w:r>
      <w:r>
        <w:rPr>
          <w:rFonts w:hint="eastAsia" w:ascii="仿宋_GB2312" w:hAnsi="仿宋_GB2312" w:eastAsia="仿宋_GB2312" w:cs="仿宋_GB2312"/>
          <w:color w:val="000000" w:themeColor="text1"/>
          <w:sz w:val="32"/>
          <w:szCs w:val="40"/>
          <w:highlight w:val="none"/>
          <w14:textFill>
            <w14:solidFill>
              <w14:schemeClr w14:val="tx1"/>
            </w14:solidFill>
          </w14:textFill>
        </w:rPr>
        <w:t>设备遗体火化</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费</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600</w:t>
      </w:r>
      <w:r>
        <w:rPr>
          <w:rFonts w:hint="eastAsia" w:ascii="仿宋_GB2312" w:hAnsi="仿宋_GB2312" w:eastAsia="仿宋_GB2312" w:cs="仿宋_GB2312"/>
          <w:color w:val="000000" w:themeColor="text1"/>
          <w:sz w:val="32"/>
          <w:szCs w:val="40"/>
          <w:highlight w:val="none"/>
          <w14:textFill>
            <w14:solidFill>
              <w14:schemeClr w14:val="tx1"/>
            </w14:solidFill>
          </w14:textFill>
        </w:rPr>
        <w:t>元/具</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。婴幼儿减半，法定节假日加收</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50%。</w:t>
      </w:r>
    </w:p>
    <w:p w14:paraId="4A7279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4.</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骨灰寄存收费标准为</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100</w:t>
      </w:r>
      <w:bookmarkStart w:id="0" w:name="_GoBack"/>
      <w:bookmarkEnd w:id="0"/>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元/盒/年，3年内免费。</w:t>
      </w:r>
    </w:p>
    <w:p w14:paraId="09F42D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丧事承办人选择以上</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40"/>
          <w:highlight w:val="none"/>
          <w14:textFill>
            <w14:solidFill>
              <w14:schemeClr w14:val="tx1"/>
            </w14:solidFill>
          </w14:textFill>
        </w:rPr>
        <w:t>项基本殡葬服务以外的项目及费用超出标准的，由丧事承办人自行承担</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p>
    <w:p w14:paraId="285A2C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上述基本殡葬服务减免项目及标准在执行期间如遇有关部门政策变动、价格调整，均按照变动、调整后最新的标准执行。</w:t>
      </w:r>
    </w:p>
    <w:p w14:paraId="29EF88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000000" w:themeColor="text1"/>
          <w:sz w:val="32"/>
          <w:szCs w:val="40"/>
          <w:highlight w:val="none"/>
          <w14:textFill>
            <w14:solidFill>
              <w14:schemeClr w14:val="tx1"/>
            </w14:solidFill>
          </w14:textFill>
        </w:rPr>
      </w:pPr>
      <w:r>
        <w:rPr>
          <w:rFonts w:hint="eastAsia" w:ascii="楷体" w:hAnsi="楷体" w:eastAsia="楷体" w:cs="楷体"/>
          <w:color w:val="000000" w:themeColor="text1"/>
          <w:sz w:val="32"/>
          <w:szCs w:val="40"/>
          <w:highlight w:val="none"/>
          <w14:textFill>
            <w14:solidFill>
              <w14:schemeClr w14:val="tx1"/>
            </w14:solidFill>
          </w14:textFill>
        </w:rPr>
        <w:t>（</w:t>
      </w:r>
      <w:r>
        <w:rPr>
          <w:rFonts w:hint="eastAsia" w:ascii="楷体" w:hAnsi="楷体" w:eastAsia="楷体" w:cs="楷体"/>
          <w:color w:val="000000" w:themeColor="text1"/>
          <w:sz w:val="32"/>
          <w:szCs w:val="40"/>
          <w:highlight w:val="none"/>
          <w:lang w:eastAsia="zh-CN"/>
          <w14:textFill>
            <w14:solidFill>
              <w14:schemeClr w14:val="tx1"/>
            </w14:solidFill>
          </w14:textFill>
        </w:rPr>
        <w:t>二</w:t>
      </w:r>
      <w:r>
        <w:rPr>
          <w:rFonts w:hint="eastAsia" w:ascii="楷体" w:hAnsi="楷体" w:eastAsia="楷体" w:cs="楷体"/>
          <w:color w:val="000000" w:themeColor="text1"/>
          <w:sz w:val="32"/>
          <w:szCs w:val="40"/>
          <w:highlight w:val="none"/>
          <w14:textFill>
            <w14:solidFill>
              <w14:schemeClr w14:val="tx1"/>
            </w14:solidFill>
          </w14:textFill>
        </w:rPr>
        <w:t>）减免对象</w:t>
      </w:r>
    </w:p>
    <w:p w14:paraId="7DB321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1.</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凡</w:t>
      </w:r>
      <w:r>
        <w:rPr>
          <w:rFonts w:hint="eastAsia" w:ascii="仿宋_GB2312" w:hAnsi="仿宋_GB2312" w:eastAsia="仿宋_GB2312" w:cs="仿宋_GB2312"/>
          <w:color w:val="000000" w:themeColor="text1"/>
          <w:sz w:val="32"/>
          <w:szCs w:val="40"/>
          <w:highlight w:val="none"/>
          <w14:textFill>
            <w14:solidFill>
              <w14:schemeClr w14:val="tx1"/>
            </w14:solidFill>
          </w14:textFill>
        </w:rPr>
        <w:t>具有</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伊金霍洛旗</w:t>
      </w:r>
      <w:r>
        <w:rPr>
          <w:rFonts w:hint="eastAsia" w:ascii="仿宋_GB2312" w:hAnsi="仿宋_GB2312" w:eastAsia="仿宋_GB2312" w:cs="仿宋_GB2312"/>
          <w:color w:val="000000" w:themeColor="text1"/>
          <w:sz w:val="32"/>
          <w:szCs w:val="40"/>
          <w:highlight w:val="none"/>
          <w14:textFill>
            <w14:solidFill>
              <w14:schemeClr w14:val="tx1"/>
            </w14:solidFill>
          </w14:textFill>
        </w:rPr>
        <w:t>户籍</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32"/>
          <w:szCs w:val="40"/>
          <w:highlight w:val="none"/>
          <w14:textFill>
            <w14:solidFill>
              <w14:schemeClr w14:val="tx1"/>
            </w14:solidFill>
          </w14:textFill>
        </w:rPr>
        <w:t>且未享受职工丧葬补贴待遇的城乡居民</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死亡后火化并在</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殡仪馆寄存的，</w:t>
      </w:r>
      <w:r>
        <w:rPr>
          <w:rFonts w:hint="eastAsia" w:ascii="仿宋_GB2312" w:hAnsi="仿宋_GB2312" w:eastAsia="仿宋_GB2312" w:cs="仿宋_GB2312"/>
          <w:color w:val="000000" w:themeColor="text1"/>
          <w:sz w:val="32"/>
          <w:szCs w:val="40"/>
          <w:highlight w:val="none"/>
          <w14:textFill>
            <w14:solidFill>
              <w14:schemeClr w14:val="tx1"/>
            </w14:solidFill>
          </w14:textFill>
        </w:rPr>
        <w:t>免除基本殡葬服务费</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用；</w:t>
      </w:r>
      <w:r>
        <w:rPr>
          <w:rFonts w:hint="eastAsia" w:ascii="仿宋_GB2312" w:hAnsi="仿宋_GB2312" w:eastAsia="仿宋_GB2312" w:cs="仿宋_GB2312"/>
          <w:color w:val="000000" w:themeColor="text1"/>
          <w:sz w:val="32"/>
          <w:szCs w:val="40"/>
          <w:highlight w:val="none"/>
          <w14:textFill>
            <w14:solidFill>
              <w14:schemeClr w14:val="tx1"/>
            </w14:solidFill>
          </w14:textFill>
        </w:rPr>
        <w:t>死亡后火化并在公墓安葬的，</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在</w:t>
      </w:r>
      <w:r>
        <w:rPr>
          <w:rFonts w:hint="eastAsia" w:ascii="仿宋_GB2312" w:hAnsi="仿宋_GB2312" w:eastAsia="仿宋_GB2312" w:cs="仿宋_GB2312"/>
          <w:color w:val="000000" w:themeColor="text1"/>
          <w:sz w:val="32"/>
          <w:szCs w:val="40"/>
          <w:highlight w:val="none"/>
          <w14:textFill>
            <w14:solidFill>
              <w14:schemeClr w14:val="tx1"/>
            </w14:solidFill>
          </w14:textFill>
        </w:rPr>
        <w:t>免除基本殡葬服务费</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的基础上，补贴</w:t>
      </w:r>
      <w:r>
        <w:rPr>
          <w:rFonts w:hint="eastAsia" w:ascii="仿宋_GB2312" w:hAnsi="仿宋_GB2312" w:eastAsia="仿宋_GB2312" w:cs="仿宋_GB2312"/>
          <w:color w:val="000000" w:themeColor="text1"/>
          <w:sz w:val="32"/>
          <w:szCs w:val="40"/>
          <w:highlight w:val="none"/>
          <w14:textFill>
            <w14:solidFill>
              <w14:schemeClr w14:val="tx1"/>
            </w14:solidFill>
          </w14:textFill>
        </w:rPr>
        <w:t>公墓</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费</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2500</w:t>
      </w:r>
      <w:r>
        <w:rPr>
          <w:rFonts w:hint="eastAsia" w:ascii="仿宋_GB2312" w:hAnsi="仿宋_GB2312" w:eastAsia="仿宋_GB2312" w:cs="仿宋_GB2312"/>
          <w:color w:val="000000" w:themeColor="text1"/>
          <w:sz w:val="32"/>
          <w:szCs w:val="40"/>
          <w:highlight w:val="none"/>
          <w14:textFill>
            <w14:solidFill>
              <w14:schemeClr w14:val="tx1"/>
            </w14:solidFill>
          </w14:textFill>
        </w:rPr>
        <w:t>元。</w:t>
      </w:r>
    </w:p>
    <w:p w14:paraId="4AF251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cs="仿宋_GB2312"/>
          <w:color w:val="000000" w:themeColor="text1"/>
          <w:sz w:val="32"/>
          <w:szCs w:val="40"/>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凡</w:t>
      </w:r>
      <w:r>
        <w:rPr>
          <w:rFonts w:hint="eastAsia" w:ascii="仿宋_GB2312" w:hAnsi="仿宋_GB2312" w:eastAsia="仿宋_GB2312" w:cs="仿宋_GB2312"/>
          <w:color w:val="000000" w:themeColor="text1"/>
          <w:sz w:val="32"/>
          <w:szCs w:val="40"/>
          <w:highlight w:val="none"/>
          <w14:textFill>
            <w14:solidFill>
              <w14:schemeClr w14:val="tx1"/>
            </w14:solidFill>
          </w14:textFill>
        </w:rPr>
        <w:t>具有</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伊金霍洛旗</w:t>
      </w:r>
      <w:r>
        <w:rPr>
          <w:rFonts w:hint="eastAsia" w:ascii="仿宋_GB2312" w:hAnsi="仿宋_GB2312" w:eastAsia="仿宋_GB2312" w:cs="仿宋_GB2312"/>
          <w:color w:val="000000" w:themeColor="text1"/>
          <w:sz w:val="32"/>
          <w:szCs w:val="40"/>
          <w:highlight w:val="none"/>
          <w14:textFill>
            <w14:solidFill>
              <w14:schemeClr w14:val="tx1"/>
            </w14:solidFill>
          </w14:textFill>
        </w:rPr>
        <w:t>户籍</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城乡低保人员、城乡特困供养人员、“文革三民”对象、享受定期抚恤金或者补助金待遇等困难群体</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；非伊金霍洛旗</w:t>
      </w:r>
      <w:r>
        <w:rPr>
          <w:rFonts w:hint="eastAsia" w:ascii="仿宋_GB2312" w:hAnsi="仿宋_GB2312" w:eastAsia="仿宋_GB2312" w:cs="仿宋_GB2312"/>
          <w:color w:val="000000" w:themeColor="text1"/>
          <w:sz w:val="32"/>
          <w:szCs w:val="40"/>
          <w:highlight w:val="none"/>
          <w14:textFill>
            <w14:solidFill>
              <w14:schemeClr w14:val="tx1"/>
            </w14:solidFill>
          </w14:textFill>
        </w:rPr>
        <w:t>户籍</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的流浪乞讨人员、百岁以上老人以及因公或见义勇为牺牲人员、驻伊金霍洛旗部队现役官兵、重大自然灾害死亡人员、公安机关经办处理的无名遗体、无家属认领遗体等，</w:t>
      </w:r>
      <w:r>
        <w:rPr>
          <w:rFonts w:hint="eastAsia" w:ascii="仿宋_GB2312" w:hAnsi="仿宋_GB2312" w:eastAsia="仿宋_GB2312" w:cs="仿宋_GB2312"/>
          <w:color w:val="000000" w:themeColor="text1"/>
          <w:sz w:val="32"/>
          <w:szCs w:val="40"/>
          <w:highlight w:val="none"/>
          <w14:textFill>
            <w14:solidFill>
              <w14:schemeClr w14:val="tx1"/>
            </w14:solidFill>
          </w14:textFill>
        </w:rPr>
        <w:t>死亡后火化免除基本殡葬服务费</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用。</w:t>
      </w:r>
      <w:r>
        <w:rPr>
          <w:rFonts w:hint="eastAsia" w:ascii="仿宋_GB2312" w:hAnsi="仿宋_GB2312" w:eastAsia="仿宋_GB2312" w:cs="仿宋_GB2312"/>
          <w:color w:val="000000" w:themeColor="text1"/>
          <w:sz w:val="32"/>
          <w:szCs w:val="40"/>
          <w:highlight w:val="none"/>
          <w14:textFill>
            <w14:solidFill>
              <w14:schemeClr w14:val="tx1"/>
            </w14:solidFill>
          </w14:textFill>
        </w:rPr>
        <w:t>死亡后火化并在公墓安葬的，</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在</w:t>
      </w:r>
      <w:r>
        <w:rPr>
          <w:rFonts w:hint="eastAsia" w:ascii="仿宋_GB2312" w:hAnsi="仿宋_GB2312" w:eastAsia="仿宋_GB2312" w:cs="仿宋_GB2312"/>
          <w:color w:val="000000" w:themeColor="text1"/>
          <w:sz w:val="32"/>
          <w:szCs w:val="40"/>
          <w:highlight w:val="none"/>
          <w14:textFill>
            <w14:solidFill>
              <w14:schemeClr w14:val="tx1"/>
            </w14:solidFill>
          </w14:textFill>
        </w:rPr>
        <w:t>免除基本殡葬服务费</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的基础上，补贴</w:t>
      </w:r>
      <w:r>
        <w:rPr>
          <w:rFonts w:hint="eastAsia" w:ascii="仿宋_GB2312" w:hAnsi="仿宋_GB2312" w:eastAsia="仿宋_GB2312" w:cs="仿宋_GB2312"/>
          <w:color w:val="000000" w:themeColor="text1"/>
          <w:sz w:val="32"/>
          <w:szCs w:val="40"/>
          <w:highlight w:val="none"/>
          <w14:textFill>
            <w14:solidFill>
              <w14:schemeClr w14:val="tx1"/>
            </w14:solidFill>
          </w14:textFill>
        </w:rPr>
        <w:t>公墓</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费</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2500</w:t>
      </w:r>
      <w:r>
        <w:rPr>
          <w:rFonts w:hint="eastAsia" w:ascii="仿宋_GB2312" w:hAnsi="仿宋_GB2312" w:eastAsia="仿宋_GB2312" w:cs="仿宋_GB2312"/>
          <w:color w:val="000000" w:themeColor="text1"/>
          <w:sz w:val="32"/>
          <w:szCs w:val="40"/>
          <w:highlight w:val="none"/>
          <w14:textFill>
            <w14:solidFill>
              <w14:schemeClr w14:val="tx1"/>
            </w14:solidFill>
          </w14:textFill>
        </w:rPr>
        <w:t>元。</w:t>
      </w:r>
    </w:p>
    <w:p w14:paraId="6CE0ED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上述人员死亡后火化在墓区采用树葬、花葬、草坪葬、深埋葬（以上四种方式</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并</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均不留坟头、不立墓碑）、撒散等生态节地安葬方式处理骨灰的人员，在免除基本殡葬服务费的基础上，补贴</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500元的安葬费用</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p>
    <w:p w14:paraId="6B4F0B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40"/>
          <w:highlight w:val="none"/>
          <w14:textFill>
            <w14:solidFill>
              <w14:schemeClr w14:val="tx1"/>
            </w14:solidFill>
          </w14:textFill>
        </w:rPr>
      </w:pPr>
      <w:r>
        <w:rPr>
          <w:rFonts w:hint="eastAsia" w:ascii="黑体" w:hAnsi="黑体" w:eastAsia="黑体" w:cs="黑体"/>
          <w:color w:val="000000" w:themeColor="text1"/>
          <w:sz w:val="32"/>
          <w:szCs w:val="40"/>
          <w:highlight w:val="none"/>
          <w:lang w:eastAsia="zh-CN"/>
          <w14:textFill>
            <w14:solidFill>
              <w14:schemeClr w14:val="tx1"/>
            </w14:solidFill>
          </w14:textFill>
        </w:rPr>
        <w:t>二、</w:t>
      </w:r>
      <w:r>
        <w:rPr>
          <w:rFonts w:hint="eastAsia" w:ascii="黑体" w:hAnsi="黑体" w:eastAsia="黑体" w:cs="黑体"/>
          <w:color w:val="000000" w:themeColor="text1"/>
          <w:sz w:val="32"/>
          <w:szCs w:val="40"/>
          <w:highlight w:val="none"/>
          <w14:textFill>
            <w14:solidFill>
              <w14:schemeClr w14:val="tx1"/>
            </w14:solidFill>
          </w14:textFill>
        </w:rPr>
        <w:t>生态节地葬内容及方式</w:t>
      </w:r>
    </w:p>
    <w:p w14:paraId="68A73E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（一）</w:t>
      </w:r>
      <w:r>
        <w:rPr>
          <w:rFonts w:hint="eastAsia" w:ascii="仿宋_GB2312" w:hAnsi="仿宋_GB2312" w:eastAsia="仿宋_GB2312" w:cs="仿宋_GB2312"/>
          <w:color w:val="000000" w:themeColor="text1"/>
          <w:sz w:val="32"/>
          <w:szCs w:val="40"/>
          <w:highlight w:val="none"/>
          <w14:textFill>
            <w14:solidFill>
              <w14:schemeClr w14:val="tx1"/>
            </w14:solidFill>
          </w14:textFill>
        </w:rPr>
        <w:t>在公墓内，骨灰采用树葬、花葬、草坪葬</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、深埋葬（均不留坟头）等生态节地安葬方式，</w:t>
      </w:r>
      <w:r>
        <w:rPr>
          <w:rFonts w:hint="eastAsia" w:ascii="仿宋_GB2312" w:hAnsi="仿宋_GB2312" w:eastAsia="仿宋_GB2312" w:cs="仿宋_GB2312"/>
          <w:color w:val="000000" w:themeColor="text1"/>
          <w:sz w:val="32"/>
          <w:szCs w:val="40"/>
          <w:highlight w:val="none"/>
          <w14:textFill>
            <w14:solidFill>
              <w14:schemeClr w14:val="tx1"/>
            </w14:solidFill>
          </w14:textFill>
        </w:rPr>
        <w:t>由公墓管理部门负责安葬。</w:t>
      </w:r>
    </w:p>
    <w:p w14:paraId="129784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二</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在火</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葬</w:t>
      </w:r>
      <w:r>
        <w:rPr>
          <w:rFonts w:hint="eastAsia" w:ascii="仿宋_GB2312" w:hAnsi="仿宋_GB2312" w:eastAsia="仿宋_GB2312" w:cs="仿宋_GB2312"/>
          <w:color w:val="000000" w:themeColor="text1"/>
          <w:sz w:val="32"/>
          <w:szCs w:val="40"/>
          <w:highlight w:val="none"/>
          <w14:textFill>
            <w14:solidFill>
              <w14:schemeClr w14:val="tx1"/>
            </w14:solidFill>
          </w14:textFill>
        </w:rPr>
        <w:t>区范围内，骨灰采用生态节地安葬方式，由公墓管理部门安排专门人员施工</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并留存影像资料</w:t>
      </w:r>
      <w:r>
        <w:rPr>
          <w:rFonts w:hint="eastAsia" w:ascii="仿宋_GB2312" w:hAnsi="仿宋_GB2312" w:eastAsia="仿宋_GB2312" w:cs="仿宋_GB2312"/>
          <w:color w:val="000000" w:themeColor="text1"/>
          <w:sz w:val="32"/>
          <w:szCs w:val="40"/>
          <w:highlight w:val="none"/>
          <w14:textFill>
            <w14:solidFill>
              <w14:schemeClr w14:val="tx1"/>
            </w14:solidFill>
          </w14:textFill>
        </w:rPr>
        <w:t>，由旗区民政局认可并出具生态节地葬证明；安葬地点应选用荒山瘠地，不得占用耕地，不得在风景名胜区和水库、湖泊、河流的堤坝以及铁路、公路两侧。</w:t>
      </w:r>
    </w:p>
    <w:p w14:paraId="149311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三</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骨灰采用撒散方式的，具有承担民事行为能力的承办人提出申请，殡仪馆或公墓管理部门签批认可并实施操作</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（留存影像资料）</w:t>
      </w:r>
      <w:r>
        <w:rPr>
          <w:rFonts w:hint="eastAsia" w:ascii="仿宋_GB2312" w:hAnsi="仿宋_GB2312" w:eastAsia="仿宋_GB2312" w:cs="仿宋_GB2312"/>
          <w:color w:val="000000" w:themeColor="text1"/>
          <w:sz w:val="32"/>
          <w:szCs w:val="40"/>
          <w:highlight w:val="none"/>
          <w14:textFill>
            <w14:solidFill>
              <w14:schemeClr w14:val="tx1"/>
            </w14:solidFill>
          </w14:textFill>
        </w:rPr>
        <w:t>，报旗民政局审核确认。</w:t>
      </w:r>
    </w:p>
    <w:p w14:paraId="3D622E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40"/>
          <w:highlight w:val="none"/>
          <w:lang w:eastAsia="zh-CN"/>
          <w14:textFill>
            <w14:solidFill>
              <w14:schemeClr w14:val="tx1"/>
            </w14:solidFill>
          </w14:textFill>
        </w:rPr>
      </w:pPr>
      <w:r>
        <w:rPr>
          <w:rFonts w:hint="eastAsia" w:ascii="黑体" w:hAnsi="黑体" w:eastAsia="黑体" w:cs="黑体"/>
          <w:color w:val="000000" w:themeColor="text1"/>
          <w:sz w:val="32"/>
          <w:szCs w:val="40"/>
          <w:highlight w:val="none"/>
          <w:lang w:eastAsia="zh-CN"/>
          <w14:textFill>
            <w14:solidFill>
              <w14:schemeClr w14:val="tx1"/>
            </w14:solidFill>
          </w14:textFill>
        </w:rPr>
        <w:t>三、惠民殡葬政策（殡葬基本服务费及生态安葬）办理程序</w:t>
      </w:r>
    </w:p>
    <w:p w14:paraId="298334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丧事承办人（指逝者的直系亲属或法定监护人）到殡仪服务机构提出申请，并填写《伊金霍洛旗基本殡葬服务费用申请表》《伊金霍洛旗生态节地安葬服务费用申请表》，同时提交下列材料：</w:t>
      </w:r>
    </w:p>
    <w:p w14:paraId="1E8E22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（一）由公安机关、医疗机构或户籍所在地卫生院出具的居民死亡证明原件及复印件（一式三份）；</w:t>
      </w:r>
    </w:p>
    <w:p w14:paraId="1384AC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（二）逝者身份证、户口本原件及复印件（一式三份）；</w:t>
      </w:r>
    </w:p>
    <w:p w14:paraId="2AE691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（三）享受惠民殡葬服务的有效证件（证明）原件和复印件，如重点优抚对象相关证件、社保部门提供的相关证件或证明（下岗失业证）、公安人员、武警战士和现役军人相关证件（一式三份）；</w:t>
      </w:r>
    </w:p>
    <w:p w14:paraId="13DAAC6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）火化证或火化证明原件及复印件（一式三份）；</w:t>
      </w:r>
    </w:p>
    <w:p w14:paraId="277C1BC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）公墓安葬证或公墓管理部门出具的生态安葬证明原件和复印件（一式三份）；</w:t>
      </w:r>
    </w:p>
    <w:p w14:paraId="01199F88">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（六）逝者为婴儿的，需出具医院或公安部门的相关资料；</w:t>
      </w:r>
    </w:p>
    <w:p w14:paraId="7C45EF97">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（七）无名遗体、无家属认领遗体由公安部门出具相关资料；</w:t>
      </w:r>
    </w:p>
    <w:p w14:paraId="1B755AC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（八）节地生态安葬时的现场照片（至少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3张）以及影像资料；</w:t>
      </w:r>
    </w:p>
    <w:p w14:paraId="6D2996E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）经旗民政局确认的其他材料（儿童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福利院</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孤儿、流浪乞讨人员、百岁以上老年人等相关证明）（一式三份）；</w:t>
      </w:r>
    </w:p>
    <w:p w14:paraId="6014786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（十）经办人身份证或户口簿原件及复印件（一式三份）；</w:t>
      </w:r>
    </w:p>
    <w:p w14:paraId="516056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40"/>
          <w:highlight w:val="none"/>
          <w:lang w:eastAsia="zh-CN"/>
          <w14:textFill>
            <w14:solidFill>
              <w14:schemeClr w14:val="tx1"/>
            </w14:solidFill>
          </w14:textFill>
        </w:rPr>
      </w:pPr>
      <w:r>
        <w:rPr>
          <w:rFonts w:hint="eastAsia" w:ascii="黑体" w:hAnsi="黑体" w:eastAsia="黑体" w:cs="黑体"/>
          <w:color w:val="000000" w:themeColor="text1"/>
          <w:sz w:val="32"/>
          <w:szCs w:val="40"/>
          <w:highlight w:val="none"/>
          <w:lang w:eastAsia="zh-CN"/>
          <w14:textFill>
            <w14:solidFill>
              <w14:schemeClr w14:val="tx1"/>
            </w14:solidFill>
          </w14:textFill>
        </w:rPr>
        <w:t>四</w:t>
      </w:r>
      <w:r>
        <w:rPr>
          <w:rFonts w:hint="eastAsia" w:ascii="黑体" w:hAnsi="黑体" w:eastAsia="黑体" w:cs="黑体"/>
          <w:color w:val="000000" w:themeColor="text1"/>
          <w:sz w:val="32"/>
          <w:szCs w:val="40"/>
          <w:highlight w:val="none"/>
          <w14:textFill>
            <w14:solidFill>
              <w14:schemeClr w14:val="tx1"/>
            </w14:solidFill>
          </w14:textFill>
        </w:rPr>
        <w:t>、经费</w:t>
      </w:r>
      <w:r>
        <w:rPr>
          <w:rFonts w:hint="eastAsia" w:ascii="黑体" w:hAnsi="黑体" w:eastAsia="黑体" w:cs="黑体"/>
          <w:color w:val="000000" w:themeColor="text1"/>
          <w:sz w:val="32"/>
          <w:szCs w:val="40"/>
          <w:highlight w:val="none"/>
          <w:lang w:val="en-US" w:eastAsia="zh-CN"/>
          <w14:textFill>
            <w14:solidFill>
              <w14:schemeClr w14:val="tx1"/>
            </w14:solidFill>
          </w14:textFill>
        </w:rPr>
        <w:t>保障</w:t>
      </w:r>
    </w:p>
    <w:p w14:paraId="5641C1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按照符合补助条件的死亡人数和补助资金</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金额上报旗政府并列入下年度预算安排</w:t>
      </w:r>
      <w:r>
        <w:rPr>
          <w:rFonts w:hint="eastAsia" w:ascii="仿宋_GB2312" w:hAnsi="仿宋_GB2312" w:eastAsia="仿宋_GB2312" w:cs="仿宋_GB2312"/>
          <w:color w:val="000000" w:themeColor="text1"/>
          <w:sz w:val="32"/>
          <w:szCs w:val="40"/>
          <w:highlight w:val="none"/>
          <w14:textFill>
            <w14:solidFill>
              <w14:schemeClr w14:val="tx1"/>
            </w14:solidFill>
          </w14:textFill>
        </w:rPr>
        <w:t>。</w:t>
      </w:r>
    </w:p>
    <w:p w14:paraId="1872F1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40"/>
          <w:highlight w:val="none"/>
          <w14:textFill>
            <w14:solidFill>
              <w14:schemeClr w14:val="tx1"/>
            </w14:solidFill>
          </w14:textFill>
        </w:rPr>
      </w:pPr>
      <w:r>
        <w:rPr>
          <w:rFonts w:hint="eastAsia" w:ascii="黑体" w:hAnsi="黑体" w:eastAsia="黑体" w:cs="黑体"/>
          <w:color w:val="000000" w:themeColor="text1"/>
          <w:sz w:val="32"/>
          <w:szCs w:val="40"/>
          <w:highlight w:val="none"/>
          <w:lang w:eastAsia="zh-CN"/>
          <w14:textFill>
            <w14:solidFill>
              <w14:schemeClr w14:val="tx1"/>
            </w14:solidFill>
          </w14:textFill>
        </w:rPr>
        <w:t>五</w:t>
      </w:r>
      <w:r>
        <w:rPr>
          <w:rFonts w:hint="eastAsia" w:ascii="黑体" w:hAnsi="黑体" w:eastAsia="黑体" w:cs="黑体"/>
          <w:color w:val="000000" w:themeColor="text1"/>
          <w:sz w:val="32"/>
          <w:szCs w:val="40"/>
          <w:highlight w:val="none"/>
          <w14:textFill>
            <w14:solidFill>
              <w14:schemeClr w14:val="tx1"/>
            </w14:solidFill>
          </w14:textFill>
        </w:rPr>
        <w:t>、工作要求</w:t>
      </w:r>
    </w:p>
    <w:p w14:paraId="12B6BD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楷体" w:hAnsi="楷体" w:eastAsia="楷体" w:cs="楷体"/>
          <w:color w:val="000000" w:themeColor="text1"/>
          <w:sz w:val="32"/>
          <w:szCs w:val="40"/>
          <w:highlight w:val="none"/>
          <w14:textFill>
            <w14:solidFill>
              <w14:schemeClr w14:val="tx1"/>
            </w14:solidFill>
          </w14:textFill>
        </w:rPr>
        <w:t>（一）提高思想认识。</w:t>
      </w:r>
      <w:r>
        <w:rPr>
          <w:rFonts w:hint="eastAsia" w:ascii="仿宋_GB2312" w:hAnsi="仿宋_GB2312" w:eastAsia="仿宋_GB2312" w:cs="仿宋_GB2312"/>
          <w:color w:val="000000" w:themeColor="text1"/>
          <w:sz w:val="32"/>
          <w:szCs w:val="40"/>
          <w:highlight w:val="none"/>
          <w14:textFill>
            <w14:solidFill>
              <w14:schemeClr w14:val="tx1"/>
            </w14:solidFill>
          </w14:textFill>
        </w:rPr>
        <w:t>实施惠民殡葬政策是旗委、旗政府保障和改善民生的重要举措，民政、财政、人社、公安、退役军人事务等部门要密切配合，精心组织，抓好落实。</w:t>
      </w:r>
    </w:p>
    <w:p w14:paraId="71686B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楷体" w:hAnsi="楷体" w:eastAsia="楷体" w:cs="楷体"/>
          <w:color w:val="000000" w:themeColor="text1"/>
          <w:sz w:val="32"/>
          <w:szCs w:val="40"/>
          <w:highlight w:val="none"/>
          <w14:textFill>
            <w14:solidFill>
              <w14:schemeClr w14:val="tx1"/>
            </w14:solidFill>
          </w14:textFill>
        </w:rPr>
        <w:t>（二）明确责任分工。</w:t>
      </w:r>
      <w:r>
        <w:rPr>
          <w:rFonts w:hint="eastAsia" w:ascii="仿宋_GB2312" w:hAnsi="仿宋_GB2312" w:eastAsia="仿宋_GB2312" w:cs="仿宋_GB2312"/>
          <w:color w:val="000000" w:themeColor="text1"/>
          <w:sz w:val="32"/>
          <w:szCs w:val="40"/>
          <w:highlight w:val="none"/>
          <w14:textFill>
            <w14:solidFill>
              <w14:schemeClr w14:val="tx1"/>
            </w14:solidFill>
          </w14:textFill>
        </w:rPr>
        <w:t>民政部门要做好惠民殡葬政策的宣传推广、组织实施和资金使用管理等工作；财政部门要强化资金预算和使用监管，确保资金及时拨付到位；人社部门做好死亡人员领取丧葬补助、抚恤金信息的查询和核实等工作；公安部门核实无名遗体、无人认领遗体等信息查询和核实；退役军人事务部门核实死亡人员是否为现役军人等信息。</w:t>
      </w:r>
    </w:p>
    <w:p w14:paraId="2198D8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楷体" w:hAnsi="楷体" w:eastAsia="楷体" w:cs="楷体"/>
          <w:color w:val="000000" w:themeColor="text1"/>
          <w:sz w:val="32"/>
          <w:szCs w:val="40"/>
          <w:highlight w:val="none"/>
          <w14:textFill>
            <w14:solidFill>
              <w14:schemeClr w14:val="tx1"/>
            </w14:solidFill>
          </w14:textFill>
        </w:rPr>
        <w:t>（三）加强档案管理。</w:t>
      </w:r>
      <w:r>
        <w:rPr>
          <w:rFonts w:hint="eastAsia" w:ascii="仿宋_GB2312" w:hAnsi="仿宋_GB2312" w:eastAsia="仿宋_GB2312" w:cs="仿宋_GB2312"/>
          <w:color w:val="000000" w:themeColor="text1"/>
          <w:sz w:val="32"/>
          <w:szCs w:val="40"/>
          <w:highlight w:val="none"/>
          <w14:textFill>
            <w14:solidFill>
              <w14:schemeClr w14:val="tx1"/>
            </w14:solidFill>
          </w14:textFill>
        </w:rPr>
        <w:t>民政部门要建立健全惠民殡葬档案管理制度，指定专人，分类归档，保证归档资料真实完整、图文清晰。未经逝者直系亲属同意，不得对外公开档案资料内容。</w:t>
      </w:r>
    </w:p>
    <w:p w14:paraId="61DF41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楷体" w:hAnsi="楷体" w:eastAsia="楷体" w:cs="楷体"/>
          <w:color w:val="000000" w:themeColor="text1"/>
          <w:sz w:val="32"/>
          <w:szCs w:val="40"/>
          <w:highlight w:val="none"/>
          <w14:textFill>
            <w14:solidFill>
              <w14:schemeClr w14:val="tx1"/>
            </w14:solidFill>
          </w14:textFill>
        </w:rPr>
        <w:t>（四）强化监督执行。</w:t>
      </w:r>
      <w:r>
        <w:rPr>
          <w:rFonts w:hint="eastAsia" w:ascii="仿宋_GB2312" w:hAnsi="仿宋_GB2312" w:eastAsia="仿宋_GB2312" w:cs="仿宋_GB2312"/>
          <w:color w:val="000000" w:themeColor="text1"/>
          <w:sz w:val="32"/>
          <w:szCs w:val="40"/>
          <w:highlight w:val="none"/>
          <w14:textFill>
            <w14:solidFill>
              <w14:schemeClr w14:val="tx1"/>
            </w14:solidFill>
          </w14:textFill>
        </w:rPr>
        <w:t>民政、财政等部门要按照职责分工对政策执行情况进行监督、检查和指导。对丧事承办人采取虚报、隐瞒、伪造等手段骗取减免（奖励）资金的，由</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相关行政管理部门根据相关规定进行处理</w:t>
      </w:r>
      <w:r>
        <w:rPr>
          <w:rFonts w:hint="eastAsia" w:ascii="仿宋_GB2312" w:hAnsi="仿宋_GB2312" w:eastAsia="仿宋_GB2312" w:cs="仿宋_GB2312"/>
          <w:color w:val="000000" w:themeColor="text1"/>
          <w:sz w:val="32"/>
          <w:szCs w:val="40"/>
          <w:highlight w:val="none"/>
          <w14:textFill>
            <w14:solidFill>
              <w14:schemeClr w14:val="tx1"/>
            </w14:solidFill>
          </w14:textFill>
        </w:rPr>
        <w:t>；对构成犯罪的，依法追究刑事责任。</w:t>
      </w:r>
    </w:p>
    <w:p w14:paraId="63E2FE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40"/>
          <w:highlight w:val="none"/>
          <w14:textFill>
            <w14:solidFill>
              <w14:schemeClr w14:val="tx1"/>
            </w14:solidFill>
          </w14:textFill>
        </w:rPr>
      </w:pPr>
      <w:r>
        <w:rPr>
          <w:rFonts w:hint="eastAsia" w:ascii="黑体" w:hAnsi="黑体" w:eastAsia="黑体" w:cs="黑体"/>
          <w:color w:val="000000" w:themeColor="text1"/>
          <w:sz w:val="32"/>
          <w:szCs w:val="40"/>
          <w:highlight w:val="none"/>
          <w:lang w:eastAsia="zh-CN"/>
          <w14:textFill>
            <w14:solidFill>
              <w14:schemeClr w14:val="tx1"/>
            </w14:solidFill>
          </w14:textFill>
        </w:rPr>
        <w:t>六</w:t>
      </w:r>
      <w:r>
        <w:rPr>
          <w:rFonts w:hint="eastAsia" w:ascii="黑体" w:hAnsi="黑体" w:eastAsia="黑体" w:cs="黑体"/>
          <w:color w:val="000000" w:themeColor="text1"/>
          <w:sz w:val="32"/>
          <w:szCs w:val="40"/>
          <w:highlight w:val="none"/>
          <w14:textFill>
            <w14:solidFill>
              <w14:schemeClr w14:val="tx1"/>
            </w14:solidFill>
          </w14:textFill>
        </w:rPr>
        <w:t>、附则</w:t>
      </w:r>
    </w:p>
    <w:p w14:paraId="33EBF1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本意见自</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印发之日</w:t>
      </w:r>
      <w:r>
        <w:rPr>
          <w:rFonts w:hint="eastAsia" w:ascii="仿宋_GB2312" w:hAnsi="仿宋_GB2312" w:eastAsia="仿宋_GB2312" w:cs="仿宋_GB2312"/>
          <w:color w:val="000000" w:themeColor="text1"/>
          <w:sz w:val="32"/>
          <w:szCs w:val="40"/>
          <w:highlight w:val="none"/>
          <w14:textFill>
            <w14:solidFill>
              <w14:schemeClr w14:val="tx1"/>
            </w14:solidFill>
          </w14:textFill>
        </w:rPr>
        <w:t>起施行，</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有效期5年，</w:t>
      </w:r>
      <w:r>
        <w:rPr>
          <w:rFonts w:hint="eastAsia" w:ascii="仿宋_GB2312" w:hAnsi="仿宋_GB2312" w:eastAsia="仿宋_GB2312" w:cs="仿宋_GB2312"/>
          <w:color w:val="000000" w:themeColor="text1"/>
          <w:sz w:val="32"/>
          <w:szCs w:val="40"/>
          <w:highlight w:val="none"/>
          <w14:textFill>
            <w14:solidFill>
              <w14:schemeClr w14:val="tx1"/>
            </w14:solidFill>
          </w14:textFill>
        </w:rPr>
        <w:t>由</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伊金霍洛</w:t>
      </w:r>
      <w:r>
        <w:rPr>
          <w:rFonts w:hint="eastAsia" w:ascii="仿宋_GB2312" w:hAnsi="仿宋_GB2312" w:eastAsia="仿宋_GB2312" w:cs="仿宋_GB2312"/>
          <w:color w:val="000000" w:themeColor="text1"/>
          <w:sz w:val="32"/>
          <w:szCs w:val="40"/>
          <w:highlight w:val="none"/>
          <w14:textFill>
            <w14:solidFill>
              <w14:schemeClr w14:val="tx1"/>
            </w14:solidFill>
          </w14:textFill>
        </w:rPr>
        <w:t>旗</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人民政府</w:t>
      </w:r>
      <w:r>
        <w:rPr>
          <w:rFonts w:hint="eastAsia" w:ascii="仿宋_GB2312" w:hAnsi="仿宋_GB2312" w:eastAsia="仿宋_GB2312" w:cs="仿宋_GB2312"/>
          <w:color w:val="000000" w:themeColor="text1"/>
          <w:sz w:val="32"/>
          <w:szCs w:val="40"/>
          <w:highlight w:val="none"/>
          <w14:textFill>
            <w14:solidFill>
              <w14:schemeClr w14:val="tx1"/>
            </w14:solidFill>
          </w14:textFill>
        </w:rPr>
        <w:t>负责解释。</w:t>
      </w:r>
    </w:p>
    <w:p w14:paraId="3FC7E8C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p>
    <w:p w14:paraId="2C572E5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附件：1.伊金霍洛旗基本殡葬服务费用</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申请</w:t>
      </w:r>
      <w:r>
        <w:rPr>
          <w:rFonts w:hint="eastAsia" w:ascii="仿宋_GB2312" w:hAnsi="仿宋_GB2312" w:eastAsia="仿宋_GB2312" w:cs="仿宋_GB2312"/>
          <w:color w:val="000000" w:themeColor="text1"/>
          <w:sz w:val="32"/>
          <w:szCs w:val="40"/>
          <w:highlight w:val="none"/>
          <w14:textFill>
            <w14:solidFill>
              <w14:schemeClr w14:val="tx1"/>
            </w14:solidFill>
          </w14:textFill>
        </w:rPr>
        <w:t>表</w:t>
      </w:r>
    </w:p>
    <w:p w14:paraId="72321892">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40"/>
          <w:highlight w:val="none"/>
          <w14:textFill>
            <w14:solidFill>
              <w14:schemeClr w14:val="tx1"/>
            </w14:solidFill>
          </w14:textFill>
        </w:rPr>
        <w:t>伊金霍洛旗生态节地安葬费用</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申请</w:t>
      </w:r>
      <w:r>
        <w:rPr>
          <w:rFonts w:hint="eastAsia" w:ascii="仿宋_GB2312" w:hAnsi="仿宋_GB2312" w:eastAsia="仿宋_GB2312" w:cs="仿宋_GB2312"/>
          <w:color w:val="000000" w:themeColor="text1"/>
          <w:sz w:val="32"/>
          <w:szCs w:val="40"/>
          <w:highlight w:val="none"/>
          <w14:textFill>
            <w14:solidFill>
              <w14:schemeClr w14:val="tx1"/>
            </w14:solidFill>
          </w14:textFill>
        </w:rPr>
        <w:t>表</w:t>
      </w:r>
    </w:p>
    <w:p w14:paraId="1A26E44F">
      <w:pPr>
        <w:widowControl w:val="0"/>
        <w:numPr>
          <w:ilvl w:val="0"/>
          <w:numId w:val="0"/>
        </w:numPr>
        <w:jc w:val="both"/>
        <w:rPr>
          <w:rFonts w:hint="eastAsia" w:ascii="仿宋_GB2312" w:hAnsi="仿宋_GB2312" w:eastAsia="仿宋_GB2312" w:cs="仿宋_GB2312"/>
          <w:color w:val="000000" w:themeColor="text1"/>
          <w:sz w:val="32"/>
          <w:szCs w:val="40"/>
          <w:highlight w:val="none"/>
          <w14:textFill>
            <w14:solidFill>
              <w14:schemeClr w14:val="tx1"/>
            </w14:solidFill>
          </w14:textFill>
        </w:rPr>
      </w:pPr>
    </w:p>
    <w:p w14:paraId="4C07F881">
      <w:pPr>
        <w:widowControl w:val="0"/>
        <w:numPr>
          <w:ilvl w:val="0"/>
          <w:numId w:val="0"/>
        </w:numPr>
        <w:jc w:val="both"/>
        <w:rPr>
          <w:rFonts w:hint="default"/>
          <w:lang w:val="en-US" w:eastAsia="zh-CN"/>
        </w:rPr>
      </w:pPr>
    </w:p>
    <w:p w14:paraId="71A2F4AD">
      <w:pPr>
        <w:widowControl w:val="0"/>
        <w:numPr>
          <w:ilvl w:val="0"/>
          <w:numId w:val="0"/>
        </w:numPr>
        <w:jc w:val="both"/>
        <w:rPr>
          <w:rFonts w:hint="eastAsia" w:ascii="仿宋_GB2312" w:hAnsi="仿宋_GB2312" w:eastAsia="仿宋_GB2312" w:cs="仿宋_GB2312"/>
          <w:color w:val="000000" w:themeColor="text1"/>
          <w:sz w:val="32"/>
          <w:szCs w:val="40"/>
          <w:highlight w:val="none"/>
          <w14:textFill>
            <w14:solidFill>
              <w14:schemeClr w14:val="tx1"/>
            </w14:solidFill>
          </w14:textFill>
        </w:rPr>
      </w:pPr>
    </w:p>
    <w:p w14:paraId="480F5DD1">
      <w:pPr>
        <w:widowControl w:val="0"/>
        <w:numPr>
          <w:ilvl w:val="0"/>
          <w:numId w:val="0"/>
        </w:numPr>
        <w:jc w:val="both"/>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drawing>
          <wp:inline distT="0" distB="0" distL="114300" distR="114300">
            <wp:extent cx="5219700" cy="7296150"/>
            <wp:effectExtent l="0" t="0" r="0" b="0"/>
            <wp:docPr id="2" name="图片 2" descr="174260410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42604109712"/>
                    <pic:cNvPicPr>
                      <a:picLocks noChangeAspect="1"/>
                    </pic:cNvPicPr>
                  </pic:nvPicPr>
                  <pic:blipFill>
                    <a:blip r:embed="rId5"/>
                    <a:stretch>
                      <a:fillRect/>
                    </a:stretch>
                  </pic:blipFill>
                  <pic:spPr>
                    <a:xfrm>
                      <a:off x="0" y="0"/>
                      <a:ext cx="5219700" cy="7296150"/>
                    </a:xfrm>
                    <a:prstGeom prst="rect">
                      <a:avLst/>
                    </a:prstGeom>
                  </pic:spPr>
                </pic:pic>
              </a:graphicData>
            </a:graphic>
          </wp:inline>
        </w:drawing>
      </w:r>
    </w:p>
    <w:p w14:paraId="5B438508">
      <w:pPr>
        <w:widowControl w:val="0"/>
        <w:numPr>
          <w:ilvl w:val="0"/>
          <w:numId w:val="0"/>
        </w:numPr>
        <w:jc w:val="both"/>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p>
    <w:p w14:paraId="15B3D68A">
      <w:pPr>
        <w:widowControl w:val="0"/>
        <w:numPr>
          <w:ilvl w:val="0"/>
          <w:numId w:val="0"/>
        </w:numPr>
        <w:jc w:val="both"/>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p>
    <w:p w14:paraId="6B31FDAA">
      <w:pPr>
        <w:widowControl w:val="0"/>
        <w:numPr>
          <w:ilvl w:val="0"/>
          <w:numId w:val="0"/>
        </w:numPr>
        <w:jc w:val="both"/>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drawing>
          <wp:inline distT="0" distB="0" distL="114300" distR="114300">
            <wp:extent cx="5219700" cy="7143750"/>
            <wp:effectExtent l="0" t="0" r="0" b="0"/>
            <wp:docPr id="4" name="图片 4" descr="174260421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42604211850"/>
                    <pic:cNvPicPr>
                      <a:picLocks noChangeAspect="1"/>
                    </pic:cNvPicPr>
                  </pic:nvPicPr>
                  <pic:blipFill>
                    <a:blip r:embed="rId6"/>
                    <a:stretch>
                      <a:fillRect/>
                    </a:stretch>
                  </pic:blipFill>
                  <pic:spPr>
                    <a:xfrm>
                      <a:off x="0" y="0"/>
                      <a:ext cx="5219700" cy="7143750"/>
                    </a:xfrm>
                    <a:prstGeom prst="rect">
                      <a:avLst/>
                    </a:prstGeom>
                  </pic:spPr>
                </pic:pic>
              </a:graphicData>
            </a:graphic>
          </wp:inline>
        </w:drawing>
      </w:r>
    </w:p>
    <w:p w14:paraId="6DAA283E">
      <w:pPr>
        <w:rPr>
          <w:rFonts w:hint="eastAsia" w:ascii="仿宋_GB2312" w:hAnsi="仿宋_GB2312" w:eastAsia="仿宋_GB2312" w:cs="仿宋_GB2312"/>
          <w:color w:val="000000" w:themeColor="text1"/>
          <w:sz w:val="32"/>
          <w:szCs w:val="40"/>
          <w:highlight w:val="none"/>
          <w14:textFill>
            <w14:solidFill>
              <w14:schemeClr w14:val="tx1"/>
            </w14:solidFill>
          </w14:textFill>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40AF85-7DAC-4DDD-9BD8-B4C493DB71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4A45C98-DB10-4FAB-BF75-2BC442CFB92C}"/>
  </w:font>
  <w:font w:name="仿宋_GB2312">
    <w:panose1 w:val="02010609030101010101"/>
    <w:charset w:val="86"/>
    <w:family w:val="auto"/>
    <w:pitch w:val="default"/>
    <w:sig w:usb0="00000001" w:usb1="080E0000" w:usb2="00000000" w:usb3="00000000" w:csb0="00040000" w:csb1="00000000"/>
    <w:embedRegular r:id="rId3" w:fontKey="{AF765FE8-CFC3-4629-9FEE-669549086BFA}"/>
  </w:font>
  <w:font w:name="方正小标宋简体">
    <w:panose1 w:val="02000000000000000000"/>
    <w:charset w:val="86"/>
    <w:family w:val="auto"/>
    <w:pitch w:val="default"/>
    <w:sig w:usb0="00000001" w:usb1="080E0000" w:usb2="00000000" w:usb3="00000000" w:csb0="00040000" w:csb1="00000000"/>
    <w:embedRegular r:id="rId4" w:fontKey="{4DCC47CE-C69E-43DC-8A7D-C64B3503D99A}"/>
  </w:font>
  <w:font w:name="楷体">
    <w:panose1 w:val="02010609060101010101"/>
    <w:charset w:val="86"/>
    <w:family w:val="auto"/>
    <w:pitch w:val="default"/>
    <w:sig w:usb0="800002BF" w:usb1="38CF7CFA" w:usb2="00000016" w:usb3="00000000" w:csb0="00040001" w:csb1="00000000"/>
    <w:embedRegular r:id="rId5" w:fontKey="{1F2386AC-8CB8-4C0C-B884-CF9BE02874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0BE9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CAD50">
                          <w:pPr>
                            <w:pStyle w:val="4"/>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1CAD50">
                    <w:pPr>
                      <w:pStyle w:val="4"/>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AC3051"/>
    <w:rsid w:val="0132390B"/>
    <w:rsid w:val="01457570"/>
    <w:rsid w:val="01C81F50"/>
    <w:rsid w:val="02160F0D"/>
    <w:rsid w:val="0324162C"/>
    <w:rsid w:val="03D33559"/>
    <w:rsid w:val="04846602"/>
    <w:rsid w:val="05E355AA"/>
    <w:rsid w:val="066A346D"/>
    <w:rsid w:val="06D67B90"/>
    <w:rsid w:val="07043A2A"/>
    <w:rsid w:val="071A291B"/>
    <w:rsid w:val="077E79A3"/>
    <w:rsid w:val="07A35563"/>
    <w:rsid w:val="07BF4EA6"/>
    <w:rsid w:val="07D34FAC"/>
    <w:rsid w:val="08FC0E5C"/>
    <w:rsid w:val="091F16FC"/>
    <w:rsid w:val="092108C3"/>
    <w:rsid w:val="092D54BA"/>
    <w:rsid w:val="09A339CE"/>
    <w:rsid w:val="0B1F63F1"/>
    <w:rsid w:val="0DD34156"/>
    <w:rsid w:val="0DFF319D"/>
    <w:rsid w:val="0E2A0E6E"/>
    <w:rsid w:val="0F642218"/>
    <w:rsid w:val="0FFFB2BC"/>
    <w:rsid w:val="11847C41"/>
    <w:rsid w:val="11D72467"/>
    <w:rsid w:val="131D036D"/>
    <w:rsid w:val="14887A48"/>
    <w:rsid w:val="15311E8E"/>
    <w:rsid w:val="15326898"/>
    <w:rsid w:val="176A0B3E"/>
    <w:rsid w:val="17B86896"/>
    <w:rsid w:val="17D56E8B"/>
    <w:rsid w:val="18562F63"/>
    <w:rsid w:val="18575DED"/>
    <w:rsid w:val="18736C61"/>
    <w:rsid w:val="1974578B"/>
    <w:rsid w:val="19AC3051"/>
    <w:rsid w:val="19B00713"/>
    <w:rsid w:val="1A3F504D"/>
    <w:rsid w:val="1A410BC4"/>
    <w:rsid w:val="1AAC4477"/>
    <w:rsid w:val="1C493F61"/>
    <w:rsid w:val="1C597F1C"/>
    <w:rsid w:val="1D8D798E"/>
    <w:rsid w:val="1DB72D4D"/>
    <w:rsid w:val="1DEC2CAE"/>
    <w:rsid w:val="1DF351EC"/>
    <w:rsid w:val="1EA9759F"/>
    <w:rsid w:val="1F260691"/>
    <w:rsid w:val="1FE31481"/>
    <w:rsid w:val="200A3A07"/>
    <w:rsid w:val="2288065E"/>
    <w:rsid w:val="238B090A"/>
    <w:rsid w:val="25D845A8"/>
    <w:rsid w:val="265A320F"/>
    <w:rsid w:val="26C32B62"/>
    <w:rsid w:val="26DB434F"/>
    <w:rsid w:val="26DF5ED5"/>
    <w:rsid w:val="27CE26C1"/>
    <w:rsid w:val="2B0B4AD7"/>
    <w:rsid w:val="2B8F5708"/>
    <w:rsid w:val="2BDD2078"/>
    <w:rsid w:val="2C085F21"/>
    <w:rsid w:val="2CFA4E04"/>
    <w:rsid w:val="30B03263"/>
    <w:rsid w:val="30B4688F"/>
    <w:rsid w:val="30B874AF"/>
    <w:rsid w:val="30FA1876"/>
    <w:rsid w:val="31132938"/>
    <w:rsid w:val="31B07E5E"/>
    <w:rsid w:val="323B2E83"/>
    <w:rsid w:val="333A0650"/>
    <w:rsid w:val="3381002D"/>
    <w:rsid w:val="33C5616B"/>
    <w:rsid w:val="34D775AE"/>
    <w:rsid w:val="34EB1841"/>
    <w:rsid w:val="35586B6B"/>
    <w:rsid w:val="36494A6A"/>
    <w:rsid w:val="384168B8"/>
    <w:rsid w:val="384A30E3"/>
    <w:rsid w:val="388C0C94"/>
    <w:rsid w:val="394B0965"/>
    <w:rsid w:val="39513FFD"/>
    <w:rsid w:val="39EF7F69"/>
    <w:rsid w:val="3A886145"/>
    <w:rsid w:val="3B9F3746"/>
    <w:rsid w:val="3D7E57B5"/>
    <w:rsid w:val="3E4046DD"/>
    <w:rsid w:val="3F4168C2"/>
    <w:rsid w:val="3FA7862A"/>
    <w:rsid w:val="40414F3F"/>
    <w:rsid w:val="40BE466E"/>
    <w:rsid w:val="42884F34"/>
    <w:rsid w:val="42B86E9B"/>
    <w:rsid w:val="43193DDE"/>
    <w:rsid w:val="432033BE"/>
    <w:rsid w:val="43DF6FFD"/>
    <w:rsid w:val="44641381"/>
    <w:rsid w:val="448E723D"/>
    <w:rsid w:val="44AF6126"/>
    <w:rsid w:val="457572C5"/>
    <w:rsid w:val="47DE10B3"/>
    <w:rsid w:val="48224D3E"/>
    <w:rsid w:val="49543DC1"/>
    <w:rsid w:val="4A6E1C46"/>
    <w:rsid w:val="4AAB17DF"/>
    <w:rsid w:val="4B5F25AA"/>
    <w:rsid w:val="4DCF14C5"/>
    <w:rsid w:val="4E000BF9"/>
    <w:rsid w:val="4F110FA8"/>
    <w:rsid w:val="4F3A59C0"/>
    <w:rsid w:val="50E57B4F"/>
    <w:rsid w:val="51EB4B97"/>
    <w:rsid w:val="52505342"/>
    <w:rsid w:val="52F932E4"/>
    <w:rsid w:val="53147E39"/>
    <w:rsid w:val="53AE40CE"/>
    <w:rsid w:val="53E2021C"/>
    <w:rsid w:val="547277F2"/>
    <w:rsid w:val="54B971CF"/>
    <w:rsid w:val="554A20BC"/>
    <w:rsid w:val="554C0A69"/>
    <w:rsid w:val="558B7073"/>
    <w:rsid w:val="55FA184D"/>
    <w:rsid w:val="562D54A7"/>
    <w:rsid w:val="565C2507"/>
    <w:rsid w:val="5664338A"/>
    <w:rsid w:val="567333AD"/>
    <w:rsid w:val="573963A5"/>
    <w:rsid w:val="578515EA"/>
    <w:rsid w:val="57A024FB"/>
    <w:rsid w:val="594F3C5E"/>
    <w:rsid w:val="596620B4"/>
    <w:rsid w:val="5A592172"/>
    <w:rsid w:val="5A755946"/>
    <w:rsid w:val="5B2B470A"/>
    <w:rsid w:val="5C8E2C3B"/>
    <w:rsid w:val="5CA57332"/>
    <w:rsid w:val="5CC5085F"/>
    <w:rsid w:val="5CC6692D"/>
    <w:rsid w:val="5D1905F0"/>
    <w:rsid w:val="5E1E00A2"/>
    <w:rsid w:val="5E2845E1"/>
    <w:rsid w:val="5E4A70E9"/>
    <w:rsid w:val="5EC501AE"/>
    <w:rsid w:val="61354081"/>
    <w:rsid w:val="61446072"/>
    <w:rsid w:val="623E7861"/>
    <w:rsid w:val="63071A4D"/>
    <w:rsid w:val="63181564"/>
    <w:rsid w:val="631F0B45"/>
    <w:rsid w:val="63957059"/>
    <w:rsid w:val="644546CE"/>
    <w:rsid w:val="646D58E0"/>
    <w:rsid w:val="65C71020"/>
    <w:rsid w:val="65D379C4"/>
    <w:rsid w:val="66730E32"/>
    <w:rsid w:val="67BDF176"/>
    <w:rsid w:val="68182006"/>
    <w:rsid w:val="689A0C6D"/>
    <w:rsid w:val="6AC63F9C"/>
    <w:rsid w:val="6B8E2D0B"/>
    <w:rsid w:val="6B96571C"/>
    <w:rsid w:val="6BEFFF95"/>
    <w:rsid w:val="6BF7D28A"/>
    <w:rsid w:val="6C315445"/>
    <w:rsid w:val="6C852D57"/>
    <w:rsid w:val="6CEE31AB"/>
    <w:rsid w:val="6D981C1F"/>
    <w:rsid w:val="6DA02882"/>
    <w:rsid w:val="6DDF784E"/>
    <w:rsid w:val="70430726"/>
    <w:rsid w:val="723B0DCB"/>
    <w:rsid w:val="727147ED"/>
    <w:rsid w:val="731E2BC7"/>
    <w:rsid w:val="735A7A09"/>
    <w:rsid w:val="74130252"/>
    <w:rsid w:val="74237D69"/>
    <w:rsid w:val="742C30C1"/>
    <w:rsid w:val="756E770A"/>
    <w:rsid w:val="75F3612E"/>
    <w:rsid w:val="75F55735"/>
    <w:rsid w:val="76B70D7E"/>
    <w:rsid w:val="77493F8A"/>
    <w:rsid w:val="778941E3"/>
    <w:rsid w:val="7815719B"/>
    <w:rsid w:val="782D2B2A"/>
    <w:rsid w:val="793B3DA7"/>
    <w:rsid w:val="7953020F"/>
    <w:rsid w:val="7A0D74F1"/>
    <w:rsid w:val="7A7D43B5"/>
    <w:rsid w:val="7AEA338E"/>
    <w:rsid w:val="7C920181"/>
    <w:rsid w:val="7C9243AA"/>
    <w:rsid w:val="7CAFF204"/>
    <w:rsid w:val="7DEC38C1"/>
    <w:rsid w:val="7DFF610B"/>
    <w:rsid w:val="7E8104AE"/>
    <w:rsid w:val="7EF0118F"/>
    <w:rsid w:val="7F6C4CBA"/>
    <w:rsid w:val="7F74591C"/>
    <w:rsid w:val="7FCA420B"/>
    <w:rsid w:val="7FEF69C7"/>
    <w:rsid w:val="7FFFE791"/>
    <w:rsid w:val="CB26E279"/>
    <w:rsid w:val="CDFFB5A1"/>
    <w:rsid w:val="DCDFC529"/>
    <w:rsid w:val="E3DF9815"/>
    <w:rsid w:val="FD77DC9A"/>
    <w:rsid w:val="FF79DE85"/>
    <w:rsid w:val="FFEE3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Calibri" w:hAnsi="Calibri" w:eastAsia="仿宋_GB2312" w:cs="Times New Roman"/>
      <w:sz w:val="32"/>
    </w:rPr>
  </w:style>
  <w:style w:type="paragraph" w:styleId="3">
    <w:name w:val="toc 2"/>
    <w:basedOn w:val="1"/>
    <w:next w:val="1"/>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2344</Words>
  <Characters>2400</Characters>
  <Lines>0</Lines>
  <Paragraphs>0</Paragraphs>
  <TotalTime>3</TotalTime>
  <ScaleCrop>false</ScaleCrop>
  <LinksUpToDate>false</LinksUpToDate>
  <CharactersWithSpaces>2400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2025-01-06T01:13:00Z</dcterms:created>
  <dc:creator>Administrator</dc:creator>
  <cp:lastModifiedBy>二三、</cp:lastModifiedBy>
  <cp:lastPrinted>2025-07-07T00:46:00Z</cp:lastPrinted>
  <dcterms:modified xsi:type="dcterms:W3CDTF">2025-07-18T01:16:51Z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E1B42358C9934C3C9B854F5B0DA85310_13</vt:lpwstr>
  </property>
  <property fmtid="{D5CDD505-2E9C-101B-9397-08002B2CF9AE}" pid="4" name="KSOTemplateDocerSaveRecord">
    <vt:lpwstr>eyJoZGlkIjoiNTMwNGE5ZDAzMDExOGRiY2JkOWY2MzlkYjM4NDk5MzciLCJ1c2VySWQiOiIxMTA0MDMxNzczIn0=</vt:lpwstr>
  </property>
</Properties>
</file>