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黑体" w:cs="Times New Roman"/>
          <w:color w:val="auto"/>
          <w:sz w:val="56"/>
        </w:rPr>
      </w:pPr>
    </w:p>
    <w:p>
      <w:pPr>
        <w:jc w:val="center"/>
        <w:rPr>
          <w:rFonts w:ascii="Times New Roman" w:hAnsi="Times New Roman" w:eastAsia="黑体" w:cs="Times New Roman"/>
          <w:color w:val="auto"/>
          <w:sz w:val="56"/>
        </w:rPr>
      </w:pPr>
    </w:p>
    <w:p>
      <w:pPr>
        <w:rPr>
          <w:rFonts w:ascii="Times New Roman" w:hAnsi="Times New Roman" w:eastAsia="黑体" w:cs="Times New Roman"/>
          <w:color w:val="auto"/>
          <w:sz w:val="56"/>
        </w:rPr>
      </w:pPr>
    </w:p>
    <w:p>
      <w:pPr>
        <w:jc w:val="center"/>
        <w:rPr>
          <w:rFonts w:ascii="Times New Roman" w:hAnsi="Times New Roman" w:eastAsia="黑体" w:cs="Times New Roman"/>
          <w:color w:val="auto"/>
          <w:sz w:val="56"/>
        </w:rPr>
      </w:pPr>
      <w:r>
        <w:rPr>
          <w:rFonts w:hint="eastAsia" w:ascii="Times New Roman" w:hAnsi="Times New Roman" w:eastAsia="黑体" w:cs="Times New Roman"/>
          <w:color w:val="auto"/>
          <w:sz w:val="56"/>
        </w:rPr>
        <w:t>伊金霍洛旗文化和旅游</w:t>
      </w:r>
    </w:p>
    <w:p>
      <w:pPr>
        <w:jc w:val="center"/>
        <w:rPr>
          <w:rFonts w:ascii="Times New Roman" w:hAnsi="Times New Roman" w:eastAsia="黑体" w:cs="Times New Roman"/>
          <w:color w:val="auto"/>
          <w:sz w:val="56"/>
        </w:rPr>
      </w:pPr>
      <w:r>
        <w:rPr>
          <w:rFonts w:hint="eastAsia" w:ascii="Times New Roman" w:hAnsi="Times New Roman" w:eastAsia="黑体" w:cs="Times New Roman"/>
          <w:color w:val="auto"/>
          <w:sz w:val="56"/>
        </w:rPr>
        <w:t>十四五规划</w:t>
      </w:r>
    </w:p>
    <w:p>
      <w:pPr>
        <w:ind w:firstLine="880"/>
        <w:jc w:val="center"/>
        <w:rPr>
          <w:rFonts w:ascii="Times New Roman" w:hAnsi="Times New Roman" w:eastAsia="黑体" w:cs="Times New Roman"/>
          <w:color w:val="auto"/>
          <w:sz w:val="44"/>
        </w:rPr>
      </w:pPr>
    </w:p>
    <w:p>
      <w:pPr>
        <w:adjustRightInd w:val="0"/>
        <w:snapToGrid w:val="0"/>
        <w:rPr>
          <w:rFonts w:ascii="Times New Roman" w:hAnsi="Times New Roman" w:eastAsia="黑体" w:cs="Times New Roman"/>
          <w:b/>
          <w:color w:val="auto"/>
          <w:sz w:val="40"/>
        </w:rPr>
      </w:pPr>
    </w:p>
    <w:p>
      <w:pPr>
        <w:adjustRightInd w:val="0"/>
        <w:snapToGrid w:val="0"/>
        <w:ind w:firstLine="803"/>
        <w:jc w:val="center"/>
        <w:rPr>
          <w:rFonts w:ascii="Times New Roman" w:hAnsi="Times New Roman" w:eastAsia="黑体" w:cs="Times New Roman"/>
          <w:b/>
          <w:color w:val="auto"/>
          <w:sz w:val="40"/>
        </w:rPr>
      </w:pPr>
    </w:p>
    <w:p>
      <w:pPr>
        <w:adjustRightInd w:val="0"/>
        <w:snapToGrid w:val="0"/>
        <w:ind w:firstLine="803"/>
        <w:jc w:val="center"/>
        <w:rPr>
          <w:rFonts w:ascii="Times New Roman" w:hAnsi="Times New Roman" w:eastAsia="黑体" w:cs="Times New Roman"/>
          <w:b/>
          <w:color w:val="auto"/>
          <w:sz w:val="40"/>
        </w:rPr>
      </w:pPr>
    </w:p>
    <w:p>
      <w:pPr>
        <w:adjustRightInd w:val="0"/>
        <w:snapToGrid w:val="0"/>
        <w:ind w:firstLine="803"/>
        <w:jc w:val="center"/>
        <w:rPr>
          <w:rFonts w:ascii="Times New Roman" w:hAnsi="Times New Roman" w:eastAsia="黑体" w:cs="Times New Roman"/>
          <w:b/>
          <w:color w:val="auto"/>
          <w:sz w:val="40"/>
        </w:rPr>
      </w:pPr>
    </w:p>
    <w:p>
      <w:pPr>
        <w:adjustRightInd w:val="0"/>
        <w:snapToGrid w:val="0"/>
        <w:ind w:firstLine="803"/>
        <w:jc w:val="center"/>
        <w:rPr>
          <w:rFonts w:hint="eastAsia" w:ascii="Times New Roman" w:hAnsi="Times New Roman" w:eastAsia="黑体" w:cs="Times New Roman"/>
          <w:b/>
          <w:color w:val="auto"/>
          <w:sz w:val="40"/>
          <w:lang w:eastAsia="zh-CN"/>
        </w:rPr>
      </w:pPr>
      <w:r>
        <w:rPr>
          <w:rFonts w:hint="eastAsia" w:ascii="Times New Roman" w:hAnsi="Times New Roman" w:eastAsia="黑体" w:cs="Times New Roman"/>
          <w:b/>
          <w:color w:val="auto"/>
          <w:sz w:val="40"/>
          <w:lang w:eastAsia="zh-CN"/>
        </w:rPr>
        <w:t>（征求意见稿）</w:t>
      </w:r>
    </w:p>
    <w:p>
      <w:pPr>
        <w:adjustRightInd w:val="0"/>
        <w:snapToGrid w:val="0"/>
        <w:ind w:firstLine="803"/>
        <w:jc w:val="center"/>
        <w:rPr>
          <w:rFonts w:ascii="Times New Roman" w:hAnsi="Times New Roman" w:eastAsia="黑体" w:cs="Times New Roman"/>
          <w:b/>
          <w:color w:val="auto"/>
          <w:sz w:val="40"/>
        </w:rPr>
      </w:pPr>
    </w:p>
    <w:p>
      <w:pPr>
        <w:jc w:val="center"/>
        <w:rPr>
          <w:rFonts w:ascii="宋体" w:hAnsi="宋体" w:eastAsia="宋体"/>
          <w:sz w:val="32"/>
          <w:szCs w:val="40"/>
        </w:rPr>
      </w:pPr>
    </w:p>
    <w:p>
      <w:pPr>
        <w:jc w:val="center"/>
        <w:rPr>
          <w:rFonts w:ascii="宋体" w:hAnsi="宋体" w:eastAsia="宋体"/>
          <w:sz w:val="32"/>
          <w:szCs w:val="40"/>
        </w:rPr>
      </w:pPr>
    </w:p>
    <w:p>
      <w:pPr>
        <w:jc w:val="center"/>
        <w:rPr>
          <w:rFonts w:ascii="宋体" w:hAnsi="宋体" w:eastAsia="宋体"/>
          <w:sz w:val="32"/>
          <w:szCs w:val="40"/>
        </w:rPr>
      </w:pPr>
    </w:p>
    <w:p>
      <w:pPr>
        <w:jc w:val="center"/>
        <w:rPr>
          <w:rFonts w:ascii="宋体" w:hAnsi="宋体" w:eastAsia="宋体"/>
          <w:sz w:val="32"/>
          <w:szCs w:val="40"/>
        </w:rPr>
      </w:pPr>
    </w:p>
    <w:p>
      <w:pPr>
        <w:jc w:val="center"/>
        <w:rPr>
          <w:rFonts w:ascii="宋体" w:hAnsi="宋体" w:eastAsia="宋体"/>
          <w:sz w:val="32"/>
          <w:szCs w:val="40"/>
        </w:rPr>
      </w:pPr>
    </w:p>
    <w:p>
      <w:pPr>
        <w:jc w:val="center"/>
        <w:rPr>
          <w:rFonts w:ascii="宋体" w:hAnsi="宋体" w:eastAsia="宋体"/>
          <w:sz w:val="32"/>
          <w:szCs w:val="40"/>
        </w:rPr>
      </w:pPr>
    </w:p>
    <w:p>
      <w:pPr>
        <w:jc w:val="center"/>
        <w:rPr>
          <w:rFonts w:ascii="宋体" w:hAnsi="宋体" w:eastAsia="宋体"/>
          <w:sz w:val="32"/>
          <w:szCs w:val="40"/>
        </w:rPr>
      </w:pPr>
    </w:p>
    <w:p>
      <w:pPr>
        <w:jc w:val="center"/>
        <w:rPr>
          <w:rFonts w:ascii="宋体" w:hAnsi="宋体" w:eastAsia="宋体"/>
          <w:sz w:val="32"/>
          <w:szCs w:val="40"/>
        </w:rPr>
      </w:pPr>
    </w:p>
    <w:p>
      <w:pPr>
        <w:jc w:val="both"/>
        <w:rPr>
          <w:rFonts w:ascii="宋体" w:hAnsi="宋体" w:eastAsia="宋体"/>
          <w:sz w:val="32"/>
          <w:szCs w:val="40"/>
        </w:rPr>
      </w:pPr>
    </w:p>
    <w:p>
      <w:pPr>
        <w:jc w:val="center"/>
        <w:rPr>
          <w:sz w:val="32"/>
          <w:szCs w:val="40"/>
        </w:rPr>
      </w:pPr>
      <w:r>
        <w:rPr>
          <w:rFonts w:ascii="宋体" w:hAnsi="宋体" w:eastAsia="宋体"/>
          <w:sz w:val="32"/>
          <w:szCs w:val="40"/>
        </w:rPr>
        <w:t>目录</w:t>
      </w:r>
    </w:p>
    <w:p>
      <w:pPr>
        <w:pStyle w:val="14"/>
        <w:tabs>
          <w:tab w:val="right" w:leader="dot" w:pos="8306"/>
        </w:tabs>
      </w:pPr>
      <w:r>
        <w:fldChar w:fldCharType="begin"/>
      </w:r>
      <w:r>
        <w:instrText xml:space="preserve">TOC \o "1-3" \h \u </w:instrText>
      </w:r>
      <w:r>
        <w:fldChar w:fldCharType="separate"/>
      </w:r>
      <w:r>
        <w:fldChar w:fldCharType="begin"/>
      </w:r>
      <w:r>
        <w:instrText xml:space="preserve"> HYPERLINK \l _Toc30006 </w:instrText>
      </w:r>
      <w:r>
        <w:fldChar w:fldCharType="separate"/>
      </w:r>
      <w:r>
        <w:rPr>
          <w:rFonts w:hint="eastAsia" w:ascii="Times New Roman" w:hAnsi="Times New Roman" w:cs="Times New Roman" w:eastAsiaTheme="minorEastAsia"/>
        </w:rPr>
        <w:t>第一章 继往开来，伊金霍洛旗文化旅游发展成就与挑战</w:t>
      </w:r>
      <w:r>
        <w:tab/>
      </w:r>
      <w:r>
        <w:fldChar w:fldCharType="begin"/>
      </w:r>
      <w:r>
        <w:instrText xml:space="preserve"> PAGEREF _Toc30006 </w:instrText>
      </w:r>
      <w:r>
        <w:fldChar w:fldCharType="separate"/>
      </w:r>
      <w:r>
        <w:t>7</w:t>
      </w:r>
      <w:r>
        <w:fldChar w:fldCharType="end"/>
      </w:r>
      <w:r>
        <w:fldChar w:fldCharType="end"/>
      </w:r>
    </w:p>
    <w:p>
      <w:pPr>
        <w:pStyle w:val="15"/>
        <w:tabs>
          <w:tab w:val="right" w:leader="dot" w:pos="8306"/>
        </w:tabs>
      </w:pPr>
      <w:r>
        <w:fldChar w:fldCharType="begin"/>
      </w:r>
      <w:r>
        <w:instrText xml:space="preserve"> HYPERLINK \l _Toc28529 </w:instrText>
      </w:r>
      <w:r>
        <w:fldChar w:fldCharType="separate"/>
      </w:r>
      <w:r>
        <w:rPr>
          <w:rFonts w:hint="eastAsia" w:ascii="Times New Roman" w:hAnsi="Times New Roman" w:cs="Times New Roman"/>
        </w:rPr>
        <w:t>一、“十三五”文化旅游发展成就</w:t>
      </w:r>
      <w:r>
        <w:tab/>
      </w:r>
      <w:r>
        <w:fldChar w:fldCharType="begin"/>
      </w:r>
      <w:r>
        <w:instrText xml:space="preserve"> PAGEREF _Toc28529 </w:instrText>
      </w:r>
      <w:r>
        <w:fldChar w:fldCharType="separate"/>
      </w:r>
      <w:r>
        <w:t>7</w:t>
      </w:r>
      <w:r>
        <w:fldChar w:fldCharType="end"/>
      </w:r>
      <w:r>
        <w:fldChar w:fldCharType="end"/>
      </w:r>
    </w:p>
    <w:p>
      <w:pPr>
        <w:pStyle w:val="10"/>
        <w:tabs>
          <w:tab w:val="right" w:leader="dot" w:pos="8306"/>
        </w:tabs>
      </w:pPr>
      <w:r>
        <w:fldChar w:fldCharType="begin"/>
      </w:r>
      <w:r>
        <w:instrText xml:space="preserve"> HYPERLINK \l _Toc14382 </w:instrText>
      </w:r>
      <w:r>
        <w:fldChar w:fldCharType="separate"/>
      </w:r>
      <w:r>
        <w:rPr>
          <w:rFonts w:hint="eastAsia" w:ascii="Times New Roman" w:hAnsi="Times New Roman" w:cs="Times New Roman"/>
        </w:rPr>
        <w:t>（一）文化和旅游产业蓬勃发展</w:t>
      </w:r>
      <w:r>
        <w:tab/>
      </w:r>
      <w:r>
        <w:fldChar w:fldCharType="begin"/>
      </w:r>
      <w:r>
        <w:instrText xml:space="preserve"> PAGEREF _Toc14382 </w:instrText>
      </w:r>
      <w:r>
        <w:fldChar w:fldCharType="separate"/>
      </w:r>
      <w:r>
        <w:t>7</w:t>
      </w:r>
      <w:r>
        <w:fldChar w:fldCharType="end"/>
      </w:r>
      <w:r>
        <w:fldChar w:fldCharType="end"/>
      </w:r>
    </w:p>
    <w:p>
      <w:pPr>
        <w:pStyle w:val="10"/>
        <w:tabs>
          <w:tab w:val="right" w:leader="dot" w:pos="8306"/>
        </w:tabs>
      </w:pPr>
      <w:r>
        <w:fldChar w:fldCharType="begin"/>
      </w:r>
      <w:r>
        <w:instrText xml:space="preserve"> HYPERLINK \l _Toc3866 </w:instrText>
      </w:r>
      <w:r>
        <w:fldChar w:fldCharType="separate"/>
      </w:r>
      <w:r>
        <w:rPr>
          <w:rFonts w:hint="eastAsia" w:ascii="Times New Roman" w:hAnsi="Times New Roman" w:cs="Times New Roman"/>
        </w:rPr>
        <w:t>（二）公共文化服务能力日渐加强</w:t>
      </w:r>
      <w:r>
        <w:tab/>
      </w:r>
      <w:r>
        <w:fldChar w:fldCharType="begin"/>
      </w:r>
      <w:r>
        <w:instrText xml:space="preserve"> PAGEREF _Toc3866 </w:instrText>
      </w:r>
      <w:r>
        <w:fldChar w:fldCharType="separate"/>
      </w:r>
      <w:r>
        <w:t>9</w:t>
      </w:r>
      <w:r>
        <w:fldChar w:fldCharType="end"/>
      </w:r>
      <w:r>
        <w:fldChar w:fldCharType="end"/>
      </w:r>
    </w:p>
    <w:p>
      <w:pPr>
        <w:pStyle w:val="10"/>
        <w:tabs>
          <w:tab w:val="right" w:leader="dot" w:pos="8306"/>
        </w:tabs>
      </w:pPr>
      <w:r>
        <w:fldChar w:fldCharType="begin"/>
      </w:r>
      <w:r>
        <w:instrText xml:space="preserve"> HYPERLINK \l _Toc12445 </w:instrText>
      </w:r>
      <w:r>
        <w:fldChar w:fldCharType="separate"/>
      </w:r>
      <w:r>
        <w:rPr>
          <w:rFonts w:hint="eastAsia" w:ascii="Times New Roman" w:hAnsi="Times New Roman" w:cs="Times New Roman"/>
        </w:rPr>
        <w:t>（三）文艺创作和精品项目成果丰硕</w:t>
      </w:r>
      <w:r>
        <w:tab/>
      </w:r>
      <w:r>
        <w:fldChar w:fldCharType="begin"/>
      </w:r>
      <w:r>
        <w:instrText xml:space="preserve"> PAGEREF _Toc12445 </w:instrText>
      </w:r>
      <w:r>
        <w:fldChar w:fldCharType="separate"/>
      </w:r>
      <w:r>
        <w:t>9</w:t>
      </w:r>
      <w:r>
        <w:fldChar w:fldCharType="end"/>
      </w:r>
      <w:r>
        <w:fldChar w:fldCharType="end"/>
      </w:r>
    </w:p>
    <w:p>
      <w:pPr>
        <w:pStyle w:val="10"/>
        <w:tabs>
          <w:tab w:val="right" w:leader="dot" w:pos="8306"/>
        </w:tabs>
      </w:pPr>
      <w:r>
        <w:fldChar w:fldCharType="begin"/>
      </w:r>
      <w:r>
        <w:instrText xml:space="preserve"> HYPERLINK \l _Toc27694 </w:instrText>
      </w:r>
      <w:r>
        <w:fldChar w:fldCharType="separate"/>
      </w:r>
      <w:r>
        <w:rPr>
          <w:rFonts w:hint="eastAsia" w:ascii="Times New Roman" w:hAnsi="Times New Roman" w:cs="Times New Roman"/>
        </w:rPr>
        <w:t>（四）文化遗产保护利用传承工作扎实推进</w:t>
      </w:r>
      <w:r>
        <w:tab/>
      </w:r>
      <w:r>
        <w:fldChar w:fldCharType="begin"/>
      </w:r>
      <w:r>
        <w:instrText xml:space="preserve"> PAGEREF _Toc27694 </w:instrText>
      </w:r>
      <w:r>
        <w:fldChar w:fldCharType="separate"/>
      </w:r>
      <w:r>
        <w:t>10</w:t>
      </w:r>
      <w:r>
        <w:fldChar w:fldCharType="end"/>
      </w:r>
      <w:r>
        <w:fldChar w:fldCharType="end"/>
      </w:r>
    </w:p>
    <w:p>
      <w:pPr>
        <w:pStyle w:val="10"/>
        <w:tabs>
          <w:tab w:val="right" w:leader="dot" w:pos="8306"/>
        </w:tabs>
      </w:pPr>
      <w:r>
        <w:fldChar w:fldCharType="begin"/>
      </w:r>
      <w:r>
        <w:instrText xml:space="preserve"> HYPERLINK \l _Toc24673 </w:instrText>
      </w:r>
      <w:r>
        <w:fldChar w:fldCharType="separate"/>
      </w:r>
      <w:r>
        <w:rPr>
          <w:rFonts w:hint="eastAsia" w:ascii="Times New Roman" w:hAnsi="Times New Roman" w:cs="Times New Roman"/>
        </w:rPr>
        <w:t>（五）文旅市场监管工作稳中有进</w:t>
      </w:r>
      <w:r>
        <w:tab/>
      </w:r>
      <w:r>
        <w:fldChar w:fldCharType="begin"/>
      </w:r>
      <w:r>
        <w:instrText xml:space="preserve"> PAGEREF _Toc24673 </w:instrText>
      </w:r>
      <w:r>
        <w:fldChar w:fldCharType="separate"/>
      </w:r>
      <w:r>
        <w:t>11</w:t>
      </w:r>
      <w:r>
        <w:fldChar w:fldCharType="end"/>
      </w:r>
      <w:r>
        <w:fldChar w:fldCharType="end"/>
      </w:r>
    </w:p>
    <w:p>
      <w:pPr>
        <w:pStyle w:val="15"/>
        <w:tabs>
          <w:tab w:val="right" w:leader="dot" w:pos="8306"/>
        </w:tabs>
      </w:pPr>
      <w:r>
        <w:fldChar w:fldCharType="begin"/>
      </w:r>
      <w:r>
        <w:instrText xml:space="preserve"> HYPERLINK \l _Toc14720 </w:instrText>
      </w:r>
      <w:r>
        <w:fldChar w:fldCharType="separate"/>
      </w:r>
      <w:r>
        <w:rPr>
          <w:rFonts w:hint="eastAsia" w:ascii="Times New Roman" w:hAnsi="Times New Roman" w:cs="Times New Roman"/>
        </w:rPr>
        <w:t>二、“十三五”文化旅游主要问题</w:t>
      </w:r>
      <w:r>
        <w:tab/>
      </w:r>
      <w:r>
        <w:fldChar w:fldCharType="begin"/>
      </w:r>
      <w:r>
        <w:instrText xml:space="preserve"> PAGEREF _Toc14720 </w:instrText>
      </w:r>
      <w:r>
        <w:fldChar w:fldCharType="separate"/>
      </w:r>
      <w:r>
        <w:t>11</w:t>
      </w:r>
      <w:r>
        <w:fldChar w:fldCharType="end"/>
      </w:r>
      <w:r>
        <w:fldChar w:fldCharType="end"/>
      </w:r>
    </w:p>
    <w:p>
      <w:pPr>
        <w:pStyle w:val="10"/>
        <w:tabs>
          <w:tab w:val="right" w:leader="dot" w:pos="8306"/>
        </w:tabs>
      </w:pPr>
      <w:r>
        <w:fldChar w:fldCharType="begin"/>
      </w:r>
      <w:r>
        <w:instrText xml:space="preserve"> HYPERLINK \l _Toc19883 </w:instrText>
      </w:r>
      <w:r>
        <w:fldChar w:fldCharType="separate"/>
      </w:r>
      <w:r>
        <w:rPr>
          <w:rFonts w:hint="eastAsia" w:ascii="Times New Roman" w:hAnsi="Times New Roman" w:cs="Times New Roman"/>
          <w:bCs w:val="0"/>
        </w:rPr>
        <w:t>（一）</w:t>
      </w:r>
      <w:r>
        <w:rPr>
          <w:rFonts w:hint="eastAsia" w:ascii="Times New Roman" w:hAnsi="Times New Roman" w:cs="Times New Roman"/>
          <w:bCs w:val="0"/>
          <w:lang w:val="en-US" w:eastAsia="zh-CN"/>
        </w:rPr>
        <w:t>文化产业结构不合理</w:t>
      </w:r>
      <w:r>
        <w:tab/>
      </w:r>
      <w:r>
        <w:fldChar w:fldCharType="begin"/>
      </w:r>
      <w:r>
        <w:instrText xml:space="preserve"> PAGEREF _Toc19883 </w:instrText>
      </w:r>
      <w:r>
        <w:fldChar w:fldCharType="separate"/>
      </w:r>
      <w:r>
        <w:t>11</w:t>
      </w:r>
      <w:r>
        <w:fldChar w:fldCharType="end"/>
      </w:r>
      <w:r>
        <w:fldChar w:fldCharType="end"/>
      </w:r>
    </w:p>
    <w:p>
      <w:pPr>
        <w:pStyle w:val="10"/>
        <w:tabs>
          <w:tab w:val="right" w:leader="dot" w:pos="8306"/>
        </w:tabs>
      </w:pPr>
      <w:r>
        <w:fldChar w:fldCharType="begin"/>
      </w:r>
      <w:r>
        <w:instrText xml:space="preserve"> HYPERLINK \l _Toc12420 </w:instrText>
      </w:r>
      <w:r>
        <w:fldChar w:fldCharType="separate"/>
      </w:r>
      <w:r>
        <w:rPr>
          <w:rFonts w:hint="eastAsia" w:ascii="Times New Roman" w:hAnsi="Times New Roman" w:cs="Times New Roman"/>
          <w:bCs w:val="0"/>
          <w:lang w:val="en-US" w:eastAsia="zh-CN"/>
        </w:rPr>
        <w:t>（二）景区经营管理体制不健全</w:t>
      </w:r>
      <w:r>
        <w:tab/>
      </w:r>
      <w:r>
        <w:fldChar w:fldCharType="begin"/>
      </w:r>
      <w:r>
        <w:instrText xml:space="preserve"> PAGEREF _Toc12420 </w:instrText>
      </w:r>
      <w:r>
        <w:fldChar w:fldCharType="separate"/>
      </w:r>
      <w:r>
        <w:t>12</w:t>
      </w:r>
      <w:r>
        <w:fldChar w:fldCharType="end"/>
      </w:r>
      <w:r>
        <w:fldChar w:fldCharType="end"/>
      </w:r>
    </w:p>
    <w:p>
      <w:pPr>
        <w:pStyle w:val="10"/>
        <w:tabs>
          <w:tab w:val="right" w:leader="dot" w:pos="8306"/>
        </w:tabs>
      </w:pPr>
      <w:r>
        <w:fldChar w:fldCharType="begin"/>
      </w:r>
      <w:r>
        <w:instrText xml:space="preserve"> HYPERLINK \l _Toc28695 </w:instrText>
      </w:r>
      <w:r>
        <w:fldChar w:fldCharType="separate"/>
      </w:r>
      <w:r>
        <w:rPr>
          <w:rFonts w:hint="eastAsia" w:ascii="Times New Roman" w:hAnsi="Times New Roman" w:cs="Times New Roman"/>
        </w:rPr>
        <w:t>（</w:t>
      </w:r>
      <w:r>
        <w:rPr>
          <w:rFonts w:hint="eastAsia" w:ascii="Times New Roman" w:hAnsi="Times New Roman" w:cs="Times New Roman"/>
          <w:lang w:val="en-US" w:eastAsia="zh-CN"/>
        </w:rPr>
        <w:t>三</w:t>
      </w:r>
      <w:r>
        <w:rPr>
          <w:rFonts w:hint="eastAsia" w:ascii="Times New Roman" w:hAnsi="Times New Roman" w:cs="Times New Roman"/>
        </w:rPr>
        <w:t>）文化旅游配套设施不</w:t>
      </w:r>
      <w:r>
        <w:rPr>
          <w:rFonts w:hint="eastAsia" w:ascii="Times New Roman" w:hAnsi="Times New Roman" w:cs="Times New Roman"/>
          <w:lang w:val="en-US" w:eastAsia="zh-CN"/>
        </w:rPr>
        <w:t>足</w:t>
      </w:r>
      <w:r>
        <w:tab/>
      </w:r>
      <w:r>
        <w:fldChar w:fldCharType="begin"/>
      </w:r>
      <w:r>
        <w:instrText xml:space="preserve"> PAGEREF _Toc28695 </w:instrText>
      </w:r>
      <w:r>
        <w:fldChar w:fldCharType="separate"/>
      </w:r>
      <w:r>
        <w:t>12</w:t>
      </w:r>
      <w:r>
        <w:fldChar w:fldCharType="end"/>
      </w:r>
      <w:r>
        <w:fldChar w:fldCharType="end"/>
      </w:r>
    </w:p>
    <w:p>
      <w:pPr>
        <w:pStyle w:val="10"/>
        <w:tabs>
          <w:tab w:val="right" w:leader="dot" w:pos="8306"/>
        </w:tabs>
      </w:pPr>
      <w:r>
        <w:fldChar w:fldCharType="begin"/>
      </w:r>
      <w:r>
        <w:instrText xml:space="preserve"> HYPERLINK \l _Toc26234 </w:instrText>
      </w:r>
      <w:r>
        <w:fldChar w:fldCharType="separate"/>
      </w:r>
      <w:r>
        <w:rPr>
          <w:rFonts w:hint="eastAsia" w:ascii="Times New Roman" w:hAnsi="Times New Roman" w:cs="Times New Roman"/>
        </w:rPr>
        <w:t>（</w:t>
      </w:r>
      <w:r>
        <w:rPr>
          <w:rFonts w:hint="eastAsia" w:ascii="Times New Roman" w:hAnsi="Times New Roman" w:cs="Times New Roman"/>
          <w:lang w:val="en-US" w:eastAsia="zh-CN"/>
        </w:rPr>
        <w:t>四</w:t>
      </w:r>
      <w:r>
        <w:rPr>
          <w:rFonts w:hint="eastAsia" w:ascii="Times New Roman" w:hAnsi="Times New Roman" w:cs="Times New Roman"/>
        </w:rPr>
        <w:t>）文化旅游服务水平</w:t>
      </w:r>
      <w:r>
        <w:rPr>
          <w:rFonts w:hint="eastAsia" w:ascii="Times New Roman" w:hAnsi="Times New Roman" w:cs="Times New Roman"/>
          <w:lang w:val="en-US" w:eastAsia="zh-CN"/>
        </w:rPr>
        <w:t>不高</w:t>
      </w:r>
      <w:r>
        <w:tab/>
      </w:r>
      <w:r>
        <w:fldChar w:fldCharType="begin"/>
      </w:r>
      <w:r>
        <w:instrText xml:space="preserve"> PAGEREF _Toc26234 </w:instrText>
      </w:r>
      <w:r>
        <w:fldChar w:fldCharType="separate"/>
      </w:r>
      <w:r>
        <w:t>12</w:t>
      </w:r>
      <w:r>
        <w:fldChar w:fldCharType="end"/>
      </w:r>
      <w:r>
        <w:fldChar w:fldCharType="end"/>
      </w:r>
    </w:p>
    <w:p>
      <w:pPr>
        <w:pStyle w:val="10"/>
        <w:tabs>
          <w:tab w:val="right" w:leader="dot" w:pos="8306"/>
        </w:tabs>
      </w:pPr>
      <w:r>
        <w:fldChar w:fldCharType="begin"/>
      </w:r>
      <w:r>
        <w:instrText xml:space="preserve"> HYPERLINK \l _Toc23473 </w:instrText>
      </w:r>
      <w:r>
        <w:fldChar w:fldCharType="separate"/>
      </w:r>
      <w:r>
        <w:rPr>
          <w:rFonts w:hint="eastAsia" w:ascii="Times New Roman" w:hAnsi="Times New Roman" w:cs="Times New Roman"/>
        </w:rPr>
        <w:t>（</w:t>
      </w:r>
      <w:r>
        <w:rPr>
          <w:rFonts w:hint="eastAsia" w:ascii="Times New Roman" w:hAnsi="Times New Roman" w:cs="Times New Roman"/>
          <w:lang w:val="en-US" w:eastAsia="zh-CN"/>
        </w:rPr>
        <w:t>五</w:t>
      </w:r>
      <w:r>
        <w:rPr>
          <w:rFonts w:hint="eastAsia" w:ascii="Times New Roman" w:hAnsi="Times New Roman" w:cs="Times New Roman"/>
        </w:rPr>
        <w:t>）品牌营销力度不够</w:t>
      </w:r>
      <w:r>
        <w:tab/>
      </w:r>
      <w:r>
        <w:fldChar w:fldCharType="begin"/>
      </w:r>
      <w:r>
        <w:instrText xml:space="preserve"> PAGEREF _Toc23473 </w:instrText>
      </w:r>
      <w:r>
        <w:fldChar w:fldCharType="separate"/>
      </w:r>
      <w:r>
        <w:t>13</w:t>
      </w:r>
      <w:r>
        <w:fldChar w:fldCharType="end"/>
      </w:r>
      <w:r>
        <w:fldChar w:fldCharType="end"/>
      </w:r>
    </w:p>
    <w:p>
      <w:pPr>
        <w:pStyle w:val="10"/>
        <w:tabs>
          <w:tab w:val="right" w:leader="dot" w:pos="8306"/>
        </w:tabs>
      </w:pPr>
      <w:r>
        <w:fldChar w:fldCharType="begin"/>
      </w:r>
      <w:r>
        <w:instrText xml:space="preserve"> HYPERLINK \l _Toc19414 </w:instrText>
      </w:r>
      <w:r>
        <w:fldChar w:fldCharType="separate"/>
      </w:r>
      <w:r>
        <w:rPr>
          <w:rFonts w:hint="eastAsia" w:ascii="Times New Roman" w:hAnsi="Times New Roman" w:cs="Times New Roman"/>
        </w:rPr>
        <w:t>（</w:t>
      </w:r>
      <w:r>
        <w:rPr>
          <w:rFonts w:hint="eastAsia" w:ascii="Times New Roman" w:hAnsi="Times New Roman" w:cs="Times New Roman"/>
          <w:lang w:val="en-US" w:eastAsia="zh-CN"/>
        </w:rPr>
        <w:t>六</w:t>
      </w:r>
      <w:r>
        <w:rPr>
          <w:rFonts w:hint="eastAsia" w:ascii="Times New Roman" w:hAnsi="Times New Roman" w:cs="Times New Roman"/>
        </w:rPr>
        <w:t>）</w:t>
      </w:r>
      <w:r>
        <w:rPr>
          <w:rFonts w:hint="eastAsia" w:ascii="Times New Roman" w:hAnsi="Times New Roman" w:cs="Times New Roman"/>
          <w:lang w:val="en-US" w:eastAsia="zh-CN"/>
        </w:rPr>
        <w:t>文化旅游管理人才不足</w:t>
      </w:r>
      <w:r>
        <w:tab/>
      </w:r>
      <w:r>
        <w:fldChar w:fldCharType="begin"/>
      </w:r>
      <w:r>
        <w:instrText xml:space="preserve"> PAGEREF _Toc19414 </w:instrText>
      </w:r>
      <w:r>
        <w:fldChar w:fldCharType="separate"/>
      </w:r>
      <w:r>
        <w:t>13</w:t>
      </w:r>
      <w:r>
        <w:fldChar w:fldCharType="end"/>
      </w:r>
      <w:r>
        <w:fldChar w:fldCharType="end"/>
      </w:r>
    </w:p>
    <w:p>
      <w:pPr>
        <w:pStyle w:val="10"/>
        <w:tabs>
          <w:tab w:val="right" w:leader="dot" w:pos="8306"/>
        </w:tabs>
      </w:pPr>
      <w:r>
        <w:fldChar w:fldCharType="begin"/>
      </w:r>
      <w:r>
        <w:instrText xml:space="preserve"> HYPERLINK \l _Toc16693 </w:instrText>
      </w:r>
      <w:r>
        <w:fldChar w:fldCharType="separate"/>
      </w:r>
      <w:r>
        <w:rPr>
          <w:rFonts w:hint="eastAsia" w:ascii="Times New Roman" w:hAnsi="Times New Roman" w:cs="Times New Roman"/>
          <w:lang w:val="en-US" w:eastAsia="zh-CN"/>
        </w:rPr>
        <w:t>（七）区域文化发展不够平衡</w:t>
      </w:r>
      <w:r>
        <w:tab/>
      </w:r>
      <w:r>
        <w:fldChar w:fldCharType="begin"/>
      </w:r>
      <w:r>
        <w:instrText xml:space="preserve"> PAGEREF _Toc16693 </w:instrText>
      </w:r>
      <w:r>
        <w:fldChar w:fldCharType="separate"/>
      </w:r>
      <w:r>
        <w:t>13</w:t>
      </w:r>
      <w:r>
        <w:fldChar w:fldCharType="end"/>
      </w:r>
      <w:r>
        <w:fldChar w:fldCharType="end"/>
      </w:r>
    </w:p>
    <w:p>
      <w:pPr>
        <w:pStyle w:val="15"/>
        <w:tabs>
          <w:tab w:val="right" w:leader="dot" w:pos="8306"/>
        </w:tabs>
      </w:pPr>
      <w:r>
        <w:fldChar w:fldCharType="begin"/>
      </w:r>
      <w:r>
        <w:instrText xml:space="preserve"> HYPERLINK \l _Toc12321 </w:instrText>
      </w:r>
      <w:r>
        <w:fldChar w:fldCharType="separate"/>
      </w:r>
      <w:r>
        <w:rPr>
          <w:rFonts w:hint="eastAsia" w:ascii="Times New Roman" w:hAnsi="Times New Roman" w:cs="Times New Roman"/>
        </w:rPr>
        <w:t>三、“十四五”文化旅游发展机遇与挑战</w:t>
      </w:r>
      <w:r>
        <w:tab/>
      </w:r>
      <w:r>
        <w:fldChar w:fldCharType="begin"/>
      </w:r>
      <w:r>
        <w:instrText xml:space="preserve"> PAGEREF _Toc12321 </w:instrText>
      </w:r>
      <w:r>
        <w:fldChar w:fldCharType="separate"/>
      </w:r>
      <w:r>
        <w:t>13</w:t>
      </w:r>
      <w:r>
        <w:fldChar w:fldCharType="end"/>
      </w:r>
      <w:r>
        <w:fldChar w:fldCharType="end"/>
      </w:r>
    </w:p>
    <w:p>
      <w:pPr>
        <w:pStyle w:val="10"/>
        <w:tabs>
          <w:tab w:val="right" w:leader="dot" w:pos="8306"/>
        </w:tabs>
      </w:pPr>
      <w:r>
        <w:fldChar w:fldCharType="begin"/>
      </w:r>
      <w:r>
        <w:instrText xml:space="preserve"> HYPERLINK \l _Toc21748 </w:instrText>
      </w:r>
      <w:r>
        <w:fldChar w:fldCharType="separate"/>
      </w:r>
      <w:r>
        <w:rPr>
          <w:rFonts w:hint="eastAsia" w:ascii="Times New Roman" w:hAnsi="Times New Roman" w:cs="Times New Roman"/>
        </w:rPr>
        <w:t>（一）发展机遇</w:t>
      </w:r>
      <w:r>
        <w:tab/>
      </w:r>
      <w:r>
        <w:fldChar w:fldCharType="begin"/>
      </w:r>
      <w:r>
        <w:instrText xml:space="preserve"> PAGEREF _Toc21748 </w:instrText>
      </w:r>
      <w:r>
        <w:fldChar w:fldCharType="separate"/>
      </w:r>
      <w:r>
        <w:t>13</w:t>
      </w:r>
      <w:r>
        <w:fldChar w:fldCharType="end"/>
      </w:r>
      <w:r>
        <w:fldChar w:fldCharType="end"/>
      </w:r>
    </w:p>
    <w:p>
      <w:pPr>
        <w:pStyle w:val="10"/>
        <w:tabs>
          <w:tab w:val="right" w:leader="dot" w:pos="8306"/>
        </w:tabs>
      </w:pPr>
      <w:r>
        <w:fldChar w:fldCharType="begin"/>
      </w:r>
      <w:r>
        <w:instrText xml:space="preserve"> HYPERLINK \l _Toc13732 </w:instrText>
      </w:r>
      <w:r>
        <w:fldChar w:fldCharType="separate"/>
      </w:r>
      <w:r>
        <w:rPr>
          <w:rFonts w:hint="eastAsia" w:ascii="Times New Roman" w:hAnsi="Times New Roman" w:cs="Times New Roman"/>
        </w:rPr>
        <w:t>（二）面临挑战</w:t>
      </w:r>
      <w:r>
        <w:tab/>
      </w:r>
      <w:r>
        <w:fldChar w:fldCharType="begin"/>
      </w:r>
      <w:r>
        <w:instrText xml:space="preserve"> PAGEREF _Toc13732 </w:instrText>
      </w:r>
      <w:r>
        <w:fldChar w:fldCharType="separate"/>
      </w:r>
      <w:r>
        <w:t>16</w:t>
      </w:r>
      <w:r>
        <w:fldChar w:fldCharType="end"/>
      </w:r>
      <w:r>
        <w:fldChar w:fldCharType="end"/>
      </w:r>
    </w:p>
    <w:p>
      <w:pPr>
        <w:pStyle w:val="14"/>
        <w:tabs>
          <w:tab w:val="right" w:leader="dot" w:pos="8306"/>
        </w:tabs>
      </w:pPr>
      <w:r>
        <w:fldChar w:fldCharType="begin"/>
      </w:r>
      <w:r>
        <w:instrText xml:space="preserve"> HYPERLINK \l _Toc31308 </w:instrText>
      </w:r>
      <w:r>
        <w:fldChar w:fldCharType="separate"/>
      </w:r>
      <w:r>
        <w:rPr>
          <w:rFonts w:hint="eastAsia" w:ascii="Times New Roman" w:hAnsi="Times New Roman" w:cs="Times New Roman" w:eastAsiaTheme="minorEastAsia"/>
        </w:rPr>
        <w:t>第二章 鸿业远图，明确“十四五”文旅发展目标</w:t>
      </w:r>
      <w:r>
        <w:tab/>
      </w:r>
      <w:r>
        <w:fldChar w:fldCharType="begin"/>
      </w:r>
      <w:r>
        <w:instrText xml:space="preserve"> PAGEREF _Toc31308 </w:instrText>
      </w:r>
      <w:r>
        <w:fldChar w:fldCharType="separate"/>
      </w:r>
      <w:r>
        <w:t>19</w:t>
      </w:r>
      <w:r>
        <w:fldChar w:fldCharType="end"/>
      </w:r>
      <w:r>
        <w:fldChar w:fldCharType="end"/>
      </w:r>
    </w:p>
    <w:p>
      <w:pPr>
        <w:pStyle w:val="15"/>
        <w:tabs>
          <w:tab w:val="right" w:leader="dot" w:pos="8306"/>
        </w:tabs>
      </w:pPr>
      <w:r>
        <w:fldChar w:fldCharType="begin"/>
      </w:r>
      <w:r>
        <w:instrText xml:space="preserve"> HYPERLINK \l _Toc15255 </w:instrText>
      </w:r>
      <w:r>
        <w:fldChar w:fldCharType="separate"/>
      </w:r>
      <w:r>
        <w:rPr>
          <w:rFonts w:hint="eastAsia" w:ascii="Times New Roman" w:hAnsi="Times New Roman" w:cs="Times New Roman"/>
        </w:rPr>
        <w:t>一、指导思想</w:t>
      </w:r>
      <w:r>
        <w:tab/>
      </w:r>
      <w:r>
        <w:fldChar w:fldCharType="begin"/>
      </w:r>
      <w:r>
        <w:instrText xml:space="preserve"> PAGEREF _Toc15255 </w:instrText>
      </w:r>
      <w:r>
        <w:fldChar w:fldCharType="separate"/>
      </w:r>
      <w:r>
        <w:t>19</w:t>
      </w:r>
      <w:r>
        <w:fldChar w:fldCharType="end"/>
      </w:r>
      <w:r>
        <w:fldChar w:fldCharType="end"/>
      </w:r>
    </w:p>
    <w:p>
      <w:pPr>
        <w:pStyle w:val="15"/>
        <w:tabs>
          <w:tab w:val="right" w:leader="dot" w:pos="8306"/>
        </w:tabs>
      </w:pPr>
      <w:r>
        <w:fldChar w:fldCharType="begin"/>
      </w:r>
      <w:r>
        <w:instrText xml:space="preserve"> HYPERLINK \l _Toc16290 </w:instrText>
      </w:r>
      <w:r>
        <w:fldChar w:fldCharType="separate"/>
      </w:r>
      <w:r>
        <w:rPr>
          <w:rFonts w:hint="eastAsia" w:ascii="Times New Roman" w:hAnsi="Times New Roman" w:cs="Times New Roman"/>
        </w:rPr>
        <w:t>二、基本原则</w:t>
      </w:r>
      <w:r>
        <w:tab/>
      </w:r>
      <w:r>
        <w:fldChar w:fldCharType="begin"/>
      </w:r>
      <w:r>
        <w:instrText xml:space="preserve"> PAGEREF _Toc16290 </w:instrText>
      </w:r>
      <w:r>
        <w:fldChar w:fldCharType="separate"/>
      </w:r>
      <w:r>
        <w:t>19</w:t>
      </w:r>
      <w:r>
        <w:fldChar w:fldCharType="end"/>
      </w:r>
      <w:r>
        <w:fldChar w:fldCharType="end"/>
      </w:r>
    </w:p>
    <w:p>
      <w:pPr>
        <w:pStyle w:val="10"/>
        <w:tabs>
          <w:tab w:val="right" w:leader="dot" w:pos="8306"/>
        </w:tabs>
      </w:pPr>
      <w:r>
        <w:fldChar w:fldCharType="begin"/>
      </w:r>
      <w:r>
        <w:instrText xml:space="preserve"> HYPERLINK \l _Toc15024 </w:instrText>
      </w:r>
      <w:r>
        <w:fldChar w:fldCharType="separate"/>
      </w:r>
      <w:r>
        <w:rPr>
          <w:rFonts w:hint="eastAsia" w:ascii="Times New Roman" w:hAnsi="Times New Roman" w:cs="Times New Roman"/>
        </w:rPr>
        <w:t>（一）文旅融合原则</w:t>
      </w:r>
      <w:r>
        <w:tab/>
      </w:r>
      <w:r>
        <w:fldChar w:fldCharType="begin"/>
      </w:r>
      <w:r>
        <w:instrText xml:space="preserve"> PAGEREF _Toc15024 </w:instrText>
      </w:r>
      <w:r>
        <w:fldChar w:fldCharType="separate"/>
      </w:r>
      <w:r>
        <w:t>19</w:t>
      </w:r>
      <w:r>
        <w:fldChar w:fldCharType="end"/>
      </w:r>
      <w:r>
        <w:fldChar w:fldCharType="end"/>
      </w:r>
    </w:p>
    <w:p>
      <w:pPr>
        <w:pStyle w:val="10"/>
        <w:tabs>
          <w:tab w:val="right" w:leader="dot" w:pos="8306"/>
        </w:tabs>
      </w:pPr>
      <w:r>
        <w:fldChar w:fldCharType="begin"/>
      </w:r>
      <w:r>
        <w:instrText xml:space="preserve"> HYPERLINK \l _Toc22313 </w:instrText>
      </w:r>
      <w:r>
        <w:fldChar w:fldCharType="separate"/>
      </w:r>
      <w:r>
        <w:rPr>
          <w:rFonts w:hint="eastAsia" w:ascii="Times New Roman" w:hAnsi="Times New Roman" w:cs="Times New Roman"/>
        </w:rPr>
        <w:t>（二）生态优先原则</w:t>
      </w:r>
      <w:r>
        <w:tab/>
      </w:r>
      <w:r>
        <w:fldChar w:fldCharType="begin"/>
      </w:r>
      <w:r>
        <w:instrText xml:space="preserve"> PAGEREF _Toc22313 </w:instrText>
      </w:r>
      <w:r>
        <w:fldChar w:fldCharType="separate"/>
      </w:r>
      <w:r>
        <w:t>19</w:t>
      </w:r>
      <w:r>
        <w:fldChar w:fldCharType="end"/>
      </w:r>
      <w:r>
        <w:fldChar w:fldCharType="end"/>
      </w:r>
    </w:p>
    <w:p>
      <w:pPr>
        <w:pStyle w:val="10"/>
        <w:tabs>
          <w:tab w:val="right" w:leader="dot" w:pos="8306"/>
        </w:tabs>
      </w:pPr>
      <w:r>
        <w:fldChar w:fldCharType="begin"/>
      </w:r>
      <w:r>
        <w:instrText xml:space="preserve"> HYPERLINK \l _Toc12101 </w:instrText>
      </w:r>
      <w:r>
        <w:fldChar w:fldCharType="separate"/>
      </w:r>
      <w:r>
        <w:rPr>
          <w:rFonts w:hint="eastAsia" w:ascii="Times New Roman" w:hAnsi="Times New Roman" w:cs="Times New Roman"/>
        </w:rPr>
        <w:t>（三）因地制宜原则</w:t>
      </w:r>
      <w:r>
        <w:tab/>
      </w:r>
      <w:r>
        <w:fldChar w:fldCharType="begin"/>
      </w:r>
      <w:r>
        <w:instrText xml:space="preserve"> PAGEREF _Toc12101 </w:instrText>
      </w:r>
      <w:r>
        <w:fldChar w:fldCharType="separate"/>
      </w:r>
      <w:r>
        <w:t>19</w:t>
      </w:r>
      <w:r>
        <w:fldChar w:fldCharType="end"/>
      </w:r>
      <w:r>
        <w:fldChar w:fldCharType="end"/>
      </w:r>
    </w:p>
    <w:p>
      <w:pPr>
        <w:pStyle w:val="10"/>
        <w:tabs>
          <w:tab w:val="right" w:leader="dot" w:pos="8306"/>
        </w:tabs>
      </w:pPr>
      <w:r>
        <w:fldChar w:fldCharType="begin"/>
      </w:r>
      <w:r>
        <w:instrText xml:space="preserve"> HYPERLINK \l _Toc23306 </w:instrText>
      </w:r>
      <w:r>
        <w:fldChar w:fldCharType="separate"/>
      </w:r>
      <w:r>
        <w:rPr>
          <w:rFonts w:hint="eastAsia" w:ascii="Times New Roman" w:hAnsi="Times New Roman" w:cs="Times New Roman"/>
        </w:rPr>
        <w:t>（四）全域统筹原则</w:t>
      </w:r>
      <w:r>
        <w:tab/>
      </w:r>
      <w:r>
        <w:fldChar w:fldCharType="begin"/>
      </w:r>
      <w:r>
        <w:instrText xml:space="preserve"> PAGEREF _Toc23306 </w:instrText>
      </w:r>
      <w:r>
        <w:fldChar w:fldCharType="separate"/>
      </w:r>
      <w:r>
        <w:t>19</w:t>
      </w:r>
      <w:r>
        <w:fldChar w:fldCharType="end"/>
      </w:r>
      <w:r>
        <w:fldChar w:fldCharType="end"/>
      </w:r>
    </w:p>
    <w:p>
      <w:pPr>
        <w:pStyle w:val="10"/>
        <w:tabs>
          <w:tab w:val="right" w:leader="dot" w:pos="8306"/>
        </w:tabs>
      </w:pPr>
      <w:r>
        <w:fldChar w:fldCharType="begin"/>
      </w:r>
      <w:r>
        <w:instrText xml:space="preserve"> HYPERLINK \l _Toc17759 </w:instrText>
      </w:r>
      <w:r>
        <w:fldChar w:fldCharType="separate"/>
      </w:r>
      <w:r>
        <w:rPr>
          <w:rFonts w:hint="eastAsia" w:ascii="Times New Roman" w:hAnsi="Times New Roman" w:cs="Times New Roman"/>
        </w:rPr>
        <w:t>（五）市场导向原则</w:t>
      </w:r>
      <w:r>
        <w:tab/>
      </w:r>
      <w:r>
        <w:fldChar w:fldCharType="begin"/>
      </w:r>
      <w:r>
        <w:instrText xml:space="preserve"> PAGEREF _Toc17759 </w:instrText>
      </w:r>
      <w:r>
        <w:fldChar w:fldCharType="separate"/>
      </w:r>
      <w:r>
        <w:t>20</w:t>
      </w:r>
      <w:r>
        <w:fldChar w:fldCharType="end"/>
      </w:r>
      <w:r>
        <w:fldChar w:fldCharType="end"/>
      </w:r>
    </w:p>
    <w:p>
      <w:pPr>
        <w:pStyle w:val="10"/>
        <w:tabs>
          <w:tab w:val="right" w:leader="dot" w:pos="8306"/>
        </w:tabs>
      </w:pPr>
      <w:r>
        <w:fldChar w:fldCharType="begin"/>
      </w:r>
      <w:r>
        <w:instrText xml:space="preserve"> HYPERLINK \l _Toc24487 </w:instrText>
      </w:r>
      <w:r>
        <w:fldChar w:fldCharType="separate"/>
      </w:r>
      <w:r>
        <w:rPr>
          <w:rFonts w:hint="eastAsia" w:ascii="Times New Roman" w:hAnsi="Times New Roman" w:cs="Times New Roman"/>
        </w:rPr>
        <w:t>（六）科技创新原则</w:t>
      </w:r>
      <w:r>
        <w:tab/>
      </w:r>
      <w:r>
        <w:fldChar w:fldCharType="begin"/>
      </w:r>
      <w:r>
        <w:instrText xml:space="preserve"> PAGEREF _Toc24487 </w:instrText>
      </w:r>
      <w:r>
        <w:fldChar w:fldCharType="separate"/>
      </w:r>
      <w:r>
        <w:t>20</w:t>
      </w:r>
      <w:r>
        <w:fldChar w:fldCharType="end"/>
      </w:r>
      <w:r>
        <w:fldChar w:fldCharType="end"/>
      </w:r>
    </w:p>
    <w:p>
      <w:pPr>
        <w:pStyle w:val="15"/>
        <w:tabs>
          <w:tab w:val="right" w:leader="dot" w:pos="8306"/>
        </w:tabs>
      </w:pPr>
      <w:r>
        <w:fldChar w:fldCharType="begin"/>
      </w:r>
      <w:r>
        <w:instrText xml:space="preserve"> HYPERLINK \l _Toc24167 </w:instrText>
      </w:r>
      <w:r>
        <w:fldChar w:fldCharType="separate"/>
      </w:r>
      <w:r>
        <w:rPr>
          <w:rFonts w:hint="eastAsia" w:ascii="Times New Roman" w:hAnsi="Times New Roman" w:cs="Times New Roman"/>
        </w:rPr>
        <w:t>三、目标定位</w:t>
      </w:r>
      <w:r>
        <w:tab/>
      </w:r>
      <w:r>
        <w:fldChar w:fldCharType="begin"/>
      </w:r>
      <w:r>
        <w:instrText xml:space="preserve"> PAGEREF _Toc24167 </w:instrText>
      </w:r>
      <w:r>
        <w:fldChar w:fldCharType="separate"/>
      </w:r>
      <w:r>
        <w:t>20</w:t>
      </w:r>
      <w:r>
        <w:fldChar w:fldCharType="end"/>
      </w:r>
      <w:r>
        <w:fldChar w:fldCharType="end"/>
      </w:r>
    </w:p>
    <w:p>
      <w:pPr>
        <w:pStyle w:val="10"/>
        <w:tabs>
          <w:tab w:val="right" w:leader="dot" w:pos="8306"/>
        </w:tabs>
      </w:pPr>
      <w:r>
        <w:fldChar w:fldCharType="begin"/>
      </w:r>
      <w:r>
        <w:instrText xml:space="preserve"> HYPERLINK \l _Toc11531 </w:instrText>
      </w:r>
      <w:r>
        <w:fldChar w:fldCharType="separate"/>
      </w:r>
      <w:r>
        <w:rPr>
          <w:rFonts w:hint="eastAsia" w:ascii="Times New Roman" w:hAnsi="Times New Roman" w:cs="Times New Roman"/>
        </w:rPr>
        <w:t>（一）总体目标</w:t>
      </w:r>
      <w:r>
        <w:tab/>
      </w:r>
      <w:r>
        <w:fldChar w:fldCharType="begin"/>
      </w:r>
      <w:r>
        <w:instrText xml:space="preserve"> PAGEREF _Toc11531 </w:instrText>
      </w:r>
      <w:r>
        <w:fldChar w:fldCharType="separate"/>
      </w:r>
      <w:r>
        <w:t>20</w:t>
      </w:r>
      <w:r>
        <w:fldChar w:fldCharType="end"/>
      </w:r>
      <w:r>
        <w:fldChar w:fldCharType="end"/>
      </w:r>
    </w:p>
    <w:p>
      <w:pPr>
        <w:pStyle w:val="10"/>
        <w:tabs>
          <w:tab w:val="right" w:leader="dot" w:pos="8306"/>
        </w:tabs>
      </w:pPr>
      <w:r>
        <w:fldChar w:fldCharType="begin"/>
      </w:r>
      <w:r>
        <w:instrText xml:space="preserve"> HYPERLINK \l _Toc1377 </w:instrText>
      </w:r>
      <w:r>
        <w:fldChar w:fldCharType="separate"/>
      </w:r>
      <w:r>
        <w:rPr>
          <w:rFonts w:hint="eastAsia" w:ascii="Times New Roman" w:hAnsi="Times New Roman" w:cs="Times New Roman"/>
        </w:rPr>
        <w:t>（二）经济目标</w:t>
      </w:r>
      <w:r>
        <w:tab/>
      </w:r>
      <w:r>
        <w:fldChar w:fldCharType="begin"/>
      </w:r>
      <w:r>
        <w:instrText xml:space="preserve"> PAGEREF _Toc1377 </w:instrText>
      </w:r>
      <w:r>
        <w:fldChar w:fldCharType="separate"/>
      </w:r>
      <w:r>
        <w:t>20</w:t>
      </w:r>
      <w:r>
        <w:fldChar w:fldCharType="end"/>
      </w:r>
      <w:r>
        <w:fldChar w:fldCharType="end"/>
      </w:r>
    </w:p>
    <w:p>
      <w:pPr>
        <w:pStyle w:val="10"/>
        <w:tabs>
          <w:tab w:val="right" w:leader="dot" w:pos="8306"/>
        </w:tabs>
      </w:pPr>
      <w:r>
        <w:fldChar w:fldCharType="begin"/>
      </w:r>
      <w:r>
        <w:instrText xml:space="preserve"> HYPERLINK \l _Toc200 </w:instrText>
      </w:r>
      <w:r>
        <w:fldChar w:fldCharType="separate"/>
      </w:r>
      <w:r>
        <w:rPr>
          <w:rFonts w:hint="eastAsia" w:ascii="Times New Roman" w:hAnsi="Times New Roman" w:cs="Times New Roman"/>
        </w:rPr>
        <w:t>（三）产业目标</w:t>
      </w:r>
      <w:r>
        <w:tab/>
      </w:r>
      <w:r>
        <w:fldChar w:fldCharType="begin"/>
      </w:r>
      <w:r>
        <w:instrText xml:space="preserve"> PAGEREF _Toc200 </w:instrText>
      </w:r>
      <w:r>
        <w:fldChar w:fldCharType="separate"/>
      </w:r>
      <w:r>
        <w:t>21</w:t>
      </w:r>
      <w:r>
        <w:fldChar w:fldCharType="end"/>
      </w:r>
      <w:r>
        <w:fldChar w:fldCharType="end"/>
      </w:r>
    </w:p>
    <w:p>
      <w:pPr>
        <w:pStyle w:val="15"/>
        <w:tabs>
          <w:tab w:val="right" w:leader="dot" w:pos="8306"/>
        </w:tabs>
      </w:pPr>
      <w:r>
        <w:fldChar w:fldCharType="begin"/>
      </w:r>
      <w:r>
        <w:instrText xml:space="preserve"> HYPERLINK \l _Toc19915 </w:instrText>
      </w:r>
      <w:r>
        <w:fldChar w:fldCharType="separate"/>
      </w:r>
      <w:r>
        <w:rPr>
          <w:rFonts w:hint="eastAsia" w:ascii="Times New Roman" w:hAnsi="Times New Roman" w:cs="Times New Roman"/>
        </w:rPr>
        <w:t>四、发展任务</w:t>
      </w:r>
      <w:r>
        <w:tab/>
      </w:r>
      <w:r>
        <w:fldChar w:fldCharType="begin"/>
      </w:r>
      <w:r>
        <w:instrText xml:space="preserve"> PAGEREF _Toc19915 </w:instrText>
      </w:r>
      <w:r>
        <w:fldChar w:fldCharType="separate"/>
      </w:r>
      <w:r>
        <w:t>22</w:t>
      </w:r>
      <w:r>
        <w:fldChar w:fldCharType="end"/>
      </w:r>
      <w:r>
        <w:fldChar w:fldCharType="end"/>
      </w:r>
    </w:p>
    <w:p>
      <w:pPr>
        <w:pStyle w:val="10"/>
        <w:tabs>
          <w:tab w:val="right" w:leader="dot" w:pos="8306"/>
        </w:tabs>
      </w:pPr>
      <w:r>
        <w:fldChar w:fldCharType="begin"/>
      </w:r>
      <w:r>
        <w:instrText xml:space="preserve"> HYPERLINK \l _Toc973 </w:instrText>
      </w:r>
      <w:r>
        <w:fldChar w:fldCharType="separate"/>
      </w:r>
      <w:r>
        <w:rPr>
          <w:rFonts w:hint="eastAsia" w:ascii="Times New Roman" w:hAnsi="Times New Roman" w:cs="Times New Roman"/>
        </w:rPr>
        <w:t>（一）加快文化旅游融合发展</w:t>
      </w:r>
      <w:r>
        <w:tab/>
      </w:r>
      <w:r>
        <w:fldChar w:fldCharType="begin"/>
      </w:r>
      <w:r>
        <w:instrText xml:space="preserve"> PAGEREF _Toc973 </w:instrText>
      </w:r>
      <w:r>
        <w:fldChar w:fldCharType="separate"/>
      </w:r>
      <w:r>
        <w:t>22</w:t>
      </w:r>
      <w:r>
        <w:fldChar w:fldCharType="end"/>
      </w:r>
      <w:r>
        <w:fldChar w:fldCharType="end"/>
      </w:r>
    </w:p>
    <w:p>
      <w:pPr>
        <w:pStyle w:val="10"/>
        <w:tabs>
          <w:tab w:val="right" w:leader="dot" w:pos="8306"/>
        </w:tabs>
      </w:pPr>
      <w:r>
        <w:fldChar w:fldCharType="begin"/>
      </w:r>
      <w:r>
        <w:instrText xml:space="preserve"> HYPERLINK \l _Toc14996 </w:instrText>
      </w:r>
      <w:r>
        <w:fldChar w:fldCharType="separate"/>
      </w:r>
      <w:r>
        <w:rPr>
          <w:rFonts w:hint="eastAsia" w:ascii="Times New Roman" w:hAnsi="Times New Roman" w:cs="Times New Roman"/>
        </w:rPr>
        <w:t>（二）推动文旅产业提档升级</w:t>
      </w:r>
      <w:r>
        <w:tab/>
      </w:r>
      <w:r>
        <w:fldChar w:fldCharType="begin"/>
      </w:r>
      <w:r>
        <w:instrText xml:space="preserve"> PAGEREF _Toc14996 </w:instrText>
      </w:r>
      <w:r>
        <w:fldChar w:fldCharType="separate"/>
      </w:r>
      <w:r>
        <w:t>22</w:t>
      </w:r>
      <w:r>
        <w:fldChar w:fldCharType="end"/>
      </w:r>
      <w:r>
        <w:fldChar w:fldCharType="end"/>
      </w:r>
    </w:p>
    <w:p>
      <w:pPr>
        <w:pStyle w:val="10"/>
        <w:tabs>
          <w:tab w:val="right" w:leader="dot" w:pos="8306"/>
        </w:tabs>
      </w:pPr>
      <w:r>
        <w:fldChar w:fldCharType="begin"/>
      </w:r>
      <w:r>
        <w:instrText xml:space="preserve"> HYPERLINK \l _Toc15364 </w:instrText>
      </w:r>
      <w:r>
        <w:fldChar w:fldCharType="separate"/>
      </w:r>
      <w:r>
        <w:rPr>
          <w:rFonts w:hint="eastAsia" w:ascii="Times New Roman" w:hAnsi="Times New Roman" w:cs="Times New Roman"/>
        </w:rPr>
        <w:t>（三）加强文物保护文化传承</w:t>
      </w:r>
      <w:r>
        <w:tab/>
      </w:r>
      <w:r>
        <w:fldChar w:fldCharType="begin"/>
      </w:r>
      <w:r>
        <w:instrText xml:space="preserve"> PAGEREF _Toc15364 </w:instrText>
      </w:r>
      <w:r>
        <w:fldChar w:fldCharType="separate"/>
      </w:r>
      <w:r>
        <w:t>22</w:t>
      </w:r>
      <w:r>
        <w:fldChar w:fldCharType="end"/>
      </w:r>
      <w:r>
        <w:fldChar w:fldCharType="end"/>
      </w:r>
    </w:p>
    <w:p>
      <w:pPr>
        <w:pStyle w:val="10"/>
        <w:tabs>
          <w:tab w:val="right" w:leader="dot" w:pos="8306"/>
        </w:tabs>
      </w:pPr>
      <w:r>
        <w:fldChar w:fldCharType="begin"/>
      </w:r>
      <w:r>
        <w:instrText xml:space="preserve"> HYPERLINK \l _Toc30165 </w:instrText>
      </w:r>
      <w:r>
        <w:fldChar w:fldCharType="separate"/>
      </w:r>
      <w:r>
        <w:rPr>
          <w:rFonts w:hint="eastAsia" w:ascii="Times New Roman" w:hAnsi="Times New Roman" w:cs="Times New Roman"/>
        </w:rPr>
        <w:t>（四）推动全域旅游纵深发展</w:t>
      </w:r>
      <w:r>
        <w:tab/>
      </w:r>
      <w:r>
        <w:fldChar w:fldCharType="begin"/>
      </w:r>
      <w:r>
        <w:instrText xml:space="preserve"> PAGEREF _Toc30165 </w:instrText>
      </w:r>
      <w:r>
        <w:fldChar w:fldCharType="separate"/>
      </w:r>
      <w:r>
        <w:t>23</w:t>
      </w:r>
      <w:r>
        <w:fldChar w:fldCharType="end"/>
      </w:r>
      <w:r>
        <w:fldChar w:fldCharType="end"/>
      </w:r>
    </w:p>
    <w:p>
      <w:pPr>
        <w:pStyle w:val="10"/>
        <w:tabs>
          <w:tab w:val="right" w:leader="dot" w:pos="8306"/>
        </w:tabs>
      </w:pPr>
      <w:r>
        <w:fldChar w:fldCharType="begin"/>
      </w:r>
      <w:r>
        <w:instrText xml:space="preserve"> HYPERLINK \l _Toc16304 </w:instrText>
      </w:r>
      <w:r>
        <w:fldChar w:fldCharType="separate"/>
      </w:r>
      <w:r>
        <w:rPr>
          <w:rFonts w:hint="eastAsia" w:ascii="Times New Roman" w:hAnsi="Times New Roman" w:cs="Times New Roman"/>
        </w:rPr>
        <w:t>（五）增强产业引领带动作用</w:t>
      </w:r>
      <w:r>
        <w:tab/>
      </w:r>
      <w:r>
        <w:fldChar w:fldCharType="begin"/>
      </w:r>
      <w:r>
        <w:instrText xml:space="preserve"> PAGEREF _Toc16304 </w:instrText>
      </w:r>
      <w:r>
        <w:fldChar w:fldCharType="separate"/>
      </w:r>
      <w:r>
        <w:t>23</w:t>
      </w:r>
      <w:r>
        <w:fldChar w:fldCharType="end"/>
      </w:r>
      <w:r>
        <w:fldChar w:fldCharType="end"/>
      </w:r>
    </w:p>
    <w:p>
      <w:pPr>
        <w:pStyle w:val="10"/>
        <w:tabs>
          <w:tab w:val="right" w:leader="dot" w:pos="8306"/>
        </w:tabs>
      </w:pPr>
      <w:r>
        <w:fldChar w:fldCharType="begin"/>
      </w:r>
      <w:r>
        <w:instrText xml:space="preserve"> HYPERLINK \l _Toc10022 </w:instrText>
      </w:r>
      <w:r>
        <w:fldChar w:fldCharType="separate"/>
      </w:r>
      <w:r>
        <w:rPr>
          <w:rFonts w:hint="eastAsia" w:ascii="Times New Roman" w:hAnsi="Times New Roman" w:cs="Times New Roman"/>
        </w:rPr>
        <w:t>（六）推进非遗保护与传承</w:t>
      </w:r>
      <w:r>
        <w:tab/>
      </w:r>
      <w:r>
        <w:fldChar w:fldCharType="begin"/>
      </w:r>
      <w:r>
        <w:instrText xml:space="preserve"> PAGEREF _Toc10022 </w:instrText>
      </w:r>
      <w:r>
        <w:fldChar w:fldCharType="separate"/>
      </w:r>
      <w:r>
        <w:t>23</w:t>
      </w:r>
      <w:r>
        <w:fldChar w:fldCharType="end"/>
      </w:r>
      <w:r>
        <w:fldChar w:fldCharType="end"/>
      </w:r>
    </w:p>
    <w:p>
      <w:pPr>
        <w:pStyle w:val="14"/>
        <w:tabs>
          <w:tab w:val="right" w:leader="dot" w:pos="8306"/>
        </w:tabs>
      </w:pPr>
      <w:r>
        <w:fldChar w:fldCharType="begin"/>
      </w:r>
      <w:r>
        <w:instrText xml:space="preserve"> HYPERLINK \l _Toc24801 </w:instrText>
      </w:r>
      <w:r>
        <w:fldChar w:fldCharType="separate"/>
      </w:r>
      <w:r>
        <w:rPr>
          <w:rFonts w:hint="eastAsia" w:ascii="Times New Roman" w:hAnsi="Times New Roman" w:cs="Times New Roman" w:eastAsiaTheme="minorEastAsia"/>
        </w:rPr>
        <w:t>第三章 全域统筹，构建文化旅游空间格局</w:t>
      </w:r>
      <w:r>
        <w:tab/>
      </w:r>
      <w:r>
        <w:fldChar w:fldCharType="begin"/>
      </w:r>
      <w:r>
        <w:instrText xml:space="preserve"> PAGEREF _Toc24801 </w:instrText>
      </w:r>
      <w:r>
        <w:fldChar w:fldCharType="separate"/>
      </w:r>
      <w:r>
        <w:t>25</w:t>
      </w:r>
      <w:r>
        <w:fldChar w:fldCharType="end"/>
      </w:r>
      <w:r>
        <w:fldChar w:fldCharType="end"/>
      </w:r>
    </w:p>
    <w:p>
      <w:pPr>
        <w:pStyle w:val="15"/>
        <w:tabs>
          <w:tab w:val="right" w:leader="dot" w:pos="8306"/>
        </w:tabs>
      </w:pPr>
      <w:r>
        <w:fldChar w:fldCharType="begin"/>
      </w:r>
      <w:r>
        <w:instrText xml:space="preserve"> HYPERLINK \l _Toc26055 </w:instrText>
      </w:r>
      <w:r>
        <w:fldChar w:fldCharType="separate"/>
      </w:r>
      <w:r>
        <w:rPr>
          <w:rFonts w:hint="eastAsia" w:ascii="Times New Roman" w:hAnsi="Times New Roman" w:cs="Times New Roman"/>
        </w:rPr>
        <w:t>一、布局原则</w:t>
      </w:r>
      <w:r>
        <w:tab/>
      </w:r>
      <w:r>
        <w:fldChar w:fldCharType="begin"/>
      </w:r>
      <w:r>
        <w:instrText xml:space="preserve"> PAGEREF _Toc26055 </w:instrText>
      </w:r>
      <w:r>
        <w:fldChar w:fldCharType="separate"/>
      </w:r>
      <w:r>
        <w:t>25</w:t>
      </w:r>
      <w:r>
        <w:fldChar w:fldCharType="end"/>
      </w:r>
      <w:r>
        <w:fldChar w:fldCharType="end"/>
      </w:r>
    </w:p>
    <w:p>
      <w:pPr>
        <w:pStyle w:val="10"/>
        <w:tabs>
          <w:tab w:val="right" w:leader="dot" w:pos="8306"/>
        </w:tabs>
      </w:pPr>
      <w:r>
        <w:fldChar w:fldCharType="begin"/>
      </w:r>
      <w:r>
        <w:instrText xml:space="preserve"> HYPERLINK \l _Toc31106 </w:instrText>
      </w:r>
      <w:r>
        <w:fldChar w:fldCharType="separate"/>
      </w:r>
      <w:r>
        <w:rPr>
          <w:rFonts w:hint="eastAsia" w:ascii="Times New Roman" w:hAnsi="Times New Roman" w:cs="Times New Roman"/>
        </w:rPr>
        <w:t>（一）因地制宜，资源共享</w:t>
      </w:r>
      <w:r>
        <w:tab/>
      </w:r>
      <w:r>
        <w:fldChar w:fldCharType="begin"/>
      </w:r>
      <w:r>
        <w:instrText xml:space="preserve"> PAGEREF _Toc31106 </w:instrText>
      </w:r>
      <w:r>
        <w:fldChar w:fldCharType="separate"/>
      </w:r>
      <w:r>
        <w:t>25</w:t>
      </w:r>
      <w:r>
        <w:fldChar w:fldCharType="end"/>
      </w:r>
      <w:r>
        <w:fldChar w:fldCharType="end"/>
      </w:r>
    </w:p>
    <w:p>
      <w:pPr>
        <w:pStyle w:val="10"/>
        <w:tabs>
          <w:tab w:val="right" w:leader="dot" w:pos="8306"/>
        </w:tabs>
      </w:pPr>
      <w:r>
        <w:fldChar w:fldCharType="begin"/>
      </w:r>
      <w:r>
        <w:instrText xml:space="preserve"> HYPERLINK \l _Toc27899 </w:instrText>
      </w:r>
      <w:r>
        <w:fldChar w:fldCharType="separate"/>
      </w:r>
      <w:r>
        <w:rPr>
          <w:rFonts w:hint="eastAsia" w:ascii="Times New Roman" w:hAnsi="Times New Roman" w:cs="Times New Roman"/>
        </w:rPr>
        <w:t>（二）重点突出，全域统筹</w:t>
      </w:r>
      <w:r>
        <w:tab/>
      </w:r>
      <w:r>
        <w:fldChar w:fldCharType="begin"/>
      </w:r>
      <w:r>
        <w:instrText xml:space="preserve"> PAGEREF _Toc27899 </w:instrText>
      </w:r>
      <w:r>
        <w:fldChar w:fldCharType="separate"/>
      </w:r>
      <w:r>
        <w:t>25</w:t>
      </w:r>
      <w:r>
        <w:fldChar w:fldCharType="end"/>
      </w:r>
      <w:r>
        <w:fldChar w:fldCharType="end"/>
      </w:r>
    </w:p>
    <w:p>
      <w:pPr>
        <w:pStyle w:val="10"/>
        <w:tabs>
          <w:tab w:val="right" w:leader="dot" w:pos="8306"/>
        </w:tabs>
      </w:pPr>
      <w:r>
        <w:fldChar w:fldCharType="begin"/>
      </w:r>
      <w:r>
        <w:instrText xml:space="preserve"> HYPERLINK \l _Toc1220 </w:instrText>
      </w:r>
      <w:r>
        <w:fldChar w:fldCharType="separate"/>
      </w:r>
      <w:r>
        <w:rPr>
          <w:rFonts w:hint="eastAsia" w:ascii="Times New Roman" w:hAnsi="Times New Roman" w:cs="Times New Roman"/>
        </w:rPr>
        <w:t>（三）局部集中，空间连续</w:t>
      </w:r>
      <w:r>
        <w:tab/>
      </w:r>
      <w:r>
        <w:fldChar w:fldCharType="begin"/>
      </w:r>
      <w:r>
        <w:instrText xml:space="preserve"> PAGEREF _Toc1220 </w:instrText>
      </w:r>
      <w:r>
        <w:fldChar w:fldCharType="separate"/>
      </w:r>
      <w:r>
        <w:t>25</w:t>
      </w:r>
      <w:r>
        <w:fldChar w:fldCharType="end"/>
      </w:r>
      <w:r>
        <w:fldChar w:fldCharType="end"/>
      </w:r>
    </w:p>
    <w:p>
      <w:pPr>
        <w:pStyle w:val="15"/>
        <w:tabs>
          <w:tab w:val="right" w:leader="dot" w:pos="8306"/>
        </w:tabs>
      </w:pPr>
      <w:r>
        <w:fldChar w:fldCharType="begin"/>
      </w:r>
      <w:r>
        <w:instrText xml:space="preserve"> HYPERLINK \l _Toc11327 </w:instrText>
      </w:r>
      <w:r>
        <w:fldChar w:fldCharType="separate"/>
      </w:r>
      <w:r>
        <w:rPr>
          <w:rFonts w:hint="eastAsia" w:ascii="Times New Roman" w:hAnsi="Times New Roman" w:cs="Times New Roman"/>
        </w:rPr>
        <w:t>二、空间结构</w:t>
      </w:r>
      <w:r>
        <w:tab/>
      </w:r>
      <w:r>
        <w:fldChar w:fldCharType="begin"/>
      </w:r>
      <w:r>
        <w:instrText xml:space="preserve"> PAGEREF _Toc11327 </w:instrText>
      </w:r>
      <w:r>
        <w:fldChar w:fldCharType="separate"/>
      </w:r>
      <w:r>
        <w:t>25</w:t>
      </w:r>
      <w:r>
        <w:fldChar w:fldCharType="end"/>
      </w:r>
      <w:r>
        <w:fldChar w:fldCharType="end"/>
      </w:r>
    </w:p>
    <w:p>
      <w:pPr>
        <w:pStyle w:val="10"/>
        <w:tabs>
          <w:tab w:val="right" w:leader="dot" w:pos="8306"/>
        </w:tabs>
      </w:pPr>
      <w:r>
        <w:fldChar w:fldCharType="begin"/>
      </w:r>
      <w:r>
        <w:instrText xml:space="preserve"> HYPERLINK \l _Toc22773 </w:instrText>
      </w:r>
      <w:r>
        <w:fldChar w:fldCharType="separate"/>
      </w:r>
      <w:r>
        <w:rPr>
          <w:rFonts w:hint="eastAsia" w:ascii="Times New Roman" w:hAnsi="Times New Roman" w:cs="Times New Roman" w:eastAsiaTheme="minorEastAsia"/>
        </w:rPr>
        <w:t>一心：鄂尔多斯文化旅游综合集散服务中心</w:t>
      </w:r>
      <w:r>
        <w:tab/>
      </w:r>
      <w:r>
        <w:fldChar w:fldCharType="begin"/>
      </w:r>
      <w:r>
        <w:instrText xml:space="preserve"> PAGEREF _Toc22773 </w:instrText>
      </w:r>
      <w:r>
        <w:fldChar w:fldCharType="separate"/>
      </w:r>
      <w:r>
        <w:t>26</w:t>
      </w:r>
      <w:r>
        <w:fldChar w:fldCharType="end"/>
      </w:r>
      <w:r>
        <w:fldChar w:fldCharType="end"/>
      </w:r>
    </w:p>
    <w:p>
      <w:pPr>
        <w:pStyle w:val="10"/>
        <w:tabs>
          <w:tab w:val="right" w:leader="dot" w:pos="8306"/>
        </w:tabs>
      </w:pPr>
      <w:r>
        <w:fldChar w:fldCharType="begin"/>
      </w:r>
      <w:r>
        <w:instrText xml:space="preserve"> HYPERLINK \l _Toc23118 </w:instrText>
      </w:r>
      <w:r>
        <w:fldChar w:fldCharType="separate"/>
      </w:r>
      <w:r>
        <w:rPr>
          <w:rFonts w:hint="eastAsia" w:ascii="Times New Roman" w:hAnsi="Times New Roman" w:cs="Times New Roman" w:eastAsiaTheme="minorEastAsia"/>
        </w:rPr>
        <w:t>一廊：包茂高速文化旅游廊道</w:t>
      </w:r>
      <w:r>
        <w:tab/>
      </w:r>
      <w:r>
        <w:fldChar w:fldCharType="begin"/>
      </w:r>
      <w:r>
        <w:instrText xml:space="preserve"> PAGEREF _Toc23118 </w:instrText>
      </w:r>
      <w:r>
        <w:fldChar w:fldCharType="separate"/>
      </w:r>
      <w:r>
        <w:t>26</w:t>
      </w:r>
      <w:r>
        <w:fldChar w:fldCharType="end"/>
      </w:r>
      <w:r>
        <w:fldChar w:fldCharType="end"/>
      </w:r>
    </w:p>
    <w:p>
      <w:pPr>
        <w:pStyle w:val="10"/>
        <w:tabs>
          <w:tab w:val="right" w:leader="dot" w:pos="8306"/>
        </w:tabs>
      </w:pPr>
      <w:r>
        <w:fldChar w:fldCharType="begin"/>
      </w:r>
      <w:r>
        <w:instrText xml:space="preserve"> HYPERLINK \l _Toc11527 </w:instrText>
      </w:r>
      <w:r>
        <w:fldChar w:fldCharType="separate"/>
      </w:r>
      <w:r>
        <w:rPr>
          <w:rFonts w:hint="eastAsia" w:ascii="Times New Roman" w:hAnsi="Times New Roman" w:cs="Times New Roman" w:eastAsiaTheme="minorEastAsia"/>
        </w:rPr>
        <w:t>两翼：左翼——现代生态工业旅游翼</w:t>
      </w:r>
      <w:r>
        <w:tab/>
      </w:r>
      <w:r>
        <w:fldChar w:fldCharType="begin"/>
      </w:r>
      <w:r>
        <w:instrText xml:space="preserve"> PAGEREF _Toc11527 </w:instrText>
      </w:r>
      <w:r>
        <w:fldChar w:fldCharType="separate"/>
      </w:r>
      <w:r>
        <w:t>26</w:t>
      </w:r>
      <w:r>
        <w:fldChar w:fldCharType="end"/>
      </w:r>
      <w:r>
        <w:fldChar w:fldCharType="end"/>
      </w:r>
    </w:p>
    <w:p>
      <w:pPr>
        <w:pStyle w:val="15"/>
        <w:tabs>
          <w:tab w:val="right" w:leader="dot" w:pos="8306"/>
        </w:tabs>
      </w:pPr>
      <w:r>
        <w:fldChar w:fldCharType="begin"/>
      </w:r>
      <w:r>
        <w:instrText xml:space="preserve"> HYPERLINK \l _Toc10498 </w:instrText>
      </w:r>
      <w:r>
        <w:fldChar w:fldCharType="separate"/>
      </w:r>
      <w:r>
        <w:rPr>
          <w:rFonts w:hint="eastAsia" w:ascii="Times New Roman" w:hAnsi="Times New Roman" w:cs="Times New Roman"/>
        </w:rPr>
        <w:t>三、片区发展</w:t>
      </w:r>
      <w:r>
        <w:tab/>
      </w:r>
      <w:r>
        <w:fldChar w:fldCharType="begin"/>
      </w:r>
      <w:r>
        <w:instrText xml:space="preserve"> PAGEREF _Toc10498 </w:instrText>
      </w:r>
      <w:r>
        <w:fldChar w:fldCharType="separate"/>
      </w:r>
      <w:r>
        <w:t>26</w:t>
      </w:r>
      <w:r>
        <w:fldChar w:fldCharType="end"/>
      </w:r>
      <w:r>
        <w:fldChar w:fldCharType="end"/>
      </w:r>
    </w:p>
    <w:p>
      <w:pPr>
        <w:pStyle w:val="10"/>
        <w:tabs>
          <w:tab w:val="right" w:leader="dot" w:pos="8306"/>
        </w:tabs>
      </w:pPr>
      <w:r>
        <w:fldChar w:fldCharType="begin"/>
      </w:r>
      <w:r>
        <w:instrText xml:space="preserve"> HYPERLINK \l _Toc12112 </w:instrText>
      </w:r>
      <w:r>
        <w:fldChar w:fldCharType="separate"/>
      </w:r>
      <w:r>
        <w:rPr>
          <w:rFonts w:hint="eastAsia" w:ascii="Times New Roman" w:hAnsi="Times New Roman" w:cs="Times New Roman"/>
        </w:rPr>
        <w:t>（一）一心引领</w:t>
      </w:r>
      <w:r>
        <w:tab/>
      </w:r>
      <w:r>
        <w:fldChar w:fldCharType="begin"/>
      </w:r>
      <w:r>
        <w:instrText xml:space="preserve"> PAGEREF _Toc12112 </w:instrText>
      </w:r>
      <w:r>
        <w:fldChar w:fldCharType="separate"/>
      </w:r>
      <w:r>
        <w:t>26</w:t>
      </w:r>
      <w:r>
        <w:fldChar w:fldCharType="end"/>
      </w:r>
      <w:r>
        <w:fldChar w:fldCharType="end"/>
      </w:r>
    </w:p>
    <w:p>
      <w:pPr>
        <w:pStyle w:val="10"/>
        <w:tabs>
          <w:tab w:val="right" w:leader="dot" w:pos="8306"/>
        </w:tabs>
      </w:pPr>
      <w:r>
        <w:fldChar w:fldCharType="begin"/>
      </w:r>
      <w:r>
        <w:instrText xml:space="preserve"> HYPERLINK \l _Toc27034 </w:instrText>
      </w:r>
      <w:r>
        <w:fldChar w:fldCharType="separate"/>
      </w:r>
      <w:r>
        <w:rPr>
          <w:rFonts w:hint="eastAsia" w:ascii="Times New Roman" w:hAnsi="Times New Roman" w:cs="Times New Roman"/>
        </w:rPr>
        <w:t>（二）一廊带动</w:t>
      </w:r>
      <w:r>
        <w:tab/>
      </w:r>
      <w:r>
        <w:fldChar w:fldCharType="begin"/>
      </w:r>
      <w:r>
        <w:instrText xml:space="preserve"> PAGEREF _Toc27034 </w:instrText>
      </w:r>
      <w:r>
        <w:fldChar w:fldCharType="separate"/>
      </w:r>
      <w:r>
        <w:t>26</w:t>
      </w:r>
      <w:r>
        <w:fldChar w:fldCharType="end"/>
      </w:r>
      <w:r>
        <w:fldChar w:fldCharType="end"/>
      </w:r>
    </w:p>
    <w:p>
      <w:pPr>
        <w:pStyle w:val="10"/>
        <w:tabs>
          <w:tab w:val="right" w:leader="dot" w:pos="8306"/>
        </w:tabs>
      </w:pPr>
      <w:r>
        <w:fldChar w:fldCharType="begin"/>
      </w:r>
      <w:r>
        <w:instrText xml:space="preserve"> HYPERLINK \l _Toc24395 </w:instrText>
      </w:r>
      <w:r>
        <w:fldChar w:fldCharType="separate"/>
      </w:r>
      <w:r>
        <w:rPr>
          <w:rFonts w:hint="eastAsia" w:ascii="Times New Roman" w:hAnsi="Times New Roman" w:cs="Times New Roman"/>
        </w:rPr>
        <w:t>（三）两翼齐飞</w:t>
      </w:r>
      <w:r>
        <w:tab/>
      </w:r>
      <w:r>
        <w:fldChar w:fldCharType="begin"/>
      </w:r>
      <w:r>
        <w:instrText xml:space="preserve"> PAGEREF _Toc24395 </w:instrText>
      </w:r>
      <w:r>
        <w:fldChar w:fldCharType="separate"/>
      </w:r>
      <w:r>
        <w:t>27</w:t>
      </w:r>
      <w:r>
        <w:fldChar w:fldCharType="end"/>
      </w:r>
      <w:r>
        <w:fldChar w:fldCharType="end"/>
      </w:r>
    </w:p>
    <w:p>
      <w:pPr>
        <w:pStyle w:val="15"/>
        <w:tabs>
          <w:tab w:val="right" w:leader="dot" w:pos="8306"/>
        </w:tabs>
      </w:pPr>
      <w:r>
        <w:fldChar w:fldCharType="begin"/>
      </w:r>
      <w:r>
        <w:instrText xml:space="preserve"> HYPERLINK \l _Toc11255 </w:instrText>
      </w:r>
      <w:r>
        <w:fldChar w:fldCharType="separate"/>
      </w:r>
      <w:r>
        <w:rPr>
          <w:rFonts w:hint="eastAsia" w:ascii="Times New Roman" w:hAnsi="Times New Roman" w:cs="Times New Roman"/>
        </w:rPr>
        <w:t>四、乡镇分类发展指引</w:t>
      </w:r>
      <w:r>
        <w:tab/>
      </w:r>
      <w:r>
        <w:fldChar w:fldCharType="begin"/>
      </w:r>
      <w:r>
        <w:instrText xml:space="preserve"> PAGEREF _Toc11255 </w:instrText>
      </w:r>
      <w:r>
        <w:fldChar w:fldCharType="separate"/>
      </w:r>
      <w:r>
        <w:t>27</w:t>
      </w:r>
      <w:r>
        <w:fldChar w:fldCharType="end"/>
      </w:r>
      <w:r>
        <w:fldChar w:fldCharType="end"/>
      </w:r>
    </w:p>
    <w:p>
      <w:pPr>
        <w:pStyle w:val="10"/>
        <w:tabs>
          <w:tab w:val="right" w:leader="dot" w:pos="8306"/>
        </w:tabs>
      </w:pPr>
      <w:r>
        <w:fldChar w:fldCharType="begin"/>
      </w:r>
      <w:r>
        <w:instrText xml:space="preserve"> HYPERLINK \l _Toc10852 </w:instrText>
      </w:r>
      <w:r>
        <w:fldChar w:fldCharType="separate"/>
      </w:r>
      <w:r>
        <w:rPr>
          <w:rFonts w:hint="eastAsia" w:ascii="Times New Roman" w:hAnsi="Times New Roman" w:cs="Times New Roman"/>
        </w:rPr>
        <w:t>（一）阿勒腾席热镇</w:t>
      </w:r>
      <w:r>
        <w:tab/>
      </w:r>
      <w:r>
        <w:fldChar w:fldCharType="begin"/>
      </w:r>
      <w:r>
        <w:instrText xml:space="preserve"> PAGEREF _Toc10852 </w:instrText>
      </w:r>
      <w:r>
        <w:fldChar w:fldCharType="separate"/>
      </w:r>
      <w:r>
        <w:t>27</w:t>
      </w:r>
      <w:r>
        <w:fldChar w:fldCharType="end"/>
      </w:r>
      <w:r>
        <w:fldChar w:fldCharType="end"/>
      </w:r>
    </w:p>
    <w:p>
      <w:pPr>
        <w:pStyle w:val="10"/>
        <w:tabs>
          <w:tab w:val="right" w:leader="dot" w:pos="8306"/>
        </w:tabs>
      </w:pPr>
      <w:r>
        <w:fldChar w:fldCharType="begin"/>
      </w:r>
      <w:r>
        <w:instrText xml:space="preserve"> HYPERLINK \l _Toc30907 </w:instrText>
      </w:r>
      <w:r>
        <w:fldChar w:fldCharType="separate"/>
      </w:r>
      <w:r>
        <w:rPr>
          <w:rFonts w:hint="eastAsia" w:ascii="Times New Roman" w:hAnsi="Times New Roman" w:cs="Times New Roman"/>
        </w:rPr>
        <w:t>（二）伊金霍洛镇</w:t>
      </w:r>
      <w:r>
        <w:tab/>
      </w:r>
      <w:r>
        <w:fldChar w:fldCharType="begin"/>
      </w:r>
      <w:r>
        <w:instrText xml:space="preserve"> PAGEREF _Toc30907 </w:instrText>
      </w:r>
      <w:r>
        <w:fldChar w:fldCharType="separate"/>
      </w:r>
      <w:r>
        <w:t>28</w:t>
      </w:r>
      <w:r>
        <w:fldChar w:fldCharType="end"/>
      </w:r>
      <w:r>
        <w:fldChar w:fldCharType="end"/>
      </w:r>
    </w:p>
    <w:p>
      <w:pPr>
        <w:pStyle w:val="10"/>
        <w:tabs>
          <w:tab w:val="right" w:leader="dot" w:pos="8306"/>
        </w:tabs>
      </w:pPr>
      <w:r>
        <w:fldChar w:fldCharType="begin"/>
      </w:r>
      <w:r>
        <w:instrText xml:space="preserve"> HYPERLINK \l _Toc3088 </w:instrText>
      </w:r>
      <w:r>
        <w:fldChar w:fldCharType="separate"/>
      </w:r>
      <w:r>
        <w:rPr>
          <w:rFonts w:hint="eastAsia" w:ascii="Times New Roman" w:hAnsi="Times New Roman" w:cs="Times New Roman"/>
        </w:rPr>
        <w:t>（三）苏布尔嘎镇</w:t>
      </w:r>
      <w:r>
        <w:tab/>
      </w:r>
      <w:r>
        <w:fldChar w:fldCharType="begin"/>
      </w:r>
      <w:r>
        <w:instrText xml:space="preserve"> PAGEREF _Toc3088 </w:instrText>
      </w:r>
      <w:r>
        <w:fldChar w:fldCharType="separate"/>
      </w:r>
      <w:r>
        <w:t>28</w:t>
      </w:r>
      <w:r>
        <w:fldChar w:fldCharType="end"/>
      </w:r>
      <w:r>
        <w:fldChar w:fldCharType="end"/>
      </w:r>
    </w:p>
    <w:p>
      <w:pPr>
        <w:pStyle w:val="10"/>
        <w:tabs>
          <w:tab w:val="right" w:leader="dot" w:pos="8306"/>
        </w:tabs>
      </w:pPr>
      <w:r>
        <w:fldChar w:fldCharType="begin"/>
      </w:r>
      <w:r>
        <w:instrText xml:space="preserve"> HYPERLINK \l _Toc1399 </w:instrText>
      </w:r>
      <w:r>
        <w:fldChar w:fldCharType="separate"/>
      </w:r>
      <w:r>
        <w:rPr>
          <w:rFonts w:hint="eastAsia" w:ascii="Times New Roman" w:hAnsi="Times New Roman" w:cs="Times New Roman"/>
        </w:rPr>
        <w:t>（四）乌兰木伦镇</w:t>
      </w:r>
      <w:r>
        <w:tab/>
      </w:r>
      <w:r>
        <w:fldChar w:fldCharType="begin"/>
      </w:r>
      <w:r>
        <w:instrText xml:space="preserve"> PAGEREF _Toc1399 </w:instrText>
      </w:r>
      <w:r>
        <w:fldChar w:fldCharType="separate"/>
      </w:r>
      <w:r>
        <w:t>28</w:t>
      </w:r>
      <w:r>
        <w:fldChar w:fldCharType="end"/>
      </w:r>
      <w:r>
        <w:fldChar w:fldCharType="end"/>
      </w:r>
    </w:p>
    <w:p>
      <w:pPr>
        <w:pStyle w:val="10"/>
        <w:tabs>
          <w:tab w:val="right" w:leader="dot" w:pos="8306"/>
        </w:tabs>
      </w:pPr>
      <w:r>
        <w:fldChar w:fldCharType="begin"/>
      </w:r>
      <w:r>
        <w:instrText xml:space="preserve"> HYPERLINK \l _Toc13250 </w:instrText>
      </w:r>
      <w:r>
        <w:fldChar w:fldCharType="separate"/>
      </w:r>
      <w:r>
        <w:rPr>
          <w:rFonts w:hint="eastAsia" w:ascii="Times New Roman" w:hAnsi="Times New Roman" w:cs="Times New Roman"/>
        </w:rPr>
        <w:t>（五）纳林陶亥镇</w:t>
      </w:r>
      <w:r>
        <w:tab/>
      </w:r>
      <w:r>
        <w:fldChar w:fldCharType="begin"/>
      </w:r>
      <w:r>
        <w:instrText xml:space="preserve"> PAGEREF _Toc13250 </w:instrText>
      </w:r>
      <w:r>
        <w:fldChar w:fldCharType="separate"/>
      </w:r>
      <w:r>
        <w:t>29</w:t>
      </w:r>
      <w:r>
        <w:fldChar w:fldCharType="end"/>
      </w:r>
      <w:r>
        <w:fldChar w:fldCharType="end"/>
      </w:r>
    </w:p>
    <w:p>
      <w:pPr>
        <w:pStyle w:val="10"/>
        <w:tabs>
          <w:tab w:val="right" w:leader="dot" w:pos="8306"/>
        </w:tabs>
      </w:pPr>
      <w:r>
        <w:fldChar w:fldCharType="begin"/>
      </w:r>
      <w:r>
        <w:instrText xml:space="preserve"> HYPERLINK \l _Toc31568 </w:instrText>
      </w:r>
      <w:r>
        <w:fldChar w:fldCharType="separate"/>
      </w:r>
      <w:r>
        <w:rPr>
          <w:rFonts w:hint="eastAsia" w:ascii="Times New Roman" w:hAnsi="Times New Roman" w:cs="Times New Roman"/>
        </w:rPr>
        <w:t>（六）札萨克镇</w:t>
      </w:r>
      <w:r>
        <w:tab/>
      </w:r>
      <w:r>
        <w:fldChar w:fldCharType="begin"/>
      </w:r>
      <w:r>
        <w:instrText xml:space="preserve"> PAGEREF _Toc31568 </w:instrText>
      </w:r>
      <w:r>
        <w:fldChar w:fldCharType="separate"/>
      </w:r>
      <w:r>
        <w:t>29</w:t>
      </w:r>
      <w:r>
        <w:fldChar w:fldCharType="end"/>
      </w:r>
      <w:r>
        <w:fldChar w:fldCharType="end"/>
      </w:r>
    </w:p>
    <w:p>
      <w:pPr>
        <w:pStyle w:val="10"/>
        <w:tabs>
          <w:tab w:val="right" w:leader="dot" w:pos="8306"/>
        </w:tabs>
      </w:pPr>
      <w:r>
        <w:fldChar w:fldCharType="begin"/>
      </w:r>
      <w:r>
        <w:instrText xml:space="preserve"> HYPERLINK \l _Toc1923 </w:instrText>
      </w:r>
      <w:r>
        <w:fldChar w:fldCharType="separate"/>
      </w:r>
      <w:r>
        <w:rPr>
          <w:rFonts w:hint="eastAsia" w:ascii="Times New Roman" w:hAnsi="Times New Roman" w:cs="Times New Roman"/>
        </w:rPr>
        <w:t>（七）红庆河镇</w:t>
      </w:r>
      <w:r>
        <w:tab/>
      </w:r>
      <w:r>
        <w:fldChar w:fldCharType="begin"/>
      </w:r>
      <w:r>
        <w:instrText xml:space="preserve"> PAGEREF _Toc1923 </w:instrText>
      </w:r>
      <w:r>
        <w:fldChar w:fldCharType="separate"/>
      </w:r>
      <w:r>
        <w:t>29</w:t>
      </w:r>
      <w:r>
        <w:fldChar w:fldCharType="end"/>
      </w:r>
      <w:r>
        <w:fldChar w:fldCharType="end"/>
      </w:r>
    </w:p>
    <w:p>
      <w:pPr>
        <w:pStyle w:val="14"/>
        <w:tabs>
          <w:tab w:val="right" w:leader="dot" w:pos="8306"/>
        </w:tabs>
      </w:pPr>
      <w:r>
        <w:fldChar w:fldCharType="begin"/>
      </w:r>
      <w:r>
        <w:instrText xml:space="preserve"> HYPERLINK \l _Toc27588 </w:instrText>
      </w:r>
      <w:r>
        <w:fldChar w:fldCharType="separate"/>
      </w:r>
      <w:r>
        <w:rPr>
          <w:rFonts w:hint="eastAsia" w:ascii="Times New Roman" w:hAnsi="Times New Roman" w:cs="Times New Roman" w:eastAsiaTheme="minorEastAsia"/>
        </w:rPr>
        <w:t>第四章 提升整合，完善文化旅游要素配套</w:t>
      </w:r>
      <w:r>
        <w:tab/>
      </w:r>
      <w:r>
        <w:fldChar w:fldCharType="begin"/>
      </w:r>
      <w:r>
        <w:instrText xml:space="preserve"> PAGEREF _Toc27588 </w:instrText>
      </w:r>
      <w:r>
        <w:fldChar w:fldCharType="separate"/>
      </w:r>
      <w:r>
        <w:t>30</w:t>
      </w:r>
      <w:r>
        <w:fldChar w:fldCharType="end"/>
      </w:r>
      <w:r>
        <w:fldChar w:fldCharType="end"/>
      </w:r>
    </w:p>
    <w:p>
      <w:pPr>
        <w:pStyle w:val="15"/>
        <w:tabs>
          <w:tab w:val="right" w:leader="dot" w:pos="8306"/>
        </w:tabs>
      </w:pPr>
      <w:r>
        <w:fldChar w:fldCharType="begin"/>
      </w:r>
      <w:r>
        <w:instrText xml:space="preserve"> HYPERLINK \l _Toc20523 </w:instrText>
      </w:r>
      <w:r>
        <w:fldChar w:fldCharType="separate"/>
      </w:r>
      <w:r>
        <w:rPr>
          <w:rFonts w:hint="eastAsia" w:ascii="Times New Roman" w:hAnsi="Times New Roman" w:cs="Times New Roman"/>
        </w:rPr>
        <w:t>一、打造多元化住宿体系</w:t>
      </w:r>
      <w:r>
        <w:tab/>
      </w:r>
      <w:r>
        <w:fldChar w:fldCharType="begin"/>
      </w:r>
      <w:r>
        <w:instrText xml:space="preserve"> PAGEREF _Toc20523 </w:instrText>
      </w:r>
      <w:r>
        <w:fldChar w:fldCharType="separate"/>
      </w:r>
      <w:r>
        <w:t>30</w:t>
      </w:r>
      <w:r>
        <w:fldChar w:fldCharType="end"/>
      </w:r>
      <w:r>
        <w:fldChar w:fldCharType="end"/>
      </w:r>
    </w:p>
    <w:p>
      <w:pPr>
        <w:pStyle w:val="15"/>
        <w:tabs>
          <w:tab w:val="right" w:leader="dot" w:pos="8306"/>
        </w:tabs>
      </w:pPr>
      <w:r>
        <w:fldChar w:fldCharType="begin"/>
      </w:r>
      <w:r>
        <w:instrText xml:space="preserve"> HYPERLINK \l _Toc11365 </w:instrText>
      </w:r>
      <w:r>
        <w:fldChar w:fldCharType="separate"/>
      </w:r>
      <w:r>
        <w:rPr>
          <w:rFonts w:hint="eastAsia" w:ascii="Times New Roman" w:hAnsi="Times New Roman" w:cs="Times New Roman"/>
        </w:rPr>
        <w:t>二、打造“伊金霍洛味道”的特色餐饮</w:t>
      </w:r>
      <w:r>
        <w:tab/>
      </w:r>
      <w:r>
        <w:fldChar w:fldCharType="begin"/>
      </w:r>
      <w:r>
        <w:instrText xml:space="preserve"> PAGEREF _Toc11365 </w:instrText>
      </w:r>
      <w:r>
        <w:fldChar w:fldCharType="separate"/>
      </w:r>
      <w:r>
        <w:t>30</w:t>
      </w:r>
      <w:r>
        <w:fldChar w:fldCharType="end"/>
      </w:r>
      <w:r>
        <w:fldChar w:fldCharType="end"/>
      </w:r>
    </w:p>
    <w:p>
      <w:pPr>
        <w:pStyle w:val="15"/>
        <w:tabs>
          <w:tab w:val="right" w:leader="dot" w:pos="8306"/>
        </w:tabs>
      </w:pPr>
      <w:r>
        <w:fldChar w:fldCharType="begin"/>
      </w:r>
      <w:r>
        <w:instrText xml:space="preserve"> HYPERLINK \l _Toc1174 </w:instrText>
      </w:r>
      <w:r>
        <w:fldChar w:fldCharType="separate"/>
      </w:r>
      <w:r>
        <w:rPr>
          <w:rFonts w:hint="eastAsia" w:ascii="Times New Roman" w:hAnsi="Times New Roman" w:cs="Times New Roman"/>
        </w:rPr>
        <w:t>三、完善旅游休闲场所设施</w:t>
      </w:r>
      <w:r>
        <w:tab/>
      </w:r>
      <w:r>
        <w:fldChar w:fldCharType="begin"/>
      </w:r>
      <w:r>
        <w:instrText xml:space="preserve"> PAGEREF _Toc1174 </w:instrText>
      </w:r>
      <w:r>
        <w:fldChar w:fldCharType="separate"/>
      </w:r>
      <w:r>
        <w:t>31</w:t>
      </w:r>
      <w:r>
        <w:fldChar w:fldCharType="end"/>
      </w:r>
      <w:r>
        <w:fldChar w:fldCharType="end"/>
      </w:r>
    </w:p>
    <w:p>
      <w:pPr>
        <w:pStyle w:val="15"/>
        <w:tabs>
          <w:tab w:val="right" w:leader="dot" w:pos="8306"/>
        </w:tabs>
      </w:pPr>
      <w:r>
        <w:fldChar w:fldCharType="begin"/>
      </w:r>
      <w:r>
        <w:instrText xml:space="preserve"> HYPERLINK \l _Toc22998 </w:instrText>
      </w:r>
      <w:r>
        <w:fldChar w:fldCharType="separate"/>
      </w:r>
      <w:r>
        <w:rPr>
          <w:rFonts w:hint="eastAsia" w:ascii="Times New Roman" w:hAnsi="Times New Roman" w:cs="Times New Roman"/>
        </w:rPr>
        <w:t>四、形成种类丰富的旅游商品体系</w:t>
      </w:r>
      <w:r>
        <w:tab/>
      </w:r>
      <w:r>
        <w:fldChar w:fldCharType="begin"/>
      </w:r>
      <w:r>
        <w:instrText xml:space="preserve"> PAGEREF _Toc22998 </w:instrText>
      </w:r>
      <w:r>
        <w:fldChar w:fldCharType="separate"/>
      </w:r>
      <w:r>
        <w:t>31</w:t>
      </w:r>
      <w:r>
        <w:fldChar w:fldCharType="end"/>
      </w:r>
      <w:r>
        <w:fldChar w:fldCharType="end"/>
      </w:r>
    </w:p>
    <w:p>
      <w:pPr>
        <w:pStyle w:val="15"/>
        <w:tabs>
          <w:tab w:val="right" w:leader="dot" w:pos="8306"/>
        </w:tabs>
      </w:pPr>
      <w:r>
        <w:fldChar w:fldCharType="begin"/>
      </w:r>
      <w:r>
        <w:instrText xml:space="preserve"> HYPERLINK \l _Toc4936 </w:instrText>
      </w:r>
      <w:r>
        <w:fldChar w:fldCharType="separate"/>
      </w:r>
      <w:r>
        <w:rPr>
          <w:rFonts w:hint="eastAsia" w:ascii="Times New Roman" w:hAnsi="Times New Roman" w:cs="Times New Roman"/>
        </w:rPr>
        <w:t>五、提高旅游企业服务质量</w:t>
      </w:r>
      <w:r>
        <w:tab/>
      </w:r>
      <w:r>
        <w:fldChar w:fldCharType="begin"/>
      </w:r>
      <w:r>
        <w:instrText xml:space="preserve"> PAGEREF _Toc4936 </w:instrText>
      </w:r>
      <w:r>
        <w:fldChar w:fldCharType="separate"/>
      </w:r>
      <w:r>
        <w:t>32</w:t>
      </w:r>
      <w:r>
        <w:fldChar w:fldCharType="end"/>
      </w:r>
      <w:r>
        <w:fldChar w:fldCharType="end"/>
      </w:r>
    </w:p>
    <w:p>
      <w:pPr>
        <w:pStyle w:val="14"/>
        <w:tabs>
          <w:tab w:val="right" w:leader="dot" w:pos="8306"/>
        </w:tabs>
      </w:pPr>
      <w:r>
        <w:fldChar w:fldCharType="begin"/>
      </w:r>
      <w:r>
        <w:instrText xml:space="preserve"> HYPERLINK \l _Toc847 </w:instrText>
      </w:r>
      <w:r>
        <w:fldChar w:fldCharType="separate"/>
      </w:r>
      <w:r>
        <w:rPr>
          <w:rFonts w:hint="eastAsia" w:ascii="Times New Roman" w:hAnsi="Times New Roman" w:cs="Times New Roman" w:eastAsiaTheme="minorEastAsia"/>
        </w:rPr>
        <w:t>第五章 融合发展，丰富文化旅游产品体系</w:t>
      </w:r>
      <w:r>
        <w:tab/>
      </w:r>
      <w:r>
        <w:fldChar w:fldCharType="begin"/>
      </w:r>
      <w:r>
        <w:instrText xml:space="preserve"> PAGEREF _Toc847 </w:instrText>
      </w:r>
      <w:r>
        <w:fldChar w:fldCharType="separate"/>
      </w:r>
      <w:r>
        <w:t>33</w:t>
      </w:r>
      <w:r>
        <w:fldChar w:fldCharType="end"/>
      </w:r>
      <w:r>
        <w:fldChar w:fldCharType="end"/>
      </w:r>
    </w:p>
    <w:p>
      <w:pPr>
        <w:pStyle w:val="15"/>
        <w:tabs>
          <w:tab w:val="right" w:leader="dot" w:pos="8306"/>
        </w:tabs>
      </w:pPr>
      <w:r>
        <w:fldChar w:fldCharType="begin"/>
      </w:r>
      <w:r>
        <w:instrText xml:space="preserve"> HYPERLINK \l _Toc18006 </w:instrText>
      </w:r>
      <w:r>
        <w:fldChar w:fldCharType="separate"/>
      </w:r>
      <w:r>
        <w:rPr>
          <w:rFonts w:hint="eastAsia" w:ascii="Times New Roman" w:hAnsi="Times New Roman" w:cs="Times New Roman"/>
        </w:rPr>
        <w:t>一、巩固和提升传统旅游产品</w:t>
      </w:r>
      <w:r>
        <w:tab/>
      </w:r>
      <w:r>
        <w:fldChar w:fldCharType="begin"/>
      </w:r>
      <w:r>
        <w:instrText xml:space="preserve"> PAGEREF _Toc18006 </w:instrText>
      </w:r>
      <w:r>
        <w:fldChar w:fldCharType="separate"/>
      </w:r>
      <w:r>
        <w:t>33</w:t>
      </w:r>
      <w:r>
        <w:fldChar w:fldCharType="end"/>
      </w:r>
      <w:r>
        <w:fldChar w:fldCharType="end"/>
      </w:r>
    </w:p>
    <w:p>
      <w:pPr>
        <w:pStyle w:val="15"/>
        <w:tabs>
          <w:tab w:val="right" w:leader="dot" w:pos="8306"/>
        </w:tabs>
      </w:pPr>
      <w:r>
        <w:fldChar w:fldCharType="begin"/>
      </w:r>
      <w:r>
        <w:instrText xml:space="preserve"> HYPERLINK \l _Toc19294 </w:instrText>
      </w:r>
      <w:r>
        <w:fldChar w:fldCharType="separate"/>
      </w:r>
      <w:r>
        <w:rPr>
          <w:rFonts w:hint="eastAsia" w:ascii="Times New Roman" w:hAnsi="Times New Roman" w:cs="Times New Roman"/>
        </w:rPr>
        <w:t>二、培育和打造新业态旅游产品</w:t>
      </w:r>
      <w:r>
        <w:tab/>
      </w:r>
      <w:r>
        <w:fldChar w:fldCharType="begin"/>
      </w:r>
      <w:r>
        <w:instrText xml:space="preserve"> PAGEREF _Toc19294 </w:instrText>
      </w:r>
      <w:r>
        <w:fldChar w:fldCharType="separate"/>
      </w:r>
      <w:r>
        <w:t>33</w:t>
      </w:r>
      <w:r>
        <w:fldChar w:fldCharType="end"/>
      </w:r>
      <w:r>
        <w:fldChar w:fldCharType="end"/>
      </w:r>
    </w:p>
    <w:p>
      <w:pPr>
        <w:pStyle w:val="10"/>
        <w:tabs>
          <w:tab w:val="right" w:leader="dot" w:pos="8306"/>
        </w:tabs>
      </w:pPr>
      <w:r>
        <w:fldChar w:fldCharType="begin"/>
      </w:r>
      <w:r>
        <w:instrText xml:space="preserve"> HYPERLINK \l _Toc31643 </w:instrText>
      </w:r>
      <w:r>
        <w:fldChar w:fldCharType="separate"/>
      </w:r>
      <w:r>
        <w:rPr>
          <w:rFonts w:hint="eastAsia" w:ascii="Times New Roman" w:hAnsi="Times New Roman" w:cs="Times New Roman"/>
        </w:rPr>
        <w:t>（一）文化创意旅游产品</w:t>
      </w:r>
      <w:r>
        <w:tab/>
      </w:r>
      <w:r>
        <w:fldChar w:fldCharType="begin"/>
      </w:r>
      <w:r>
        <w:instrText xml:space="preserve"> PAGEREF _Toc31643 </w:instrText>
      </w:r>
      <w:r>
        <w:fldChar w:fldCharType="separate"/>
      </w:r>
      <w:r>
        <w:t>33</w:t>
      </w:r>
      <w:r>
        <w:fldChar w:fldCharType="end"/>
      </w:r>
      <w:r>
        <w:fldChar w:fldCharType="end"/>
      </w:r>
    </w:p>
    <w:p>
      <w:pPr>
        <w:pStyle w:val="10"/>
        <w:tabs>
          <w:tab w:val="right" w:leader="dot" w:pos="8306"/>
        </w:tabs>
      </w:pPr>
      <w:r>
        <w:fldChar w:fldCharType="begin"/>
      </w:r>
      <w:r>
        <w:instrText xml:space="preserve"> HYPERLINK \l _Toc28630 </w:instrText>
      </w:r>
      <w:r>
        <w:fldChar w:fldCharType="separate"/>
      </w:r>
      <w:r>
        <w:rPr>
          <w:rFonts w:hint="eastAsia" w:ascii="Times New Roman" w:hAnsi="Times New Roman" w:cs="Times New Roman"/>
        </w:rPr>
        <w:t>（二）现代演艺旅游产品</w:t>
      </w:r>
      <w:r>
        <w:tab/>
      </w:r>
      <w:r>
        <w:fldChar w:fldCharType="begin"/>
      </w:r>
      <w:r>
        <w:instrText xml:space="preserve"> PAGEREF _Toc28630 </w:instrText>
      </w:r>
      <w:r>
        <w:fldChar w:fldCharType="separate"/>
      </w:r>
      <w:r>
        <w:t>33</w:t>
      </w:r>
      <w:r>
        <w:fldChar w:fldCharType="end"/>
      </w:r>
      <w:r>
        <w:fldChar w:fldCharType="end"/>
      </w:r>
    </w:p>
    <w:p>
      <w:pPr>
        <w:pStyle w:val="10"/>
        <w:tabs>
          <w:tab w:val="right" w:leader="dot" w:pos="8306"/>
        </w:tabs>
      </w:pPr>
      <w:r>
        <w:fldChar w:fldCharType="begin"/>
      </w:r>
      <w:r>
        <w:instrText xml:space="preserve"> HYPERLINK \l _Toc31610 </w:instrText>
      </w:r>
      <w:r>
        <w:fldChar w:fldCharType="separate"/>
      </w:r>
      <w:r>
        <w:rPr>
          <w:rFonts w:hint="eastAsia" w:ascii="Times New Roman" w:hAnsi="Times New Roman" w:cs="Times New Roman"/>
        </w:rPr>
        <w:t>（三）康体养生旅游产品</w:t>
      </w:r>
      <w:r>
        <w:tab/>
      </w:r>
      <w:r>
        <w:fldChar w:fldCharType="begin"/>
      </w:r>
      <w:r>
        <w:instrText xml:space="preserve"> PAGEREF _Toc31610 </w:instrText>
      </w:r>
      <w:r>
        <w:fldChar w:fldCharType="separate"/>
      </w:r>
      <w:r>
        <w:t>34</w:t>
      </w:r>
      <w:r>
        <w:fldChar w:fldCharType="end"/>
      </w:r>
      <w:r>
        <w:fldChar w:fldCharType="end"/>
      </w:r>
    </w:p>
    <w:p>
      <w:pPr>
        <w:pStyle w:val="10"/>
        <w:tabs>
          <w:tab w:val="right" w:leader="dot" w:pos="8306"/>
        </w:tabs>
      </w:pPr>
      <w:r>
        <w:fldChar w:fldCharType="begin"/>
      </w:r>
      <w:r>
        <w:instrText xml:space="preserve"> HYPERLINK \l _Toc31237 </w:instrText>
      </w:r>
      <w:r>
        <w:fldChar w:fldCharType="separate"/>
      </w:r>
      <w:r>
        <w:rPr>
          <w:rFonts w:hint="eastAsia" w:ascii="Times New Roman" w:hAnsi="Times New Roman" w:cs="Times New Roman"/>
        </w:rPr>
        <w:t>（四）研学旅行旅游产品</w:t>
      </w:r>
      <w:r>
        <w:tab/>
      </w:r>
      <w:r>
        <w:fldChar w:fldCharType="begin"/>
      </w:r>
      <w:r>
        <w:instrText xml:space="preserve"> PAGEREF _Toc31237 </w:instrText>
      </w:r>
      <w:r>
        <w:fldChar w:fldCharType="separate"/>
      </w:r>
      <w:r>
        <w:t>34</w:t>
      </w:r>
      <w:r>
        <w:fldChar w:fldCharType="end"/>
      </w:r>
      <w:r>
        <w:fldChar w:fldCharType="end"/>
      </w:r>
    </w:p>
    <w:p>
      <w:pPr>
        <w:pStyle w:val="10"/>
        <w:tabs>
          <w:tab w:val="right" w:leader="dot" w:pos="8306"/>
        </w:tabs>
      </w:pPr>
      <w:r>
        <w:fldChar w:fldCharType="begin"/>
      </w:r>
      <w:r>
        <w:instrText xml:space="preserve"> HYPERLINK \l _Toc19126 </w:instrText>
      </w:r>
      <w:r>
        <w:fldChar w:fldCharType="separate"/>
      </w:r>
      <w:r>
        <w:rPr>
          <w:rFonts w:hint="eastAsia" w:ascii="Times New Roman" w:hAnsi="Times New Roman" w:cs="Times New Roman"/>
        </w:rPr>
        <w:t>（五）自驾营地旅游产品</w:t>
      </w:r>
      <w:r>
        <w:tab/>
      </w:r>
      <w:r>
        <w:fldChar w:fldCharType="begin"/>
      </w:r>
      <w:r>
        <w:instrText xml:space="preserve"> PAGEREF _Toc19126 </w:instrText>
      </w:r>
      <w:r>
        <w:fldChar w:fldCharType="separate"/>
      </w:r>
      <w:r>
        <w:t>34</w:t>
      </w:r>
      <w:r>
        <w:fldChar w:fldCharType="end"/>
      </w:r>
      <w:r>
        <w:fldChar w:fldCharType="end"/>
      </w:r>
    </w:p>
    <w:p>
      <w:pPr>
        <w:pStyle w:val="10"/>
        <w:tabs>
          <w:tab w:val="right" w:leader="dot" w:pos="8306"/>
        </w:tabs>
      </w:pPr>
      <w:r>
        <w:fldChar w:fldCharType="begin"/>
      </w:r>
      <w:r>
        <w:instrText xml:space="preserve"> HYPERLINK \l _Toc8602 </w:instrText>
      </w:r>
      <w:r>
        <w:fldChar w:fldCharType="separate"/>
      </w:r>
      <w:r>
        <w:rPr>
          <w:rFonts w:hint="eastAsia" w:ascii="Times New Roman" w:hAnsi="Times New Roman" w:cs="Times New Roman"/>
        </w:rPr>
        <w:t>（六）工业旅游产品</w:t>
      </w:r>
      <w:r>
        <w:tab/>
      </w:r>
      <w:r>
        <w:fldChar w:fldCharType="begin"/>
      </w:r>
      <w:r>
        <w:instrText xml:space="preserve"> PAGEREF _Toc8602 </w:instrText>
      </w:r>
      <w:r>
        <w:fldChar w:fldCharType="separate"/>
      </w:r>
      <w:r>
        <w:t>34</w:t>
      </w:r>
      <w:r>
        <w:fldChar w:fldCharType="end"/>
      </w:r>
      <w:r>
        <w:fldChar w:fldCharType="end"/>
      </w:r>
    </w:p>
    <w:p>
      <w:pPr>
        <w:pStyle w:val="10"/>
        <w:tabs>
          <w:tab w:val="right" w:leader="dot" w:pos="8306"/>
        </w:tabs>
      </w:pPr>
      <w:r>
        <w:fldChar w:fldCharType="begin"/>
      </w:r>
      <w:r>
        <w:instrText xml:space="preserve"> HYPERLINK \l _Toc30775 </w:instrText>
      </w:r>
      <w:r>
        <w:fldChar w:fldCharType="separate"/>
      </w:r>
      <w:r>
        <w:rPr>
          <w:rFonts w:hint="eastAsia" w:ascii="Times New Roman" w:hAnsi="Times New Roman" w:cs="Times New Roman"/>
        </w:rPr>
        <w:t>（七）低空旅游产品</w:t>
      </w:r>
      <w:r>
        <w:tab/>
      </w:r>
      <w:r>
        <w:fldChar w:fldCharType="begin"/>
      </w:r>
      <w:r>
        <w:instrText xml:space="preserve"> PAGEREF _Toc30775 </w:instrText>
      </w:r>
      <w:r>
        <w:fldChar w:fldCharType="separate"/>
      </w:r>
      <w:r>
        <w:t>35</w:t>
      </w:r>
      <w:r>
        <w:fldChar w:fldCharType="end"/>
      </w:r>
      <w:r>
        <w:fldChar w:fldCharType="end"/>
      </w:r>
    </w:p>
    <w:p>
      <w:pPr>
        <w:pStyle w:val="10"/>
        <w:tabs>
          <w:tab w:val="right" w:leader="dot" w:pos="8306"/>
        </w:tabs>
      </w:pPr>
      <w:r>
        <w:fldChar w:fldCharType="begin"/>
      </w:r>
      <w:r>
        <w:instrText xml:space="preserve"> HYPERLINK \l _Toc32756 </w:instrText>
      </w:r>
      <w:r>
        <w:fldChar w:fldCharType="separate"/>
      </w:r>
      <w:r>
        <w:rPr>
          <w:rFonts w:hint="eastAsia" w:ascii="Times New Roman" w:hAnsi="Times New Roman" w:cs="Times New Roman"/>
        </w:rPr>
        <w:t>（八）线上旅游产品</w:t>
      </w:r>
      <w:r>
        <w:tab/>
      </w:r>
      <w:r>
        <w:fldChar w:fldCharType="begin"/>
      </w:r>
      <w:r>
        <w:instrText xml:space="preserve"> PAGEREF _Toc32756 </w:instrText>
      </w:r>
      <w:r>
        <w:fldChar w:fldCharType="separate"/>
      </w:r>
      <w:r>
        <w:t>35</w:t>
      </w:r>
      <w:r>
        <w:fldChar w:fldCharType="end"/>
      </w:r>
      <w:r>
        <w:fldChar w:fldCharType="end"/>
      </w:r>
    </w:p>
    <w:p>
      <w:pPr>
        <w:pStyle w:val="10"/>
        <w:tabs>
          <w:tab w:val="right" w:leader="dot" w:pos="8306"/>
        </w:tabs>
      </w:pPr>
      <w:r>
        <w:fldChar w:fldCharType="begin"/>
      </w:r>
      <w:r>
        <w:instrText xml:space="preserve"> HYPERLINK \l _Toc24239 </w:instrText>
      </w:r>
      <w:r>
        <w:fldChar w:fldCharType="separate"/>
      </w:r>
      <w:r>
        <w:rPr>
          <w:rFonts w:hint="eastAsia" w:ascii="Times New Roman" w:hAnsi="Times New Roman" w:cs="Times New Roman"/>
        </w:rPr>
        <w:t>（九）乡村旅游产品</w:t>
      </w:r>
      <w:r>
        <w:tab/>
      </w:r>
      <w:r>
        <w:fldChar w:fldCharType="begin"/>
      </w:r>
      <w:r>
        <w:instrText xml:space="preserve"> PAGEREF _Toc24239 </w:instrText>
      </w:r>
      <w:r>
        <w:fldChar w:fldCharType="separate"/>
      </w:r>
      <w:r>
        <w:t>35</w:t>
      </w:r>
      <w:r>
        <w:fldChar w:fldCharType="end"/>
      </w:r>
      <w:r>
        <w:fldChar w:fldCharType="end"/>
      </w:r>
    </w:p>
    <w:p>
      <w:pPr>
        <w:pStyle w:val="10"/>
        <w:tabs>
          <w:tab w:val="right" w:leader="dot" w:pos="8306"/>
        </w:tabs>
      </w:pPr>
      <w:r>
        <w:fldChar w:fldCharType="begin"/>
      </w:r>
      <w:r>
        <w:instrText xml:space="preserve"> HYPERLINK \l _Toc16988 </w:instrText>
      </w:r>
      <w:r>
        <w:fldChar w:fldCharType="separate"/>
      </w:r>
      <w:r>
        <w:rPr>
          <w:rFonts w:hint="eastAsia" w:ascii="Times New Roman" w:hAnsi="Times New Roman" w:cs="Times New Roman"/>
        </w:rPr>
        <w:t>（十）红色旅游产品</w:t>
      </w:r>
      <w:r>
        <w:tab/>
      </w:r>
      <w:r>
        <w:fldChar w:fldCharType="begin"/>
      </w:r>
      <w:r>
        <w:instrText xml:space="preserve"> PAGEREF _Toc16988 </w:instrText>
      </w:r>
      <w:r>
        <w:fldChar w:fldCharType="separate"/>
      </w:r>
      <w:r>
        <w:t>36</w:t>
      </w:r>
      <w:r>
        <w:fldChar w:fldCharType="end"/>
      </w:r>
      <w:r>
        <w:fldChar w:fldCharType="end"/>
      </w:r>
    </w:p>
    <w:p>
      <w:pPr>
        <w:pStyle w:val="10"/>
        <w:tabs>
          <w:tab w:val="right" w:leader="dot" w:pos="8306"/>
        </w:tabs>
      </w:pPr>
      <w:r>
        <w:fldChar w:fldCharType="begin"/>
      </w:r>
      <w:r>
        <w:instrText xml:space="preserve"> HYPERLINK \l _Toc922 </w:instrText>
      </w:r>
      <w:r>
        <w:fldChar w:fldCharType="separate"/>
      </w:r>
      <w:r>
        <w:rPr>
          <w:rFonts w:hint="eastAsia" w:ascii="Times New Roman" w:hAnsi="Times New Roman" w:cs="Times New Roman"/>
        </w:rPr>
        <w:t>（十一）冬季旅游产品</w:t>
      </w:r>
      <w:r>
        <w:tab/>
      </w:r>
      <w:r>
        <w:fldChar w:fldCharType="begin"/>
      </w:r>
      <w:r>
        <w:instrText xml:space="preserve"> PAGEREF _Toc922 </w:instrText>
      </w:r>
      <w:r>
        <w:fldChar w:fldCharType="separate"/>
      </w:r>
      <w:r>
        <w:t>37</w:t>
      </w:r>
      <w:r>
        <w:fldChar w:fldCharType="end"/>
      </w:r>
      <w:r>
        <w:fldChar w:fldCharType="end"/>
      </w:r>
    </w:p>
    <w:p>
      <w:pPr>
        <w:pStyle w:val="10"/>
        <w:tabs>
          <w:tab w:val="right" w:leader="dot" w:pos="8306"/>
        </w:tabs>
      </w:pPr>
      <w:r>
        <w:fldChar w:fldCharType="begin"/>
      </w:r>
      <w:r>
        <w:instrText xml:space="preserve"> HYPERLINK \l _Toc18883 </w:instrText>
      </w:r>
      <w:r>
        <w:fldChar w:fldCharType="separate"/>
      </w:r>
      <w:r>
        <w:rPr>
          <w:rFonts w:hint="eastAsia" w:ascii="Times New Roman" w:hAnsi="Times New Roman" w:cs="Times New Roman"/>
        </w:rPr>
        <w:t>（十二）夜间旅游产品</w:t>
      </w:r>
      <w:r>
        <w:tab/>
      </w:r>
      <w:r>
        <w:fldChar w:fldCharType="begin"/>
      </w:r>
      <w:r>
        <w:instrText xml:space="preserve"> PAGEREF _Toc18883 </w:instrText>
      </w:r>
      <w:r>
        <w:fldChar w:fldCharType="separate"/>
      </w:r>
      <w:r>
        <w:t>37</w:t>
      </w:r>
      <w:r>
        <w:fldChar w:fldCharType="end"/>
      </w:r>
      <w:r>
        <w:fldChar w:fldCharType="end"/>
      </w:r>
    </w:p>
    <w:p>
      <w:pPr>
        <w:pStyle w:val="10"/>
        <w:tabs>
          <w:tab w:val="right" w:leader="dot" w:pos="8306"/>
        </w:tabs>
      </w:pPr>
      <w:r>
        <w:fldChar w:fldCharType="begin"/>
      </w:r>
      <w:r>
        <w:instrText xml:space="preserve"> HYPERLINK \l _Toc11659 </w:instrText>
      </w:r>
      <w:r>
        <w:fldChar w:fldCharType="separate"/>
      </w:r>
      <w:r>
        <w:rPr>
          <w:rFonts w:hint="eastAsia" w:ascii="Times New Roman" w:hAnsi="Times New Roman" w:cs="Times New Roman"/>
        </w:rPr>
        <w:t>（十三）美食旅游产品</w:t>
      </w:r>
      <w:r>
        <w:tab/>
      </w:r>
      <w:r>
        <w:fldChar w:fldCharType="begin"/>
      </w:r>
      <w:r>
        <w:instrText xml:space="preserve"> PAGEREF _Toc11659 </w:instrText>
      </w:r>
      <w:r>
        <w:fldChar w:fldCharType="separate"/>
      </w:r>
      <w:r>
        <w:t>37</w:t>
      </w:r>
      <w:r>
        <w:fldChar w:fldCharType="end"/>
      </w:r>
      <w:r>
        <w:fldChar w:fldCharType="end"/>
      </w:r>
    </w:p>
    <w:p>
      <w:pPr>
        <w:pStyle w:val="15"/>
        <w:tabs>
          <w:tab w:val="right" w:leader="dot" w:pos="8306"/>
        </w:tabs>
      </w:pPr>
      <w:r>
        <w:fldChar w:fldCharType="begin"/>
      </w:r>
      <w:r>
        <w:instrText xml:space="preserve"> HYPERLINK \l _Toc9114 </w:instrText>
      </w:r>
      <w:r>
        <w:fldChar w:fldCharType="separate"/>
      </w:r>
      <w:r>
        <w:rPr>
          <w:rFonts w:hint="eastAsia" w:ascii="Times New Roman" w:hAnsi="Times New Roman" w:cs="Times New Roman"/>
        </w:rPr>
        <w:t>三、形成精品文化旅游线路</w:t>
      </w:r>
      <w:r>
        <w:tab/>
      </w:r>
      <w:r>
        <w:fldChar w:fldCharType="begin"/>
      </w:r>
      <w:r>
        <w:instrText xml:space="preserve"> PAGEREF _Toc9114 </w:instrText>
      </w:r>
      <w:r>
        <w:fldChar w:fldCharType="separate"/>
      </w:r>
      <w:r>
        <w:t>38</w:t>
      </w:r>
      <w:r>
        <w:fldChar w:fldCharType="end"/>
      </w:r>
      <w:r>
        <w:fldChar w:fldCharType="end"/>
      </w:r>
    </w:p>
    <w:p>
      <w:pPr>
        <w:pStyle w:val="14"/>
        <w:tabs>
          <w:tab w:val="right" w:leader="dot" w:pos="8306"/>
        </w:tabs>
      </w:pPr>
      <w:r>
        <w:fldChar w:fldCharType="begin"/>
      </w:r>
      <w:r>
        <w:instrText xml:space="preserve"> HYPERLINK \l _Toc20649 </w:instrText>
      </w:r>
      <w:r>
        <w:fldChar w:fldCharType="separate"/>
      </w:r>
      <w:r>
        <w:rPr>
          <w:rFonts w:hint="eastAsia" w:ascii="Times New Roman" w:hAnsi="Times New Roman" w:cs="Times New Roman" w:eastAsiaTheme="minorEastAsia"/>
        </w:rPr>
        <w:t>第六章 项目推动，打造文旅发展龙头抓手</w:t>
      </w:r>
      <w:r>
        <w:tab/>
      </w:r>
      <w:r>
        <w:fldChar w:fldCharType="begin"/>
      </w:r>
      <w:r>
        <w:instrText xml:space="preserve"> PAGEREF _Toc20649 </w:instrText>
      </w:r>
      <w:r>
        <w:fldChar w:fldCharType="separate"/>
      </w:r>
      <w:r>
        <w:t>40</w:t>
      </w:r>
      <w:r>
        <w:fldChar w:fldCharType="end"/>
      </w:r>
      <w:r>
        <w:fldChar w:fldCharType="end"/>
      </w:r>
    </w:p>
    <w:p>
      <w:pPr>
        <w:pStyle w:val="15"/>
        <w:tabs>
          <w:tab w:val="right" w:leader="dot" w:pos="8306"/>
        </w:tabs>
      </w:pPr>
      <w:r>
        <w:fldChar w:fldCharType="begin"/>
      </w:r>
      <w:r>
        <w:instrText xml:space="preserve"> HYPERLINK \l _Toc371 </w:instrText>
      </w:r>
      <w:r>
        <w:fldChar w:fldCharType="separate"/>
      </w:r>
      <w:r>
        <w:rPr>
          <w:rFonts w:hint="eastAsia" w:ascii="Times New Roman" w:hAnsi="Times New Roman" w:cs="Times New Roman"/>
        </w:rPr>
        <w:t>一、完善规划编制</w:t>
      </w:r>
      <w:r>
        <w:tab/>
      </w:r>
      <w:r>
        <w:fldChar w:fldCharType="begin"/>
      </w:r>
      <w:r>
        <w:instrText xml:space="preserve"> PAGEREF _Toc371 </w:instrText>
      </w:r>
      <w:r>
        <w:fldChar w:fldCharType="separate"/>
      </w:r>
      <w:r>
        <w:t>40</w:t>
      </w:r>
      <w:r>
        <w:fldChar w:fldCharType="end"/>
      </w:r>
      <w:r>
        <w:fldChar w:fldCharType="end"/>
      </w:r>
    </w:p>
    <w:p>
      <w:pPr>
        <w:pStyle w:val="15"/>
        <w:tabs>
          <w:tab w:val="right" w:leader="dot" w:pos="8306"/>
        </w:tabs>
      </w:pPr>
      <w:r>
        <w:fldChar w:fldCharType="begin"/>
      </w:r>
      <w:r>
        <w:instrText xml:space="preserve"> HYPERLINK \l _Toc22050 </w:instrText>
      </w:r>
      <w:r>
        <w:fldChar w:fldCharType="separate"/>
      </w:r>
      <w:r>
        <w:rPr>
          <w:rFonts w:hint="eastAsia" w:ascii="Times New Roman" w:hAnsi="Times New Roman" w:cs="Times New Roman"/>
        </w:rPr>
        <w:t>二、创建一个全域旅游示范区</w:t>
      </w:r>
      <w:r>
        <w:tab/>
      </w:r>
      <w:r>
        <w:fldChar w:fldCharType="begin"/>
      </w:r>
      <w:r>
        <w:instrText xml:space="preserve"> PAGEREF _Toc22050 </w:instrText>
      </w:r>
      <w:r>
        <w:fldChar w:fldCharType="separate"/>
      </w:r>
      <w:r>
        <w:t>40</w:t>
      </w:r>
      <w:r>
        <w:fldChar w:fldCharType="end"/>
      </w:r>
      <w:r>
        <w:fldChar w:fldCharType="end"/>
      </w:r>
    </w:p>
    <w:p>
      <w:pPr>
        <w:pStyle w:val="10"/>
        <w:tabs>
          <w:tab w:val="right" w:leader="dot" w:pos="8306"/>
        </w:tabs>
      </w:pPr>
      <w:r>
        <w:fldChar w:fldCharType="begin"/>
      </w:r>
      <w:r>
        <w:instrText xml:space="preserve"> HYPERLINK \l _Toc13859 </w:instrText>
      </w:r>
      <w:r>
        <w:fldChar w:fldCharType="separate"/>
      </w:r>
      <w:r>
        <w:rPr>
          <w:rFonts w:hint="eastAsia" w:ascii="Times New Roman" w:hAnsi="Times New Roman" w:cs="Times New Roman"/>
        </w:rPr>
        <w:t>（一）创建机遇</w:t>
      </w:r>
      <w:r>
        <w:tab/>
      </w:r>
      <w:r>
        <w:fldChar w:fldCharType="begin"/>
      </w:r>
      <w:r>
        <w:instrText xml:space="preserve"> PAGEREF _Toc13859 </w:instrText>
      </w:r>
      <w:r>
        <w:fldChar w:fldCharType="separate"/>
      </w:r>
      <w:r>
        <w:t>40</w:t>
      </w:r>
      <w:r>
        <w:fldChar w:fldCharType="end"/>
      </w:r>
      <w:r>
        <w:fldChar w:fldCharType="end"/>
      </w:r>
    </w:p>
    <w:p>
      <w:pPr>
        <w:pStyle w:val="10"/>
        <w:tabs>
          <w:tab w:val="right" w:leader="dot" w:pos="8306"/>
        </w:tabs>
      </w:pPr>
      <w:r>
        <w:fldChar w:fldCharType="begin"/>
      </w:r>
      <w:r>
        <w:instrText xml:space="preserve"> HYPERLINK \l _Toc610 </w:instrText>
      </w:r>
      <w:r>
        <w:fldChar w:fldCharType="separate"/>
      </w:r>
      <w:r>
        <w:rPr>
          <w:rFonts w:hint="eastAsia" w:ascii="Times New Roman" w:hAnsi="Times New Roman" w:cs="Times New Roman"/>
        </w:rPr>
        <w:t>（二）创建优势</w:t>
      </w:r>
      <w:r>
        <w:tab/>
      </w:r>
      <w:r>
        <w:fldChar w:fldCharType="begin"/>
      </w:r>
      <w:r>
        <w:instrText xml:space="preserve"> PAGEREF _Toc610 </w:instrText>
      </w:r>
      <w:r>
        <w:fldChar w:fldCharType="separate"/>
      </w:r>
      <w:r>
        <w:t>40</w:t>
      </w:r>
      <w:r>
        <w:fldChar w:fldCharType="end"/>
      </w:r>
      <w:r>
        <w:fldChar w:fldCharType="end"/>
      </w:r>
    </w:p>
    <w:p>
      <w:pPr>
        <w:pStyle w:val="10"/>
        <w:tabs>
          <w:tab w:val="right" w:leader="dot" w:pos="8306"/>
        </w:tabs>
      </w:pPr>
      <w:r>
        <w:fldChar w:fldCharType="begin"/>
      </w:r>
      <w:r>
        <w:instrText xml:space="preserve"> HYPERLINK \l _Toc1419 </w:instrText>
      </w:r>
      <w:r>
        <w:fldChar w:fldCharType="separate"/>
      </w:r>
      <w:r>
        <w:rPr>
          <w:rFonts w:hint="eastAsia" w:ascii="Times New Roman" w:hAnsi="Times New Roman" w:cs="Times New Roman"/>
        </w:rPr>
        <w:t>（三）创建重点</w:t>
      </w:r>
      <w:r>
        <w:tab/>
      </w:r>
      <w:r>
        <w:fldChar w:fldCharType="begin"/>
      </w:r>
      <w:r>
        <w:instrText xml:space="preserve"> PAGEREF _Toc1419 </w:instrText>
      </w:r>
      <w:r>
        <w:fldChar w:fldCharType="separate"/>
      </w:r>
      <w:r>
        <w:t>41</w:t>
      </w:r>
      <w:r>
        <w:fldChar w:fldCharType="end"/>
      </w:r>
      <w:r>
        <w:fldChar w:fldCharType="end"/>
      </w:r>
    </w:p>
    <w:p>
      <w:pPr>
        <w:pStyle w:val="10"/>
        <w:tabs>
          <w:tab w:val="right" w:leader="dot" w:pos="8306"/>
        </w:tabs>
      </w:pPr>
      <w:r>
        <w:fldChar w:fldCharType="begin"/>
      </w:r>
      <w:r>
        <w:instrText xml:space="preserve"> HYPERLINK \l _Toc32335 </w:instrText>
      </w:r>
      <w:r>
        <w:fldChar w:fldCharType="separate"/>
      </w:r>
      <w:r>
        <w:rPr>
          <w:rFonts w:hint="eastAsia" w:ascii="Times New Roman" w:hAnsi="Times New Roman" w:cs="Times New Roman"/>
        </w:rPr>
        <w:t>（四）创建流程</w:t>
      </w:r>
      <w:r>
        <w:tab/>
      </w:r>
      <w:r>
        <w:fldChar w:fldCharType="begin"/>
      </w:r>
      <w:r>
        <w:instrText xml:space="preserve"> PAGEREF _Toc32335 </w:instrText>
      </w:r>
      <w:r>
        <w:fldChar w:fldCharType="separate"/>
      </w:r>
      <w:r>
        <w:t>44</w:t>
      </w:r>
      <w:r>
        <w:fldChar w:fldCharType="end"/>
      </w:r>
      <w:r>
        <w:fldChar w:fldCharType="end"/>
      </w:r>
    </w:p>
    <w:p>
      <w:pPr>
        <w:pStyle w:val="15"/>
        <w:tabs>
          <w:tab w:val="right" w:leader="dot" w:pos="8306"/>
        </w:tabs>
      </w:pPr>
      <w:r>
        <w:fldChar w:fldCharType="begin"/>
      </w:r>
      <w:r>
        <w:instrText xml:space="preserve"> HYPERLINK \l _Toc8056 </w:instrText>
      </w:r>
      <w:r>
        <w:fldChar w:fldCharType="separate"/>
      </w:r>
      <w:r>
        <w:rPr>
          <w:rFonts w:hint="eastAsia" w:ascii="Times New Roman" w:hAnsi="Times New Roman" w:cs="Times New Roman"/>
        </w:rPr>
        <w:t>三、重点推动两大核心项目</w:t>
      </w:r>
      <w:r>
        <w:tab/>
      </w:r>
      <w:r>
        <w:fldChar w:fldCharType="begin"/>
      </w:r>
      <w:r>
        <w:instrText xml:space="preserve"> PAGEREF _Toc8056 </w:instrText>
      </w:r>
      <w:r>
        <w:fldChar w:fldCharType="separate"/>
      </w:r>
      <w:r>
        <w:t>44</w:t>
      </w:r>
      <w:r>
        <w:fldChar w:fldCharType="end"/>
      </w:r>
      <w:r>
        <w:fldChar w:fldCharType="end"/>
      </w:r>
    </w:p>
    <w:p>
      <w:pPr>
        <w:pStyle w:val="10"/>
        <w:tabs>
          <w:tab w:val="right" w:leader="dot" w:pos="8306"/>
        </w:tabs>
      </w:pPr>
      <w:r>
        <w:fldChar w:fldCharType="begin"/>
      </w:r>
      <w:r>
        <w:instrText xml:space="preserve"> HYPERLINK \l _Toc8979 </w:instrText>
      </w:r>
      <w:r>
        <w:fldChar w:fldCharType="separate"/>
      </w:r>
      <w:r>
        <w:rPr>
          <w:rFonts w:hint="eastAsia" w:ascii="Times New Roman" w:hAnsi="Times New Roman" w:cs="Times New Roman"/>
        </w:rPr>
        <w:t>（一）大成吉思汗陵文化旅游区</w:t>
      </w:r>
      <w:r>
        <w:tab/>
      </w:r>
      <w:r>
        <w:fldChar w:fldCharType="begin"/>
      </w:r>
      <w:r>
        <w:instrText xml:space="preserve"> PAGEREF _Toc8979 </w:instrText>
      </w:r>
      <w:r>
        <w:fldChar w:fldCharType="separate"/>
      </w:r>
      <w:r>
        <w:t>44</w:t>
      </w:r>
      <w:r>
        <w:fldChar w:fldCharType="end"/>
      </w:r>
      <w:r>
        <w:fldChar w:fldCharType="end"/>
      </w:r>
    </w:p>
    <w:p>
      <w:pPr>
        <w:pStyle w:val="10"/>
        <w:tabs>
          <w:tab w:val="right" w:leader="dot" w:pos="8306"/>
        </w:tabs>
      </w:pPr>
      <w:r>
        <w:fldChar w:fldCharType="begin"/>
      </w:r>
      <w:r>
        <w:instrText xml:space="preserve"> HYPERLINK \l _Toc1713 </w:instrText>
      </w:r>
      <w:r>
        <w:fldChar w:fldCharType="separate"/>
      </w:r>
      <w:r>
        <w:rPr>
          <w:rFonts w:hint="eastAsia" w:ascii="Times New Roman" w:hAnsi="Times New Roman" w:cs="Times New Roman"/>
        </w:rPr>
        <w:t>（二）苏泊罕草原旅游区</w:t>
      </w:r>
      <w:r>
        <w:tab/>
      </w:r>
      <w:r>
        <w:fldChar w:fldCharType="begin"/>
      </w:r>
      <w:r>
        <w:instrText xml:space="preserve"> PAGEREF _Toc1713 </w:instrText>
      </w:r>
      <w:r>
        <w:fldChar w:fldCharType="separate"/>
      </w:r>
      <w:r>
        <w:t>45</w:t>
      </w:r>
      <w:r>
        <w:fldChar w:fldCharType="end"/>
      </w:r>
      <w:r>
        <w:fldChar w:fldCharType="end"/>
      </w:r>
    </w:p>
    <w:p>
      <w:pPr>
        <w:pStyle w:val="15"/>
        <w:tabs>
          <w:tab w:val="right" w:leader="dot" w:pos="8306"/>
        </w:tabs>
      </w:pPr>
      <w:r>
        <w:fldChar w:fldCharType="begin"/>
      </w:r>
      <w:r>
        <w:instrText xml:space="preserve"> HYPERLINK \l _Toc25974 </w:instrText>
      </w:r>
      <w:r>
        <w:fldChar w:fldCharType="separate"/>
      </w:r>
      <w:r>
        <w:rPr>
          <w:rFonts w:hint="eastAsia" w:ascii="Times New Roman" w:hAnsi="Times New Roman" w:cs="Times New Roman"/>
        </w:rPr>
        <w:t>四、着力提升四个老景区项目</w:t>
      </w:r>
      <w:r>
        <w:tab/>
      </w:r>
      <w:r>
        <w:fldChar w:fldCharType="begin"/>
      </w:r>
      <w:r>
        <w:instrText xml:space="preserve"> PAGEREF _Toc25974 </w:instrText>
      </w:r>
      <w:r>
        <w:fldChar w:fldCharType="separate"/>
      </w:r>
      <w:r>
        <w:t>46</w:t>
      </w:r>
      <w:r>
        <w:fldChar w:fldCharType="end"/>
      </w:r>
      <w:r>
        <w:fldChar w:fldCharType="end"/>
      </w:r>
    </w:p>
    <w:p>
      <w:pPr>
        <w:pStyle w:val="10"/>
        <w:tabs>
          <w:tab w:val="right" w:leader="dot" w:pos="8306"/>
        </w:tabs>
      </w:pPr>
      <w:r>
        <w:fldChar w:fldCharType="begin"/>
      </w:r>
      <w:r>
        <w:instrText xml:space="preserve"> HYPERLINK \l _Toc28027 </w:instrText>
      </w:r>
      <w:r>
        <w:fldChar w:fldCharType="separate"/>
      </w:r>
      <w:r>
        <w:rPr>
          <w:rFonts w:hint="eastAsia" w:ascii="Times New Roman" w:hAnsi="Times New Roman" w:cs="Times New Roman"/>
        </w:rPr>
        <w:t>（一）</w:t>
      </w:r>
      <w:r>
        <w:rPr>
          <w:rFonts w:hint="eastAsia" w:ascii="Times New Roman" w:hAnsi="Times New Roman" w:cs="Times New Roman"/>
          <w:lang w:eastAsia="zh-CN"/>
        </w:rPr>
        <w:t>鄂尔多斯文化</w:t>
      </w:r>
      <w:r>
        <w:tab/>
      </w:r>
      <w:r>
        <w:fldChar w:fldCharType="begin"/>
      </w:r>
      <w:r>
        <w:instrText xml:space="preserve"> PAGEREF _Toc28027 </w:instrText>
      </w:r>
      <w:r>
        <w:fldChar w:fldCharType="separate"/>
      </w:r>
      <w:r>
        <w:t>46</w:t>
      </w:r>
      <w:r>
        <w:fldChar w:fldCharType="end"/>
      </w:r>
      <w:r>
        <w:fldChar w:fldCharType="end"/>
      </w:r>
    </w:p>
    <w:p>
      <w:pPr>
        <w:pStyle w:val="10"/>
        <w:tabs>
          <w:tab w:val="right" w:leader="dot" w:pos="8306"/>
        </w:tabs>
      </w:pPr>
      <w:r>
        <w:fldChar w:fldCharType="begin"/>
      </w:r>
      <w:r>
        <w:instrText xml:space="preserve"> HYPERLINK \l _Toc25822 </w:instrText>
      </w:r>
      <w:r>
        <w:fldChar w:fldCharType="separate"/>
      </w:r>
      <w:r>
        <w:rPr>
          <w:rFonts w:hint="eastAsia" w:ascii="Times New Roman" w:hAnsi="Times New Roman" w:cs="Times New Roman"/>
        </w:rPr>
        <w:t>（二）伊景园城市沙山旅游区</w:t>
      </w:r>
      <w:r>
        <w:tab/>
      </w:r>
      <w:r>
        <w:fldChar w:fldCharType="begin"/>
      </w:r>
      <w:r>
        <w:instrText xml:space="preserve"> PAGEREF _Toc25822 </w:instrText>
      </w:r>
      <w:r>
        <w:fldChar w:fldCharType="separate"/>
      </w:r>
      <w:r>
        <w:t>47</w:t>
      </w:r>
      <w:r>
        <w:fldChar w:fldCharType="end"/>
      </w:r>
      <w:r>
        <w:fldChar w:fldCharType="end"/>
      </w:r>
    </w:p>
    <w:p>
      <w:pPr>
        <w:pStyle w:val="10"/>
        <w:tabs>
          <w:tab w:val="right" w:leader="dot" w:pos="8306"/>
        </w:tabs>
      </w:pPr>
      <w:r>
        <w:fldChar w:fldCharType="begin"/>
      </w:r>
      <w:r>
        <w:instrText xml:space="preserve"> HYPERLINK \l _Toc6926 </w:instrText>
      </w:r>
      <w:r>
        <w:fldChar w:fldCharType="separate"/>
      </w:r>
      <w:r>
        <w:rPr>
          <w:rFonts w:hint="eastAsia" w:ascii="Times New Roman" w:hAnsi="Times New Roman" w:cs="Times New Roman"/>
        </w:rPr>
        <w:t>（三）</w:t>
      </w:r>
      <w:r>
        <w:rPr>
          <w:rFonts w:hint="eastAsia" w:ascii="Times New Roman" w:hAnsi="Times New Roman" w:cs="Times New Roman"/>
          <w:lang w:eastAsia="zh-CN"/>
        </w:rPr>
        <w:t>颐和生态文化博览园</w:t>
      </w:r>
      <w:r>
        <w:tab/>
      </w:r>
      <w:r>
        <w:fldChar w:fldCharType="begin"/>
      </w:r>
      <w:r>
        <w:instrText xml:space="preserve"> PAGEREF _Toc6926 </w:instrText>
      </w:r>
      <w:r>
        <w:fldChar w:fldCharType="separate"/>
      </w:r>
      <w:r>
        <w:t>48</w:t>
      </w:r>
      <w:r>
        <w:fldChar w:fldCharType="end"/>
      </w:r>
      <w:r>
        <w:fldChar w:fldCharType="end"/>
      </w:r>
    </w:p>
    <w:p>
      <w:pPr>
        <w:pStyle w:val="10"/>
        <w:tabs>
          <w:tab w:val="right" w:leader="dot" w:pos="8306"/>
        </w:tabs>
      </w:pPr>
      <w:r>
        <w:fldChar w:fldCharType="begin"/>
      </w:r>
      <w:r>
        <w:instrText xml:space="preserve"> HYPERLINK \l _Toc872 </w:instrText>
      </w:r>
      <w:r>
        <w:fldChar w:fldCharType="separate"/>
      </w:r>
      <w:r>
        <w:rPr>
          <w:rFonts w:hint="eastAsia" w:ascii="Times New Roman" w:hAnsi="Times New Roman" w:cs="Times New Roman"/>
        </w:rPr>
        <w:t>（四）红海子湿地</w:t>
      </w:r>
      <w:r>
        <w:tab/>
      </w:r>
      <w:r>
        <w:fldChar w:fldCharType="begin"/>
      </w:r>
      <w:r>
        <w:instrText xml:space="preserve"> PAGEREF _Toc872 </w:instrText>
      </w:r>
      <w:r>
        <w:fldChar w:fldCharType="separate"/>
      </w:r>
      <w:r>
        <w:t>49</w:t>
      </w:r>
      <w:r>
        <w:fldChar w:fldCharType="end"/>
      </w:r>
      <w:r>
        <w:fldChar w:fldCharType="end"/>
      </w:r>
    </w:p>
    <w:p>
      <w:pPr>
        <w:pStyle w:val="15"/>
        <w:tabs>
          <w:tab w:val="right" w:leader="dot" w:pos="8306"/>
        </w:tabs>
      </w:pPr>
      <w:r>
        <w:fldChar w:fldCharType="begin"/>
      </w:r>
      <w:r>
        <w:instrText xml:space="preserve"> HYPERLINK \l _Toc18892 </w:instrText>
      </w:r>
      <w:r>
        <w:fldChar w:fldCharType="separate"/>
      </w:r>
      <w:r>
        <w:rPr>
          <w:rFonts w:hint="eastAsia" w:ascii="Times New Roman" w:hAnsi="Times New Roman" w:cs="Times New Roman"/>
        </w:rPr>
        <w:t>五、建设</w:t>
      </w:r>
      <w:r>
        <w:rPr>
          <w:rFonts w:hint="eastAsia" w:ascii="Times New Roman" w:hAnsi="Times New Roman" w:cs="Times New Roman"/>
          <w:lang w:eastAsia="zh-CN"/>
        </w:rPr>
        <w:t>五</w:t>
      </w:r>
      <w:r>
        <w:rPr>
          <w:rFonts w:hint="eastAsia" w:ascii="Times New Roman" w:hAnsi="Times New Roman" w:cs="Times New Roman"/>
        </w:rPr>
        <w:t>大创新文旅项目</w:t>
      </w:r>
      <w:r>
        <w:tab/>
      </w:r>
      <w:r>
        <w:fldChar w:fldCharType="begin"/>
      </w:r>
      <w:r>
        <w:instrText xml:space="preserve"> PAGEREF _Toc18892 </w:instrText>
      </w:r>
      <w:r>
        <w:fldChar w:fldCharType="separate"/>
      </w:r>
      <w:r>
        <w:t>50</w:t>
      </w:r>
      <w:r>
        <w:fldChar w:fldCharType="end"/>
      </w:r>
      <w:r>
        <w:fldChar w:fldCharType="end"/>
      </w:r>
    </w:p>
    <w:p>
      <w:pPr>
        <w:pStyle w:val="10"/>
        <w:tabs>
          <w:tab w:val="right" w:leader="dot" w:pos="8306"/>
        </w:tabs>
      </w:pPr>
      <w:r>
        <w:fldChar w:fldCharType="begin"/>
      </w:r>
      <w:r>
        <w:instrText xml:space="preserve"> HYPERLINK \l _Toc11335 </w:instrText>
      </w:r>
      <w:r>
        <w:fldChar w:fldCharType="separate"/>
      </w:r>
      <w:r>
        <w:rPr>
          <w:rFonts w:hint="eastAsia" w:ascii="Times New Roman" w:hAnsi="Times New Roman" w:cs="Times New Roman"/>
        </w:rPr>
        <w:t>（</w:t>
      </w:r>
      <w:r>
        <w:rPr>
          <w:rFonts w:hint="eastAsia" w:ascii="Times New Roman" w:hAnsi="Times New Roman" w:cs="Times New Roman"/>
          <w:lang w:eastAsia="zh-CN"/>
        </w:rPr>
        <w:t>一</w:t>
      </w:r>
      <w:r>
        <w:rPr>
          <w:rFonts w:hint="eastAsia" w:ascii="Times New Roman" w:hAnsi="Times New Roman" w:cs="Times New Roman"/>
        </w:rPr>
        <w:t>）国家级休闲度假小镇</w:t>
      </w:r>
      <w:r>
        <w:tab/>
      </w:r>
      <w:r>
        <w:fldChar w:fldCharType="begin"/>
      </w:r>
      <w:r>
        <w:instrText xml:space="preserve"> PAGEREF _Toc11335 </w:instrText>
      </w:r>
      <w:r>
        <w:fldChar w:fldCharType="separate"/>
      </w:r>
      <w:r>
        <w:t>51</w:t>
      </w:r>
      <w:r>
        <w:fldChar w:fldCharType="end"/>
      </w:r>
      <w:r>
        <w:fldChar w:fldCharType="end"/>
      </w:r>
    </w:p>
    <w:p>
      <w:pPr>
        <w:pStyle w:val="10"/>
        <w:tabs>
          <w:tab w:val="right" w:leader="dot" w:pos="8306"/>
        </w:tabs>
      </w:pPr>
      <w:r>
        <w:fldChar w:fldCharType="begin"/>
      </w:r>
      <w:r>
        <w:instrText xml:space="preserve"> HYPERLINK \l _Toc3718 </w:instrText>
      </w:r>
      <w:r>
        <w:fldChar w:fldCharType="separate"/>
      </w:r>
      <w:r>
        <w:rPr>
          <w:rFonts w:hint="eastAsia" w:ascii="Times New Roman" w:hAnsi="Times New Roman" w:cs="Times New Roman"/>
        </w:rPr>
        <w:t>（</w:t>
      </w:r>
      <w:r>
        <w:rPr>
          <w:rFonts w:hint="eastAsia" w:ascii="Times New Roman" w:hAnsi="Times New Roman" w:cs="Times New Roman"/>
          <w:lang w:eastAsia="zh-CN"/>
        </w:rPr>
        <w:t>二</w:t>
      </w:r>
      <w:r>
        <w:rPr>
          <w:rFonts w:hint="eastAsia" w:ascii="Times New Roman" w:hAnsi="Times New Roman" w:cs="Times New Roman"/>
        </w:rPr>
        <w:t>）苏布尔嘎非遗嘎查</w:t>
      </w:r>
      <w:r>
        <w:tab/>
      </w:r>
      <w:r>
        <w:fldChar w:fldCharType="begin"/>
      </w:r>
      <w:r>
        <w:instrText xml:space="preserve"> PAGEREF _Toc3718 </w:instrText>
      </w:r>
      <w:r>
        <w:fldChar w:fldCharType="separate"/>
      </w:r>
      <w:r>
        <w:t>52</w:t>
      </w:r>
      <w:r>
        <w:fldChar w:fldCharType="end"/>
      </w:r>
      <w:r>
        <w:fldChar w:fldCharType="end"/>
      </w:r>
    </w:p>
    <w:p>
      <w:pPr>
        <w:pStyle w:val="10"/>
        <w:tabs>
          <w:tab w:val="right" w:leader="dot" w:pos="8306"/>
        </w:tabs>
      </w:pPr>
      <w:r>
        <w:fldChar w:fldCharType="begin"/>
      </w:r>
      <w:r>
        <w:instrText xml:space="preserve"> HYPERLINK \l _Toc30546 </w:instrText>
      </w:r>
      <w:r>
        <w:fldChar w:fldCharType="separate"/>
      </w:r>
      <w:r>
        <w:rPr>
          <w:rFonts w:hint="eastAsia" w:ascii="Times New Roman" w:hAnsi="Times New Roman" w:cs="Times New Roman"/>
        </w:rPr>
        <w:t>（</w:t>
      </w:r>
      <w:r>
        <w:rPr>
          <w:rFonts w:hint="eastAsia" w:ascii="Times New Roman" w:hAnsi="Times New Roman" w:cs="Times New Roman"/>
          <w:lang w:eastAsia="zh-CN"/>
        </w:rPr>
        <w:t>三</w:t>
      </w:r>
      <w:r>
        <w:rPr>
          <w:rFonts w:hint="eastAsia" w:ascii="Times New Roman" w:hAnsi="Times New Roman" w:cs="Times New Roman"/>
        </w:rPr>
        <w:t>）伊金霍洛旗博物馆</w:t>
      </w:r>
      <w:r>
        <w:tab/>
      </w:r>
      <w:r>
        <w:fldChar w:fldCharType="begin"/>
      </w:r>
      <w:r>
        <w:instrText xml:space="preserve"> PAGEREF _Toc30546 </w:instrText>
      </w:r>
      <w:r>
        <w:fldChar w:fldCharType="separate"/>
      </w:r>
      <w:r>
        <w:t>53</w:t>
      </w:r>
      <w:r>
        <w:fldChar w:fldCharType="end"/>
      </w:r>
      <w:r>
        <w:fldChar w:fldCharType="end"/>
      </w:r>
    </w:p>
    <w:p>
      <w:pPr>
        <w:pStyle w:val="10"/>
        <w:tabs>
          <w:tab w:val="right" w:leader="dot" w:pos="8306"/>
        </w:tabs>
      </w:pPr>
      <w:r>
        <w:fldChar w:fldCharType="begin"/>
      </w:r>
      <w:r>
        <w:instrText xml:space="preserve"> HYPERLINK \l _Toc16576 </w:instrText>
      </w:r>
      <w:r>
        <w:fldChar w:fldCharType="separate"/>
      </w:r>
      <w:r>
        <w:rPr>
          <w:rFonts w:hint="eastAsia" w:ascii="Times New Roman" w:hAnsi="Times New Roman" w:cs="Times New Roman"/>
        </w:rPr>
        <w:t>（</w:t>
      </w:r>
      <w:r>
        <w:rPr>
          <w:rFonts w:hint="eastAsia" w:ascii="Times New Roman" w:hAnsi="Times New Roman" w:cs="Times New Roman"/>
          <w:lang w:eastAsia="zh-CN"/>
        </w:rPr>
        <w:t>四</w:t>
      </w:r>
      <w:r>
        <w:rPr>
          <w:rFonts w:hint="eastAsia" w:ascii="Times New Roman" w:hAnsi="Times New Roman" w:cs="Times New Roman"/>
        </w:rPr>
        <w:t>）特色实景演出</w:t>
      </w:r>
      <w:r>
        <w:tab/>
      </w:r>
      <w:r>
        <w:fldChar w:fldCharType="begin"/>
      </w:r>
      <w:r>
        <w:instrText xml:space="preserve"> PAGEREF _Toc16576 </w:instrText>
      </w:r>
      <w:r>
        <w:fldChar w:fldCharType="separate"/>
      </w:r>
      <w:r>
        <w:t>54</w:t>
      </w:r>
      <w:r>
        <w:fldChar w:fldCharType="end"/>
      </w:r>
      <w:r>
        <w:fldChar w:fldCharType="end"/>
      </w:r>
    </w:p>
    <w:p>
      <w:pPr>
        <w:pStyle w:val="10"/>
        <w:tabs>
          <w:tab w:val="right" w:leader="dot" w:pos="8306"/>
        </w:tabs>
      </w:pPr>
      <w:r>
        <w:fldChar w:fldCharType="begin"/>
      </w:r>
      <w:r>
        <w:instrText xml:space="preserve"> HYPERLINK \l _Toc431 </w:instrText>
      </w:r>
      <w:r>
        <w:fldChar w:fldCharType="separate"/>
      </w:r>
      <w:r>
        <w:rPr>
          <w:rFonts w:hint="eastAsia" w:ascii="Times New Roman" w:hAnsi="Times New Roman" w:cs="Times New Roman"/>
        </w:rPr>
        <w:t>（</w:t>
      </w:r>
      <w:r>
        <w:rPr>
          <w:rFonts w:hint="eastAsia" w:ascii="Times New Roman" w:hAnsi="Times New Roman" w:cs="Times New Roman"/>
          <w:lang w:eastAsia="zh-CN"/>
        </w:rPr>
        <w:t>五</w:t>
      </w:r>
      <w:r>
        <w:rPr>
          <w:rFonts w:hint="eastAsia" w:ascii="Times New Roman" w:hAnsi="Times New Roman" w:cs="Times New Roman"/>
        </w:rPr>
        <w:t>）康养旅游项目</w:t>
      </w:r>
      <w:r>
        <w:tab/>
      </w:r>
      <w:r>
        <w:fldChar w:fldCharType="begin"/>
      </w:r>
      <w:r>
        <w:instrText xml:space="preserve"> PAGEREF _Toc431 </w:instrText>
      </w:r>
      <w:r>
        <w:fldChar w:fldCharType="separate"/>
      </w:r>
      <w:r>
        <w:t>55</w:t>
      </w:r>
      <w:r>
        <w:fldChar w:fldCharType="end"/>
      </w:r>
      <w:r>
        <w:fldChar w:fldCharType="end"/>
      </w:r>
    </w:p>
    <w:p>
      <w:pPr>
        <w:pStyle w:val="15"/>
        <w:tabs>
          <w:tab w:val="right" w:leader="dot" w:pos="8306"/>
        </w:tabs>
      </w:pPr>
      <w:r>
        <w:fldChar w:fldCharType="begin"/>
      </w:r>
      <w:r>
        <w:instrText xml:space="preserve"> HYPERLINK \l _Toc11562 </w:instrText>
      </w:r>
      <w:r>
        <w:fldChar w:fldCharType="separate"/>
      </w:r>
      <w:r>
        <w:rPr>
          <w:rFonts w:hint="eastAsia" w:ascii="Times New Roman" w:hAnsi="Times New Roman" w:cs="Times New Roman"/>
        </w:rPr>
        <w:t>六、培育一批新兴乡村旅游项目</w:t>
      </w:r>
      <w:r>
        <w:tab/>
      </w:r>
      <w:r>
        <w:fldChar w:fldCharType="begin"/>
      </w:r>
      <w:r>
        <w:instrText xml:space="preserve"> PAGEREF _Toc11562 </w:instrText>
      </w:r>
      <w:r>
        <w:fldChar w:fldCharType="separate"/>
      </w:r>
      <w:r>
        <w:t>55</w:t>
      </w:r>
      <w:r>
        <w:fldChar w:fldCharType="end"/>
      </w:r>
      <w:r>
        <w:fldChar w:fldCharType="end"/>
      </w:r>
    </w:p>
    <w:p>
      <w:pPr>
        <w:pStyle w:val="10"/>
        <w:tabs>
          <w:tab w:val="right" w:leader="dot" w:pos="8306"/>
        </w:tabs>
      </w:pPr>
      <w:r>
        <w:fldChar w:fldCharType="begin"/>
      </w:r>
      <w:r>
        <w:instrText xml:space="preserve"> HYPERLINK \l _Toc19992 </w:instrText>
      </w:r>
      <w:r>
        <w:fldChar w:fldCharType="separate"/>
      </w:r>
      <w:r>
        <w:rPr>
          <w:rFonts w:hint="eastAsia" w:ascii="Times New Roman" w:hAnsi="Times New Roman" w:cs="Times New Roman"/>
        </w:rPr>
        <w:t>（一）生态科普园</w:t>
      </w:r>
      <w:r>
        <w:tab/>
      </w:r>
      <w:r>
        <w:fldChar w:fldCharType="begin"/>
      </w:r>
      <w:r>
        <w:instrText xml:space="preserve"> PAGEREF _Toc19992 </w:instrText>
      </w:r>
      <w:r>
        <w:fldChar w:fldCharType="separate"/>
      </w:r>
      <w:r>
        <w:t>55</w:t>
      </w:r>
      <w:r>
        <w:fldChar w:fldCharType="end"/>
      </w:r>
      <w:r>
        <w:fldChar w:fldCharType="end"/>
      </w:r>
    </w:p>
    <w:p>
      <w:pPr>
        <w:pStyle w:val="10"/>
        <w:tabs>
          <w:tab w:val="right" w:leader="dot" w:pos="8306"/>
        </w:tabs>
      </w:pPr>
      <w:r>
        <w:fldChar w:fldCharType="begin"/>
      </w:r>
      <w:r>
        <w:instrText xml:space="preserve"> HYPERLINK \l _Toc30369 </w:instrText>
      </w:r>
      <w:r>
        <w:fldChar w:fldCharType="separate"/>
      </w:r>
      <w:r>
        <w:rPr>
          <w:rFonts w:hint="eastAsia" w:ascii="Times New Roman" w:hAnsi="Times New Roman" w:cs="Times New Roman"/>
        </w:rPr>
        <w:t>（二）研学农庄</w:t>
      </w:r>
      <w:r>
        <w:tab/>
      </w:r>
      <w:r>
        <w:fldChar w:fldCharType="begin"/>
      </w:r>
      <w:r>
        <w:instrText xml:space="preserve"> PAGEREF _Toc30369 </w:instrText>
      </w:r>
      <w:r>
        <w:fldChar w:fldCharType="separate"/>
      </w:r>
      <w:r>
        <w:t>56</w:t>
      </w:r>
      <w:r>
        <w:fldChar w:fldCharType="end"/>
      </w:r>
      <w:r>
        <w:fldChar w:fldCharType="end"/>
      </w:r>
    </w:p>
    <w:p>
      <w:pPr>
        <w:pStyle w:val="10"/>
        <w:tabs>
          <w:tab w:val="right" w:leader="dot" w:pos="8306"/>
        </w:tabs>
      </w:pPr>
      <w:r>
        <w:fldChar w:fldCharType="begin"/>
      </w:r>
      <w:r>
        <w:instrText xml:space="preserve"> HYPERLINK \l _Toc15035 </w:instrText>
      </w:r>
      <w:r>
        <w:fldChar w:fldCharType="separate"/>
      </w:r>
      <w:r>
        <w:rPr>
          <w:rFonts w:hint="eastAsia" w:ascii="Times New Roman" w:hAnsi="Times New Roman" w:cs="Times New Roman"/>
        </w:rPr>
        <w:t>（三）乡村博物馆</w:t>
      </w:r>
      <w:r>
        <w:tab/>
      </w:r>
      <w:r>
        <w:fldChar w:fldCharType="begin"/>
      </w:r>
      <w:r>
        <w:instrText xml:space="preserve"> PAGEREF _Toc15035 </w:instrText>
      </w:r>
      <w:r>
        <w:fldChar w:fldCharType="separate"/>
      </w:r>
      <w:r>
        <w:t>56</w:t>
      </w:r>
      <w:r>
        <w:fldChar w:fldCharType="end"/>
      </w:r>
      <w:r>
        <w:fldChar w:fldCharType="end"/>
      </w:r>
    </w:p>
    <w:p>
      <w:pPr>
        <w:pStyle w:val="10"/>
        <w:tabs>
          <w:tab w:val="right" w:leader="dot" w:pos="8306"/>
        </w:tabs>
      </w:pPr>
      <w:r>
        <w:fldChar w:fldCharType="begin"/>
      </w:r>
      <w:r>
        <w:instrText xml:space="preserve"> HYPERLINK \l _Toc22082 </w:instrText>
      </w:r>
      <w:r>
        <w:fldChar w:fldCharType="separate"/>
      </w:r>
      <w:r>
        <w:rPr>
          <w:rFonts w:hint="eastAsia" w:ascii="Times New Roman" w:hAnsi="Times New Roman" w:cs="Times New Roman"/>
        </w:rPr>
        <w:t>（四）遗址公园</w:t>
      </w:r>
      <w:r>
        <w:tab/>
      </w:r>
      <w:r>
        <w:fldChar w:fldCharType="begin"/>
      </w:r>
      <w:r>
        <w:instrText xml:space="preserve"> PAGEREF _Toc22082 </w:instrText>
      </w:r>
      <w:r>
        <w:fldChar w:fldCharType="separate"/>
      </w:r>
      <w:r>
        <w:t>57</w:t>
      </w:r>
      <w:r>
        <w:fldChar w:fldCharType="end"/>
      </w:r>
      <w:r>
        <w:fldChar w:fldCharType="end"/>
      </w:r>
    </w:p>
    <w:p>
      <w:pPr>
        <w:pStyle w:val="10"/>
        <w:tabs>
          <w:tab w:val="right" w:leader="dot" w:pos="8306"/>
        </w:tabs>
      </w:pPr>
      <w:r>
        <w:fldChar w:fldCharType="begin"/>
      </w:r>
      <w:r>
        <w:instrText xml:space="preserve"> HYPERLINK \l _Toc10587 </w:instrText>
      </w:r>
      <w:r>
        <w:fldChar w:fldCharType="separate"/>
      </w:r>
      <w:r>
        <w:rPr>
          <w:rFonts w:hint="eastAsia" w:ascii="Times New Roman" w:hAnsi="Times New Roman" w:cs="Times New Roman"/>
        </w:rPr>
        <w:t>（五）乡创基地</w:t>
      </w:r>
      <w:r>
        <w:tab/>
      </w:r>
      <w:r>
        <w:fldChar w:fldCharType="begin"/>
      </w:r>
      <w:r>
        <w:instrText xml:space="preserve"> PAGEREF _Toc10587 </w:instrText>
      </w:r>
      <w:r>
        <w:fldChar w:fldCharType="separate"/>
      </w:r>
      <w:r>
        <w:t>57</w:t>
      </w:r>
      <w:r>
        <w:fldChar w:fldCharType="end"/>
      </w:r>
      <w:r>
        <w:fldChar w:fldCharType="end"/>
      </w:r>
    </w:p>
    <w:p>
      <w:pPr>
        <w:pStyle w:val="14"/>
        <w:tabs>
          <w:tab w:val="right" w:leader="dot" w:pos="8306"/>
        </w:tabs>
      </w:pPr>
      <w:r>
        <w:fldChar w:fldCharType="begin"/>
      </w:r>
      <w:r>
        <w:instrText xml:space="preserve"> HYPERLINK \l _Toc26483 </w:instrText>
      </w:r>
      <w:r>
        <w:fldChar w:fldCharType="separate"/>
      </w:r>
      <w:r>
        <w:rPr>
          <w:rFonts w:hint="eastAsia" w:ascii="Times New Roman" w:hAnsi="Times New Roman" w:cs="Times New Roman" w:eastAsiaTheme="minorEastAsia"/>
        </w:rPr>
        <w:t>第七章 科学有效，推进文物保护文化传承</w:t>
      </w:r>
      <w:r>
        <w:tab/>
      </w:r>
      <w:r>
        <w:fldChar w:fldCharType="begin"/>
      </w:r>
      <w:r>
        <w:instrText xml:space="preserve"> PAGEREF _Toc26483 </w:instrText>
      </w:r>
      <w:r>
        <w:fldChar w:fldCharType="separate"/>
      </w:r>
      <w:r>
        <w:t>59</w:t>
      </w:r>
      <w:r>
        <w:fldChar w:fldCharType="end"/>
      </w:r>
      <w:r>
        <w:fldChar w:fldCharType="end"/>
      </w:r>
    </w:p>
    <w:p>
      <w:pPr>
        <w:pStyle w:val="15"/>
        <w:tabs>
          <w:tab w:val="right" w:leader="dot" w:pos="8306"/>
        </w:tabs>
      </w:pPr>
      <w:r>
        <w:fldChar w:fldCharType="begin"/>
      </w:r>
      <w:r>
        <w:instrText xml:space="preserve"> HYPERLINK \l _Toc19894 </w:instrText>
      </w:r>
      <w:r>
        <w:fldChar w:fldCharType="separate"/>
      </w:r>
      <w:r>
        <w:rPr>
          <w:rFonts w:hint="eastAsia" w:ascii="Times New Roman" w:hAnsi="Times New Roman" w:cs="Times New Roman"/>
        </w:rPr>
        <w:t>一、加强文物资源保护</w:t>
      </w:r>
      <w:r>
        <w:tab/>
      </w:r>
      <w:r>
        <w:fldChar w:fldCharType="begin"/>
      </w:r>
      <w:r>
        <w:instrText xml:space="preserve"> PAGEREF _Toc19894 </w:instrText>
      </w:r>
      <w:r>
        <w:fldChar w:fldCharType="separate"/>
      </w:r>
      <w:r>
        <w:t>59</w:t>
      </w:r>
      <w:r>
        <w:fldChar w:fldCharType="end"/>
      </w:r>
      <w:r>
        <w:fldChar w:fldCharType="end"/>
      </w:r>
    </w:p>
    <w:p>
      <w:pPr>
        <w:pStyle w:val="10"/>
        <w:tabs>
          <w:tab w:val="right" w:leader="dot" w:pos="8306"/>
        </w:tabs>
      </w:pPr>
      <w:r>
        <w:fldChar w:fldCharType="begin"/>
      </w:r>
      <w:r>
        <w:instrText xml:space="preserve"> HYPERLINK \l _Toc9534 </w:instrText>
      </w:r>
      <w:r>
        <w:fldChar w:fldCharType="separate"/>
      </w:r>
      <w:r>
        <w:rPr>
          <w:rFonts w:hint="eastAsia" w:ascii="Times New Roman" w:hAnsi="Times New Roman" w:cs="Times New Roman"/>
        </w:rPr>
        <w:t>（一）加快编制各类文物保护规划</w:t>
      </w:r>
      <w:r>
        <w:tab/>
      </w:r>
      <w:r>
        <w:fldChar w:fldCharType="begin"/>
      </w:r>
      <w:r>
        <w:instrText xml:space="preserve"> PAGEREF _Toc9534 </w:instrText>
      </w:r>
      <w:r>
        <w:fldChar w:fldCharType="separate"/>
      </w:r>
      <w:r>
        <w:t>59</w:t>
      </w:r>
      <w:r>
        <w:fldChar w:fldCharType="end"/>
      </w:r>
      <w:r>
        <w:fldChar w:fldCharType="end"/>
      </w:r>
    </w:p>
    <w:p>
      <w:pPr>
        <w:pStyle w:val="10"/>
        <w:tabs>
          <w:tab w:val="right" w:leader="dot" w:pos="8306"/>
        </w:tabs>
      </w:pPr>
      <w:r>
        <w:fldChar w:fldCharType="begin"/>
      </w:r>
      <w:r>
        <w:instrText xml:space="preserve"> HYPERLINK \l _Toc31713 </w:instrText>
      </w:r>
      <w:r>
        <w:fldChar w:fldCharType="separate"/>
      </w:r>
      <w:r>
        <w:rPr>
          <w:rFonts w:hint="eastAsia" w:ascii="Times New Roman" w:hAnsi="Times New Roman" w:cs="Times New Roman"/>
        </w:rPr>
        <w:t>（二）继续推进文物资源普查工作</w:t>
      </w:r>
      <w:r>
        <w:tab/>
      </w:r>
      <w:r>
        <w:fldChar w:fldCharType="begin"/>
      </w:r>
      <w:r>
        <w:instrText xml:space="preserve"> PAGEREF _Toc31713 </w:instrText>
      </w:r>
      <w:r>
        <w:fldChar w:fldCharType="separate"/>
      </w:r>
      <w:r>
        <w:t>59</w:t>
      </w:r>
      <w:r>
        <w:fldChar w:fldCharType="end"/>
      </w:r>
      <w:r>
        <w:fldChar w:fldCharType="end"/>
      </w:r>
    </w:p>
    <w:p>
      <w:pPr>
        <w:pStyle w:val="10"/>
        <w:tabs>
          <w:tab w:val="right" w:leader="dot" w:pos="8306"/>
        </w:tabs>
      </w:pPr>
      <w:r>
        <w:fldChar w:fldCharType="begin"/>
      </w:r>
      <w:r>
        <w:instrText xml:space="preserve"> HYPERLINK \l _Toc11189 </w:instrText>
      </w:r>
      <w:r>
        <w:fldChar w:fldCharType="separate"/>
      </w:r>
      <w:r>
        <w:rPr>
          <w:rFonts w:hint="eastAsia" w:ascii="Times New Roman" w:hAnsi="Times New Roman" w:cs="Times New Roman"/>
        </w:rPr>
        <w:t>（三）有力推动文物资源保护工作</w:t>
      </w:r>
      <w:r>
        <w:tab/>
      </w:r>
      <w:r>
        <w:fldChar w:fldCharType="begin"/>
      </w:r>
      <w:r>
        <w:instrText xml:space="preserve"> PAGEREF _Toc11189 </w:instrText>
      </w:r>
      <w:r>
        <w:fldChar w:fldCharType="separate"/>
      </w:r>
      <w:r>
        <w:t>59</w:t>
      </w:r>
      <w:r>
        <w:fldChar w:fldCharType="end"/>
      </w:r>
      <w:r>
        <w:fldChar w:fldCharType="end"/>
      </w:r>
    </w:p>
    <w:p>
      <w:pPr>
        <w:pStyle w:val="10"/>
        <w:tabs>
          <w:tab w:val="right" w:leader="dot" w:pos="8306"/>
        </w:tabs>
      </w:pPr>
      <w:r>
        <w:fldChar w:fldCharType="begin"/>
      </w:r>
      <w:r>
        <w:instrText xml:space="preserve"> HYPERLINK \l _Toc24245 </w:instrText>
      </w:r>
      <w:r>
        <w:fldChar w:fldCharType="separate"/>
      </w:r>
      <w:r>
        <w:rPr>
          <w:rFonts w:hint="eastAsia" w:ascii="Times New Roman" w:hAnsi="Times New Roman" w:cs="Times New Roman"/>
        </w:rPr>
        <w:t>（四）强化文物安全管理工作</w:t>
      </w:r>
      <w:r>
        <w:tab/>
      </w:r>
      <w:r>
        <w:fldChar w:fldCharType="begin"/>
      </w:r>
      <w:r>
        <w:instrText xml:space="preserve"> PAGEREF _Toc24245 </w:instrText>
      </w:r>
      <w:r>
        <w:fldChar w:fldCharType="separate"/>
      </w:r>
      <w:r>
        <w:t>60</w:t>
      </w:r>
      <w:r>
        <w:fldChar w:fldCharType="end"/>
      </w:r>
      <w:r>
        <w:fldChar w:fldCharType="end"/>
      </w:r>
    </w:p>
    <w:p>
      <w:pPr>
        <w:pStyle w:val="10"/>
        <w:tabs>
          <w:tab w:val="right" w:leader="dot" w:pos="8306"/>
        </w:tabs>
      </w:pPr>
      <w:r>
        <w:fldChar w:fldCharType="begin"/>
      </w:r>
      <w:r>
        <w:instrText xml:space="preserve"> HYPERLINK \l _Toc9517 </w:instrText>
      </w:r>
      <w:r>
        <w:fldChar w:fldCharType="separate"/>
      </w:r>
      <w:r>
        <w:rPr>
          <w:rFonts w:hint="eastAsia" w:ascii="Times New Roman" w:hAnsi="Times New Roman" w:cs="Times New Roman"/>
        </w:rPr>
        <w:t>（五）开展文物资源研究阐释工作</w:t>
      </w:r>
      <w:r>
        <w:tab/>
      </w:r>
      <w:r>
        <w:fldChar w:fldCharType="begin"/>
      </w:r>
      <w:r>
        <w:instrText xml:space="preserve"> PAGEREF _Toc9517 </w:instrText>
      </w:r>
      <w:r>
        <w:fldChar w:fldCharType="separate"/>
      </w:r>
      <w:r>
        <w:t>61</w:t>
      </w:r>
      <w:r>
        <w:fldChar w:fldCharType="end"/>
      </w:r>
      <w:r>
        <w:fldChar w:fldCharType="end"/>
      </w:r>
    </w:p>
    <w:p>
      <w:pPr>
        <w:pStyle w:val="15"/>
        <w:tabs>
          <w:tab w:val="right" w:leader="dot" w:pos="8306"/>
        </w:tabs>
      </w:pPr>
      <w:r>
        <w:fldChar w:fldCharType="begin"/>
      </w:r>
      <w:r>
        <w:instrText xml:space="preserve"> HYPERLINK \l _Toc32396 </w:instrText>
      </w:r>
      <w:r>
        <w:fldChar w:fldCharType="separate"/>
      </w:r>
      <w:r>
        <w:rPr>
          <w:rFonts w:hint="eastAsia" w:ascii="Times New Roman" w:hAnsi="Times New Roman" w:cs="Times New Roman"/>
        </w:rPr>
        <w:t>二、加大非物质文化遗产保护力度</w:t>
      </w:r>
      <w:r>
        <w:tab/>
      </w:r>
      <w:r>
        <w:fldChar w:fldCharType="begin"/>
      </w:r>
      <w:r>
        <w:instrText xml:space="preserve"> PAGEREF _Toc32396 </w:instrText>
      </w:r>
      <w:r>
        <w:fldChar w:fldCharType="separate"/>
      </w:r>
      <w:r>
        <w:t>61</w:t>
      </w:r>
      <w:r>
        <w:fldChar w:fldCharType="end"/>
      </w:r>
      <w:r>
        <w:fldChar w:fldCharType="end"/>
      </w:r>
    </w:p>
    <w:p>
      <w:pPr>
        <w:pStyle w:val="10"/>
        <w:tabs>
          <w:tab w:val="right" w:leader="dot" w:pos="8306"/>
        </w:tabs>
      </w:pPr>
      <w:r>
        <w:fldChar w:fldCharType="begin"/>
      </w:r>
      <w:r>
        <w:instrText xml:space="preserve"> HYPERLINK \l _Toc19088 </w:instrText>
      </w:r>
      <w:r>
        <w:fldChar w:fldCharType="separate"/>
      </w:r>
      <w:r>
        <w:rPr>
          <w:rFonts w:hint="eastAsia" w:ascii="Times New Roman" w:hAnsi="Times New Roman" w:cs="Times New Roman"/>
        </w:rPr>
        <w:t>（一）加强挖掘整理，夯实非遗保护基础</w:t>
      </w:r>
      <w:r>
        <w:tab/>
      </w:r>
      <w:r>
        <w:fldChar w:fldCharType="begin"/>
      </w:r>
      <w:r>
        <w:instrText xml:space="preserve"> PAGEREF _Toc19088 </w:instrText>
      </w:r>
      <w:r>
        <w:fldChar w:fldCharType="separate"/>
      </w:r>
      <w:r>
        <w:t>61</w:t>
      </w:r>
      <w:r>
        <w:fldChar w:fldCharType="end"/>
      </w:r>
      <w:r>
        <w:fldChar w:fldCharType="end"/>
      </w:r>
    </w:p>
    <w:p>
      <w:pPr>
        <w:pStyle w:val="10"/>
        <w:tabs>
          <w:tab w:val="right" w:leader="dot" w:pos="8306"/>
        </w:tabs>
      </w:pPr>
      <w:r>
        <w:fldChar w:fldCharType="begin"/>
      </w:r>
      <w:r>
        <w:instrText xml:space="preserve"> HYPERLINK \l _Toc718 </w:instrText>
      </w:r>
      <w:r>
        <w:fldChar w:fldCharType="separate"/>
      </w:r>
      <w:r>
        <w:rPr>
          <w:rFonts w:hint="eastAsia" w:ascii="Times New Roman" w:hAnsi="Times New Roman" w:cs="Times New Roman"/>
        </w:rPr>
        <w:t>（二）加强宣传展示，提升非遗保护意识</w:t>
      </w:r>
      <w:r>
        <w:tab/>
      </w:r>
      <w:r>
        <w:fldChar w:fldCharType="begin"/>
      </w:r>
      <w:r>
        <w:instrText xml:space="preserve"> PAGEREF _Toc718 </w:instrText>
      </w:r>
      <w:r>
        <w:fldChar w:fldCharType="separate"/>
      </w:r>
      <w:r>
        <w:t>61</w:t>
      </w:r>
      <w:r>
        <w:fldChar w:fldCharType="end"/>
      </w:r>
      <w:r>
        <w:fldChar w:fldCharType="end"/>
      </w:r>
    </w:p>
    <w:p>
      <w:pPr>
        <w:pStyle w:val="10"/>
        <w:tabs>
          <w:tab w:val="right" w:leader="dot" w:pos="8306"/>
        </w:tabs>
      </w:pPr>
      <w:r>
        <w:fldChar w:fldCharType="begin"/>
      </w:r>
      <w:r>
        <w:instrText xml:space="preserve"> HYPERLINK \l _Toc22306 </w:instrText>
      </w:r>
      <w:r>
        <w:fldChar w:fldCharType="separate"/>
      </w:r>
      <w:r>
        <w:rPr>
          <w:rFonts w:hint="eastAsia" w:ascii="Times New Roman" w:hAnsi="Times New Roman" w:cs="Times New Roman"/>
        </w:rPr>
        <w:t>（三）加强项目建设，打造非遗文化品牌</w:t>
      </w:r>
      <w:r>
        <w:tab/>
      </w:r>
      <w:r>
        <w:fldChar w:fldCharType="begin"/>
      </w:r>
      <w:r>
        <w:instrText xml:space="preserve"> PAGEREF _Toc22306 </w:instrText>
      </w:r>
      <w:r>
        <w:fldChar w:fldCharType="separate"/>
      </w:r>
      <w:r>
        <w:t>61</w:t>
      </w:r>
      <w:r>
        <w:fldChar w:fldCharType="end"/>
      </w:r>
      <w:r>
        <w:fldChar w:fldCharType="end"/>
      </w:r>
    </w:p>
    <w:p>
      <w:pPr>
        <w:pStyle w:val="10"/>
        <w:tabs>
          <w:tab w:val="right" w:leader="dot" w:pos="8306"/>
        </w:tabs>
      </w:pPr>
      <w:r>
        <w:fldChar w:fldCharType="begin"/>
      </w:r>
      <w:r>
        <w:instrText xml:space="preserve"> HYPERLINK \l _Toc11566 </w:instrText>
      </w:r>
      <w:r>
        <w:fldChar w:fldCharType="separate"/>
      </w:r>
      <w:r>
        <w:rPr>
          <w:rFonts w:hint="eastAsia" w:ascii="Times New Roman" w:hAnsi="Times New Roman" w:cs="Times New Roman"/>
        </w:rPr>
        <w:t>（四）加强合理利用，推动非遗+模式深度开发</w:t>
      </w:r>
      <w:r>
        <w:tab/>
      </w:r>
      <w:r>
        <w:fldChar w:fldCharType="begin"/>
      </w:r>
      <w:r>
        <w:instrText xml:space="preserve"> PAGEREF _Toc11566 </w:instrText>
      </w:r>
      <w:r>
        <w:fldChar w:fldCharType="separate"/>
      </w:r>
      <w:r>
        <w:t>62</w:t>
      </w:r>
      <w:r>
        <w:fldChar w:fldCharType="end"/>
      </w:r>
      <w:r>
        <w:fldChar w:fldCharType="end"/>
      </w:r>
    </w:p>
    <w:p>
      <w:pPr>
        <w:pStyle w:val="15"/>
        <w:tabs>
          <w:tab w:val="right" w:leader="dot" w:pos="8306"/>
        </w:tabs>
      </w:pPr>
      <w:r>
        <w:fldChar w:fldCharType="begin"/>
      </w:r>
      <w:r>
        <w:instrText xml:space="preserve"> HYPERLINK \l _Toc4958 </w:instrText>
      </w:r>
      <w:r>
        <w:fldChar w:fldCharType="separate"/>
      </w:r>
      <w:r>
        <w:rPr>
          <w:rFonts w:hint="eastAsia" w:ascii="Times New Roman" w:hAnsi="Times New Roman" w:cs="Times New Roman"/>
        </w:rPr>
        <w:t>三、推动文化遗产活化利用</w:t>
      </w:r>
      <w:r>
        <w:tab/>
      </w:r>
      <w:r>
        <w:fldChar w:fldCharType="begin"/>
      </w:r>
      <w:r>
        <w:instrText xml:space="preserve"> PAGEREF _Toc4958 </w:instrText>
      </w:r>
      <w:r>
        <w:fldChar w:fldCharType="separate"/>
      </w:r>
      <w:r>
        <w:t>62</w:t>
      </w:r>
      <w:r>
        <w:fldChar w:fldCharType="end"/>
      </w:r>
      <w:r>
        <w:fldChar w:fldCharType="end"/>
      </w:r>
    </w:p>
    <w:p>
      <w:pPr>
        <w:pStyle w:val="10"/>
        <w:tabs>
          <w:tab w:val="right" w:leader="dot" w:pos="8306"/>
        </w:tabs>
      </w:pPr>
      <w:r>
        <w:fldChar w:fldCharType="begin"/>
      </w:r>
      <w:r>
        <w:instrText xml:space="preserve"> HYPERLINK \l _Toc17285 </w:instrText>
      </w:r>
      <w:r>
        <w:fldChar w:fldCharType="separate"/>
      </w:r>
      <w:r>
        <w:rPr>
          <w:rFonts w:hint="eastAsia" w:ascii="Times New Roman" w:hAnsi="Times New Roman" w:cs="Times New Roman"/>
        </w:rPr>
        <w:t>（一）实施文化遗产“历史再现”工程</w:t>
      </w:r>
      <w:r>
        <w:tab/>
      </w:r>
      <w:r>
        <w:fldChar w:fldCharType="begin"/>
      </w:r>
      <w:r>
        <w:instrText xml:space="preserve"> PAGEREF _Toc17285 </w:instrText>
      </w:r>
      <w:r>
        <w:fldChar w:fldCharType="separate"/>
      </w:r>
      <w:r>
        <w:t>62</w:t>
      </w:r>
      <w:r>
        <w:fldChar w:fldCharType="end"/>
      </w:r>
      <w:r>
        <w:fldChar w:fldCharType="end"/>
      </w:r>
    </w:p>
    <w:p>
      <w:pPr>
        <w:pStyle w:val="10"/>
        <w:tabs>
          <w:tab w:val="right" w:leader="dot" w:pos="8306"/>
        </w:tabs>
      </w:pPr>
      <w:r>
        <w:fldChar w:fldCharType="begin"/>
      </w:r>
      <w:r>
        <w:instrText xml:space="preserve"> HYPERLINK \l _Toc30685 </w:instrText>
      </w:r>
      <w:r>
        <w:fldChar w:fldCharType="separate"/>
      </w:r>
      <w:r>
        <w:rPr>
          <w:rFonts w:hint="eastAsia" w:ascii="Times New Roman" w:hAnsi="Times New Roman" w:cs="Times New Roman"/>
        </w:rPr>
        <w:t>（二）明确文化遗产利益分享政策</w:t>
      </w:r>
      <w:r>
        <w:tab/>
      </w:r>
      <w:r>
        <w:fldChar w:fldCharType="begin"/>
      </w:r>
      <w:r>
        <w:instrText xml:space="preserve"> PAGEREF _Toc30685 </w:instrText>
      </w:r>
      <w:r>
        <w:fldChar w:fldCharType="separate"/>
      </w:r>
      <w:r>
        <w:t>63</w:t>
      </w:r>
      <w:r>
        <w:fldChar w:fldCharType="end"/>
      </w:r>
      <w:r>
        <w:fldChar w:fldCharType="end"/>
      </w:r>
    </w:p>
    <w:p>
      <w:pPr>
        <w:pStyle w:val="10"/>
        <w:tabs>
          <w:tab w:val="right" w:leader="dot" w:pos="8306"/>
        </w:tabs>
      </w:pPr>
      <w:r>
        <w:fldChar w:fldCharType="begin"/>
      </w:r>
      <w:r>
        <w:instrText xml:space="preserve"> HYPERLINK \l _Toc1439 </w:instrText>
      </w:r>
      <w:r>
        <w:fldChar w:fldCharType="separate"/>
      </w:r>
      <w:r>
        <w:rPr>
          <w:rFonts w:hint="eastAsia" w:ascii="Times New Roman" w:hAnsi="Times New Roman" w:cs="Times New Roman"/>
        </w:rPr>
        <w:t>（三）丰富文化遗产社会参与形式</w:t>
      </w:r>
      <w:r>
        <w:tab/>
      </w:r>
      <w:r>
        <w:fldChar w:fldCharType="begin"/>
      </w:r>
      <w:r>
        <w:instrText xml:space="preserve"> PAGEREF _Toc1439 </w:instrText>
      </w:r>
      <w:r>
        <w:fldChar w:fldCharType="separate"/>
      </w:r>
      <w:r>
        <w:t>63</w:t>
      </w:r>
      <w:r>
        <w:fldChar w:fldCharType="end"/>
      </w:r>
      <w:r>
        <w:fldChar w:fldCharType="end"/>
      </w:r>
    </w:p>
    <w:p>
      <w:pPr>
        <w:pStyle w:val="10"/>
        <w:tabs>
          <w:tab w:val="right" w:leader="dot" w:pos="8306"/>
        </w:tabs>
      </w:pPr>
      <w:r>
        <w:fldChar w:fldCharType="begin"/>
      </w:r>
      <w:r>
        <w:instrText xml:space="preserve"> HYPERLINK \l _Toc12394 </w:instrText>
      </w:r>
      <w:r>
        <w:fldChar w:fldCharType="separate"/>
      </w:r>
      <w:r>
        <w:rPr>
          <w:rFonts w:hint="eastAsia" w:ascii="Times New Roman" w:hAnsi="Times New Roman" w:cs="Times New Roman"/>
        </w:rPr>
        <w:t>（四）聚焦文化遗产IP发展模式打造</w:t>
      </w:r>
      <w:r>
        <w:tab/>
      </w:r>
      <w:r>
        <w:fldChar w:fldCharType="begin"/>
      </w:r>
      <w:r>
        <w:instrText xml:space="preserve"> PAGEREF _Toc12394 </w:instrText>
      </w:r>
      <w:r>
        <w:fldChar w:fldCharType="separate"/>
      </w:r>
      <w:r>
        <w:t>63</w:t>
      </w:r>
      <w:r>
        <w:fldChar w:fldCharType="end"/>
      </w:r>
      <w:r>
        <w:fldChar w:fldCharType="end"/>
      </w:r>
    </w:p>
    <w:p>
      <w:pPr>
        <w:pStyle w:val="14"/>
        <w:tabs>
          <w:tab w:val="right" w:leader="dot" w:pos="8306"/>
        </w:tabs>
      </w:pPr>
      <w:r>
        <w:fldChar w:fldCharType="begin"/>
      </w:r>
      <w:r>
        <w:instrText xml:space="preserve"> HYPERLINK \l _Toc30343 </w:instrText>
      </w:r>
      <w:r>
        <w:fldChar w:fldCharType="separate"/>
      </w:r>
      <w:r>
        <w:rPr>
          <w:rFonts w:hint="eastAsia" w:ascii="Times New Roman" w:hAnsi="Times New Roman" w:cs="Times New Roman" w:eastAsiaTheme="minorEastAsia"/>
        </w:rPr>
        <w:t>第八章 繁荣发展，丰富人民群众文化生活</w:t>
      </w:r>
      <w:r>
        <w:tab/>
      </w:r>
      <w:r>
        <w:fldChar w:fldCharType="begin"/>
      </w:r>
      <w:r>
        <w:instrText xml:space="preserve"> PAGEREF _Toc30343 </w:instrText>
      </w:r>
      <w:r>
        <w:fldChar w:fldCharType="separate"/>
      </w:r>
      <w:r>
        <w:t>65</w:t>
      </w:r>
      <w:r>
        <w:fldChar w:fldCharType="end"/>
      </w:r>
      <w:r>
        <w:fldChar w:fldCharType="end"/>
      </w:r>
    </w:p>
    <w:p>
      <w:pPr>
        <w:pStyle w:val="15"/>
        <w:tabs>
          <w:tab w:val="right" w:leader="dot" w:pos="8306"/>
        </w:tabs>
      </w:pPr>
      <w:r>
        <w:fldChar w:fldCharType="begin"/>
      </w:r>
      <w:r>
        <w:instrText xml:space="preserve"> HYPERLINK \l _Toc18599 </w:instrText>
      </w:r>
      <w:r>
        <w:fldChar w:fldCharType="separate"/>
      </w:r>
      <w:r>
        <w:rPr>
          <w:rFonts w:hint="eastAsia" w:ascii="Times New Roman" w:hAnsi="Times New Roman" w:cs="Times New Roman"/>
        </w:rPr>
        <w:t>一、培育社会主义核心价值观</w:t>
      </w:r>
      <w:r>
        <w:tab/>
      </w:r>
      <w:r>
        <w:fldChar w:fldCharType="begin"/>
      </w:r>
      <w:r>
        <w:instrText xml:space="preserve"> PAGEREF _Toc18599 </w:instrText>
      </w:r>
      <w:r>
        <w:fldChar w:fldCharType="separate"/>
      </w:r>
      <w:r>
        <w:t>65</w:t>
      </w:r>
      <w:r>
        <w:fldChar w:fldCharType="end"/>
      </w:r>
      <w:r>
        <w:fldChar w:fldCharType="end"/>
      </w:r>
    </w:p>
    <w:p>
      <w:pPr>
        <w:pStyle w:val="15"/>
        <w:tabs>
          <w:tab w:val="right" w:leader="dot" w:pos="8306"/>
        </w:tabs>
      </w:pPr>
      <w:r>
        <w:fldChar w:fldCharType="begin"/>
      </w:r>
      <w:r>
        <w:instrText xml:space="preserve"> HYPERLINK \l _Toc15629 </w:instrText>
      </w:r>
      <w:r>
        <w:fldChar w:fldCharType="separate"/>
      </w:r>
      <w:r>
        <w:rPr>
          <w:rFonts w:hint="eastAsia" w:ascii="Times New Roman" w:hAnsi="Times New Roman" w:cs="Times New Roman"/>
        </w:rPr>
        <w:t>二、推动文化艺术精品创作</w:t>
      </w:r>
      <w:r>
        <w:tab/>
      </w:r>
      <w:r>
        <w:fldChar w:fldCharType="begin"/>
      </w:r>
      <w:r>
        <w:instrText xml:space="preserve"> PAGEREF _Toc15629 </w:instrText>
      </w:r>
      <w:r>
        <w:fldChar w:fldCharType="separate"/>
      </w:r>
      <w:r>
        <w:t>65</w:t>
      </w:r>
      <w:r>
        <w:fldChar w:fldCharType="end"/>
      </w:r>
      <w:r>
        <w:fldChar w:fldCharType="end"/>
      </w:r>
    </w:p>
    <w:p>
      <w:pPr>
        <w:pStyle w:val="10"/>
        <w:tabs>
          <w:tab w:val="right" w:leader="dot" w:pos="8306"/>
        </w:tabs>
      </w:pPr>
      <w:r>
        <w:fldChar w:fldCharType="begin"/>
      </w:r>
      <w:r>
        <w:instrText xml:space="preserve"> HYPERLINK \l _Toc22262 </w:instrText>
      </w:r>
      <w:r>
        <w:fldChar w:fldCharType="separate"/>
      </w:r>
      <w:r>
        <w:rPr>
          <w:rFonts w:hint="eastAsia" w:ascii="Times New Roman" w:hAnsi="Times New Roman" w:cs="Times New Roman"/>
        </w:rPr>
        <w:t>（一）把握文化创作导向</w:t>
      </w:r>
      <w:r>
        <w:tab/>
      </w:r>
      <w:r>
        <w:fldChar w:fldCharType="begin"/>
      </w:r>
      <w:r>
        <w:instrText xml:space="preserve"> PAGEREF _Toc22262 </w:instrText>
      </w:r>
      <w:r>
        <w:fldChar w:fldCharType="separate"/>
      </w:r>
      <w:r>
        <w:t>65</w:t>
      </w:r>
      <w:r>
        <w:fldChar w:fldCharType="end"/>
      </w:r>
      <w:r>
        <w:fldChar w:fldCharType="end"/>
      </w:r>
    </w:p>
    <w:p>
      <w:pPr>
        <w:pStyle w:val="10"/>
        <w:tabs>
          <w:tab w:val="right" w:leader="dot" w:pos="8306"/>
        </w:tabs>
      </w:pPr>
      <w:r>
        <w:fldChar w:fldCharType="begin"/>
      </w:r>
      <w:r>
        <w:instrText xml:space="preserve"> HYPERLINK \l _Toc15771 </w:instrText>
      </w:r>
      <w:r>
        <w:fldChar w:fldCharType="separate"/>
      </w:r>
      <w:r>
        <w:rPr>
          <w:rFonts w:hint="eastAsia" w:ascii="Times New Roman" w:hAnsi="Times New Roman" w:cs="Times New Roman"/>
        </w:rPr>
        <w:t>（二）创作文化艺术精品</w:t>
      </w:r>
      <w:r>
        <w:tab/>
      </w:r>
      <w:r>
        <w:fldChar w:fldCharType="begin"/>
      </w:r>
      <w:r>
        <w:instrText xml:space="preserve"> PAGEREF _Toc15771 </w:instrText>
      </w:r>
      <w:r>
        <w:fldChar w:fldCharType="separate"/>
      </w:r>
      <w:r>
        <w:t>66</w:t>
      </w:r>
      <w:r>
        <w:fldChar w:fldCharType="end"/>
      </w:r>
      <w:r>
        <w:fldChar w:fldCharType="end"/>
      </w:r>
    </w:p>
    <w:p>
      <w:pPr>
        <w:pStyle w:val="10"/>
        <w:tabs>
          <w:tab w:val="right" w:leader="dot" w:pos="8306"/>
        </w:tabs>
      </w:pPr>
      <w:r>
        <w:fldChar w:fldCharType="begin"/>
      </w:r>
      <w:r>
        <w:instrText xml:space="preserve"> HYPERLINK \l _Toc24446 </w:instrText>
      </w:r>
      <w:r>
        <w:fldChar w:fldCharType="separate"/>
      </w:r>
      <w:r>
        <w:rPr>
          <w:rFonts w:hint="eastAsia" w:ascii="Times New Roman" w:hAnsi="Times New Roman" w:cs="Times New Roman"/>
        </w:rPr>
        <w:t>（三）加强文化传播推广</w:t>
      </w:r>
      <w:r>
        <w:tab/>
      </w:r>
      <w:r>
        <w:fldChar w:fldCharType="begin"/>
      </w:r>
      <w:r>
        <w:instrText xml:space="preserve"> PAGEREF _Toc24446 </w:instrText>
      </w:r>
      <w:r>
        <w:fldChar w:fldCharType="separate"/>
      </w:r>
      <w:r>
        <w:t>66</w:t>
      </w:r>
      <w:r>
        <w:fldChar w:fldCharType="end"/>
      </w:r>
      <w:r>
        <w:fldChar w:fldCharType="end"/>
      </w:r>
    </w:p>
    <w:p>
      <w:pPr>
        <w:pStyle w:val="15"/>
        <w:tabs>
          <w:tab w:val="right" w:leader="dot" w:pos="8306"/>
        </w:tabs>
      </w:pPr>
      <w:r>
        <w:fldChar w:fldCharType="begin"/>
      </w:r>
      <w:r>
        <w:instrText xml:space="preserve"> HYPERLINK \l _Toc24468 </w:instrText>
      </w:r>
      <w:r>
        <w:fldChar w:fldCharType="separate"/>
      </w:r>
      <w:r>
        <w:rPr>
          <w:rFonts w:hint="eastAsia" w:ascii="Times New Roman" w:hAnsi="Times New Roman" w:cs="Times New Roman"/>
        </w:rPr>
        <w:t>三、完善公共文化服务体系</w:t>
      </w:r>
      <w:r>
        <w:tab/>
      </w:r>
      <w:r>
        <w:fldChar w:fldCharType="begin"/>
      </w:r>
      <w:r>
        <w:instrText xml:space="preserve"> PAGEREF _Toc24468 </w:instrText>
      </w:r>
      <w:r>
        <w:fldChar w:fldCharType="separate"/>
      </w:r>
      <w:r>
        <w:t>66</w:t>
      </w:r>
      <w:r>
        <w:fldChar w:fldCharType="end"/>
      </w:r>
      <w:r>
        <w:fldChar w:fldCharType="end"/>
      </w:r>
    </w:p>
    <w:p>
      <w:pPr>
        <w:pStyle w:val="10"/>
        <w:tabs>
          <w:tab w:val="right" w:leader="dot" w:pos="8306"/>
        </w:tabs>
      </w:pPr>
      <w:r>
        <w:fldChar w:fldCharType="begin"/>
      </w:r>
      <w:r>
        <w:instrText xml:space="preserve"> HYPERLINK \l _Toc14467 </w:instrText>
      </w:r>
      <w:r>
        <w:fldChar w:fldCharType="separate"/>
      </w:r>
      <w:r>
        <w:rPr>
          <w:rFonts w:hint="eastAsia" w:ascii="Times New Roman" w:hAnsi="Times New Roman" w:cs="Times New Roman"/>
        </w:rPr>
        <w:t>（一）公共文化设施网络建设</w:t>
      </w:r>
      <w:r>
        <w:tab/>
      </w:r>
      <w:r>
        <w:fldChar w:fldCharType="begin"/>
      </w:r>
      <w:r>
        <w:instrText xml:space="preserve"> PAGEREF _Toc14467 </w:instrText>
      </w:r>
      <w:r>
        <w:fldChar w:fldCharType="separate"/>
      </w:r>
      <w:r>
        <w:t>66</w:t>
      </w:r>
      <w:r>
        <w:fldChar w:fldCharType="end"/>
      </w:r>
      <w:r>
        <w:fldChar w:fldCharType="end"/>
      </w:r>
    </w:p>
    <w:p>
      <w:pPr>
        <w:pStyle w:val="10"/>
        <w:tabs>
          <w:tab w:val="right" w:leader="dot" w:pos="8306"/>
        </w:tabs>
      </w:pPr>
      <w:r>
        <w:fldChar w:fldCharType="begin"/>
      </w:r>
      <w:r>
        <w:instrText xml:space="preserve"> HYPERLINK \l _Toc17109 </w:instrText>
      </w:r>
      <w:r>
        <w:fldChar w:fldCharType="separate"/>
      </w:r>
      <w:r>
        <w:rPr>
          <w:rFonts w:hint="eastAsia" w:ascii="Times New Roman" w:hAnsi="Times New Roman" w:cs="Times New Roman"/>
        </w:rPr>
        <w:t>（二）公共文化服务供给</w:t>
      </w:r>
      <w:r>
        <w:tab/>
      </w:r>
      <w:r>
        <w:fldChar w:fldCharType="begin"/>
      </w:r>
      <w:r>
        <w:instrText xml:space="preserve"> PAGEREF _Toc17109 </w:instrText>
      </w:r>
      <w:r>
        <w:fldChar w:fldCharType="separate"/>
      </w:r>
      <w:r>
        <w:t>67</w:t>
      </w:r>
      <w:r>
        <w:fldChar w:fldCharType="end"/>
      </w:r>
      <w:r>
        <w:fldChar w:fldCharType="end"/>
      </w:r>
    </w:p>
    <w:p>
      <w:pPr>
        <w:pStyle w:val="10"/>
        <w:tabs>
          <w:tab w:val="right" w:leader="dot" w:pos="8306"/>
        </w:tabs>
      </w:pPr>
      <w:r>
        <w:fldChar w:fldCharType="begin"/>
      </w:r>
      <w:r>
        <w:instrText xml:space="preserve"> HYPERLINK \l _Toc17010 </w:instrText>
      </w:r>
      <w:r>
        <w:fldChar w:fldCharType="separate"/>
      </w:r>
      <w:r>
        <w:rPr>
          <w:rFonts w:hint="eastAsia" w:ascii="Times New Roman" w:hAnsi="Times New Roman" w:cs="Times New Roman"/>
        </w:rPr>
        <w:t>（三）公共文化服务社会化建设</w:t>
      </w:r>
      <w:r>
        <w:tab/>
      </w:r>
      <w:r>
        <w:fldChar w:fldCharType="begin"/>
      </w:r>
      <w:r>
        <w:instrText xml:space="preserve"> PAGEREF _Toc17010 </w:instrText>
      </w:r>
      <w:r>
        <w:fldChar w:fldCharType="separate"/>
      </w:r>
      <w:r>
        <w:t>67</w:t>
      </w:r>
      <w:r>
        <w:fldChar w:fldCharType="end"/>
      </w:r>
      <w:r>
        <w:fldChar w:fldCharType="end"/>
      </w:r>
    </w:p>
    <w:p>
      <w:pPr>
        <w:pStyle w:val="15"/>
        <w:tabs>
          <w:tab w:val="right" w:leader="dot" w:pos="8306"/>
        </w:tabs>
      </w:pPr>
      <w:r>
        <w:fldChar w:fldCharType="begin"/>
      </w:r>
      <w:r>
        <w:instrText xml:space="preserve"> HYPERLINK \l _Toc3598 </w:instrText>
      </w:r>
      <w:r>
        <w:fldChar w:fldCharType="separate"/>
      </w:r>
      <w:r>
        <w:rPr>
          <w:rFonts w:hint="eastAsia" w:ascii="Times New Roman" w:hAnsi="Times New Roman" w:cs="Times New Roman"/>
        </w:rPr>
        <w:t>四、深入实施文化惠民工程</w:t>
      </w:r>
      <w:r>
        <w:tab/>
      </w:r>
      <w:r>
        <w:fldChar w:fldCharType="begin"/>
      </w:r>
      <w:r>
        <w:instrText xml:space="preserve"> PAGEREF _Toc3598 </w:instrText>
      </w:r>
      <w:r>
        <w:fldChar w:fldCharType="separate"/>
      </w:r>
      <w:r>
        <w:t>67</w:t>
      </w:r>
      <w:r>
        <w:fldChar w:fldCharType="end"/>
      </w:r>
      <w:r>
        <w:fldChar w:fldCharType="end"/>
      </w:r>
    </w:p>
    <w:p>
      <w:pPr>
        <w:pStyle w:val="15"/>
        <w:tabs>
          <w:tab w:val="right" w:leader="dot" w:pos="8306"/>
        </w:tabs>
      </w:pPr>
      <w:r>
        <w:fldChar w:fldCharType="begin"/>
      </w:r>
      <w:r>
        <w:instrText xml:space="preserve"> HYPERLINK \l _Toc6476 </w:instrText>
      </w:r>
      <w:r>
        <w:fldChar w:fldCharType="separate"/>
      </w:r>
      <w:r>
        <w:rPr>
          <w:rFonts w:hint="eastAsia" w:ascii="Times New Roman" w:hAnsi="Times New Roman" w:cs="Times New Roman"/>
        </w:rPr>
        <w:t>五、加强新时代乌兰牧骑建设</w:t>
      </w:r>
      <w:r>
        <w:tab/>
      </w:r>
      <w:r>
        <w:fldChar w:fldCharType="begin"/>
      </w:r>
      <w:r>
        <w:instrText xml:space="preserve"> PAGEREF _Toc6476 </w:instrText>
      </w:r>
      <w:r>
        <w:fldChar w:fldCharType="separate"/>
      </w:r>
      <w:r>
        <w:t>68</w:t>
      </w:r>
      <w:r>
        <w:fldChar w:fldCharType="end"/>
      </w:r>
      <w:r>
        <w:fldChar w:fldCharType="end"/>
      </w:r>
    </w:p>
    <w:p>
      <w:pPr>
        <w:pStyle w:val="10"/>
        <w:tabs>
          <w:tab w:val="right" w:leader="dot" w:pos="8306"/>
        </w:tabs>
      </w:pPr>
      <w:r>
        <w:fldChar w:fldCharType="begin"/>
      </w:r>
      <w:r>
        <w:instrText xml:space="preserve"> HYPERLINK \l _Toc1292 </w:instrText>
      </w:r>
      <w:r>
        <w:fldChar w:fldCharType="separate"/>
      </w:r>
      <w:r>
        <w:rPr>
          <w:rFonts w:hint="eastAsia" w:ascii="Times New Roman" w:hAnsi="Times New Roman" w:cs="Times New Roman"/>
        </w:rPr>
        <w:t>（一）健全工作服务制度</w:t>
      </w:r>
      <w:r>
        <w:tab/>
      </w:r>
      <w:r>
        <w:fldChar w:fldCharType="begin"/>
      </w:r>
      <w:r>
        <w:instrText xml:space="preserve"> PAGEREF _Toc1292 </w:instrText>
      </w:r>
      <w:r>
        <w:fldChar w:fldCharType="separate"/>
      </w:r>
      <w:r>
        <w:t>68</w:t>
      </w:r>
      <w:r>
        <w:fldChar w:fldCharType="end"/>
      </w:r>
      <w:r>
        <w:fldChar w:fldCharType="end"/>
      </w:r>
    </w:p>
    <w:p>
      <w:pPr>
        <w:pStyle w:val="10"/>
        <w:tabs>
          <w:tab w:val="right" w:leader="dot" w:pos="8306"/>
        </w:tabs>
      </w:pPr>
      <w:r>
        <w:fldChar w:fldCharType="begin"/>
      </w:r>
      <w:r>
        <w:instrText xml:space="preserve"> HYPERLINK \l _Toc21071 </w:instrText>
      </w:r>
      <w:r>
        <w:fldChar w:fldCharType="separate"/>
      </w:r>
      <w:r>
        <w:rPr>
          <w:rFonts w:hint="eastAsia" w:ascii="Times New Roman" w:hAnsi="Times New Roman" w:cs="Times New Roman"/>
        </w:rPr>
        <w:t>（二）创作优秀文艺作品</w:t>
      </w:r>
      <w:r>
        <w:tab/>
      </w:r>
      <w:r>
        <w:fldChar w:fldCharType="begin"/>
      </w:r>
      <w:r>
        <w:instrText xml:space="preserve"> PAGEREF _Toc21071 </w:instrText>
      </w:r>
      <w:r>
        <w:fldChar w:fldCharType="separate"/>
      </w:r>
      <w:r>
        <w:t>68</w:t>
      </w:r>
      <w:r>
        <w:fldChar w:fldCharType="end"/>
      </w:r>
      <w:r>
        <w:fldChar w:fldCharType="end"/>
      </w:r>
    </w:p>
    <w:p>
      <w:pPr>
        <w:pStyle w:val="10"/>
        <w:tabs>
          <w:tab w:val="right" w:leader="dot" w:pos="8306"/>
        </w:tabs>
      </w:pPr>
      <w:r>
        <w:fldChar w:fldCharType="begin"/>
      </w:r>
      <w:r>
        <w:instrText xml:space="preserve"> HYPERLINK \l _Toc20013 </w:instrText>
      </w:r>
      <w:r>
        <w:fldChar w:fldCharType="separate"/>
      </w:r>
      <w:r>
        <w:rPr>
          <w:rFonts w:hint="eastAsia" w:ascii="Times New Roman" w:hAnsi="Times New Roman" w:cs="Times New Roman"/>
        </w:rPr>
        <w:t>（三）开展惠民演出活动</w:t>
      </w:r>
      <w:r>
        <w:tab/>
      </w:r>
      <w:r>
        <w:fldChar w:fldCharType="begin"/>
      </w:r>
      <w:r>
        <w:instrText xml:space="preserve"> PAGEREF _Toc20013 </w:instrText>
      </w:r>
      <w:r>
        <w:fldChar w:fldCharType="separate"/>
      </w:r>
      <w:r>
        <w:t>68</w:t>
      </w:r>
      <w:r>
        <w:fldChar w:fldCharType="end"/>
      </w:r>
      <w:r>
        <w:fldChar w:fldCharType="end"/>
      </w:r>
    </w:p>
    <w:p>
      <w:pPr>
        <w:pStyle w:val="14"/>
        <w:tabs>
          <w:tab w:val="right" w:leader="dot" w:pos="8306"/>
        </w:tabs>
      </w:pPr>
      <w:r>
        <w:fldChar w:fldCharType="begin"/>
      </w:r>
      <w:r>
        <w:instrText xml:space="preserve"> HYPERLINK \l _Toc12308 </w:instrText>
      </w:r>
      <w:r>
        <w:fldChar w:fldCharType="separate"/>
      </w:r>
      <w:r>
        <w:rPr>
          <w:rFonts w:hint="eastAsia" w:ascii="Times New Roman" w:hAnsi="Times New Roman" w:cs="Times New Roman" w:eastAsiaTheme="minorEastAsia"/>
        </w:rPr>
        <w:t>第九章 完善配套，建设高效公共服务体系</w:t>
      </w:r>
      <w:r>
        <w:tab/>
      </w:r>
      <w:r>
        <w:fldChar w:fldCharType="begin"/>
      </w:r>
      <w:r>
        <w:instrText xml:space="preserve"> PAGEREF _Toc12308 </w:instrText>
      </w:r>
      <w:r>
        <w:fldChar w:fldCharType="separate"/>
      </w:r>
      <w:r>
        <w:t>69</w:t>
      </w:r>
      <w:r>
        <w:fldChar w:fldCharType="end"/>
      </w:r>
      <w:r>
        <w:fldChar w:fldCharType="end"/>
      </w:r>
    </w:p>
    <w:p>
      <w:pPr>
        <w:pStyle w:val="15"/>
        <w:tabs>
          <w:tab w:val="right" w:leader="dot" w:pos="8306"/>
        </w:tabs>
      </w:pPr>
      <w:r>
        <w:fldChar w:fldCharType="begin"/>
      </w:r>
      <w:r>
        <w:instrText xml:space="preserve"> HYPERLINK \l _Toc18575 </w:instrText>
      </w:r>
      <w:r>
        <w:fldChar w:fldCharType="separate"/>
      </w:r>
      <w:r>
        <w:rPr>
          <w:rFonts w:hint="eastAsia" w:ascii="Times New Roman" w:hAnsi="Times New Roman" w:cs="Times New Roman"/>
        </w:rPr>
        <w:t>一、旅游集散中心建设</w:t>
      </w:r>
      <w:r>
        <w:tab/>
      </w:r>
      <w:r>
        <w:fldChar w:fldCharType="begin"/>
      </w:r>
      <w:r>
        <w:instrText xml:space="preserve"> PAGEREF _Toc18575 </w:instrText>
      </w:r>
      <w:r>
        <w:fldChar w:fldCharType="separate"/>
      </w:r>
      <w:r>
        <w:t>69</w:t>
      </w:r>
      <w:r>
        <w:fldChar w:fldCharType="end"/>
      </w:r>
      <w:r>
        <w:fldChar w:fldCharType="end"/>
      </w:r>
    </w:p>
    <w:p>
      <w:pPr>
        <w:pStyle w:val="15"/>
        <w:tabs>
          <w:tab w:val="right" w:leader="dot" w:pos="8306"/>
        </w:tabs>
      </w:pPr>
      <w:r>
        <w:fldChar w:fldCharType="begin"/>
      </w:r>
      <w:r>
        <w:instrText xml:space="preserve"> HYPERLINK \l _Toc18556 </w:instrText>
      </w:r>
      <w:r>
        <w:fldChar w:fldCharType="separate"/>
      </w:r>
      <w:r>
        <w:rPr>
          <w:rFonts w:hint="eastAsia" w:ascii="Times New Roman" w:hAnsi="Times New Roman" w:cs="Times New Roman"/>
        </w:rPr>
        <w:t>二、旅游交通路网建设</w:t>
      </w:r>
      <w:r>
        <w:tab/>
      </w:r>
      <w:r>
        <w:fldChar w:fldCharType="begin"/>
      </w:r>
      <w:r>
        <w:instrText xml:space="preserve"> PAGEREF _Toc18556 </w:instrText>
      </w:r>
      <w:r>
        <w:fldChar w:fldCharType="separate"/>
      </w:r>
      <w:r>
        <w:t>69</w:t>
      </w:r>
      <w:r>
        <w:fldChar w:fldCharType="end"/>
      </w:r>
      <w:r>
        <w:fldChar w:fldCharType="end"/>
      </w:r>
    </w:p>
    <w:p>
      <w:pPr>
        <w:pStyle w:val="15"/>
        <w:tabs>
          <w:tab w:val="right" w:leader="dot" w:pos="8306"/>
        </w:tabs>
      </w:pPr>
      <w:r>
        <w:fldChar w:fldCharType="begin"/>
      </w:r>
      <w:r>
        <w:instrText xml:space="preserve"> HYPERLINK \l _Toc8391 </w:instrText>
      </w:r>
      <w:r>
        <w:fldChar w:fldCharType="separate"/>
      </w:r>
      <w:r>
        <w:rPr>
          <w:rFonts w:hint="eastAsia" w:ascii="Times New Roman" w:hAnsi="Times New Roman" w:cs="Times New Roman"/>
        </w:rPr>
        <w:t>三、旅游厕所建设</w:t>
      </w:r>
      <w:r>
        <w:tab/>
      </w:r>
      <w:r>
        <w:fldChar w:fldCharType="begin"/>
      </w:r>
      <w:r>
        <w:instrText xml:space="preserve"> PAGEREF _Toc8391 </w:instrText>
      </w:r>
      <w:r>
        <w:fldChar w:fldCharType="separate"/>
      </w:r>
      <w:r>
        <w:t>70</w:t>
      </w:r>
      <w:r>
        <w:fldChar w:fldCharType="end"/>
      </w:r>
      <w:r>
        <w:fldChar w:fldCharType="end"/>
      </w:r>
    </w:p>
    <w:p>
      <w:pPr>
        <w:pStyle w:val="15"/>
        <w:tabs>
          <w:tab w:val="right" w:leader="dot" w:pos="8306"/>
        </w:tabs>
      </w:pPr>
      <w:r>
        <w:fldChar w:fldCharType="begin"/>
      </w:r>
      <w:r>
        <w:instrText xml:space="preserve"> HYPERLINK \l _Toc13089 </w:instrText>
      </w:r>
      <w:r>
        <w:fldChar w:fldCharType="separate"/>
      </w:r>
      <w:r>
        <w:rPr>
          <w:rFonts w:hint="eastAsia" w:ascii="Times New Roman" w:hAnsi="Times New Roman" w:cs="Times New Roman"/>
        </w:rPr>
        <w:t>四、旅游标识系统建设</w:t>
      </w:r>
      <w:r>
        <w:tab/>
      </w:r>
      <w:r>
        <w:fldChar w:fldCharType="begin"/>
      </w:r>
      <w:r>
        <w:instrText xml:space="preserve"> PAGEREF _Toc13089 </w:instrText>
      </w:r>
      <w:r>
        <w:fldChar w:fldCharType="separate"/>
      </w:r>
      <w:r>
        <w:t>70</w:t>
      </w:r>
      <w:r>
        <w:fldChar w:fldCharType="end"/>
      </w:r>
      <w:r>
        <w:fldChar w:fldCharType="end"/>
      </w:r>
    </w:p>
    <w:p>
      <w:pPr>
        <w:pStyle w:val="15"/>
        <w:tabs>
          <w:tab w:val="right" w:leader="dot" w:pos="8306"/>
        </w:tabs>
      </w:pPr>
      <w:r>
        <w:fldChar w:fldCharType="begin"/>
      </w:r>
      <w:r>
        <w:instrText xml:space="preserve"> HYPERLINK \l _Toc20 </w:instrText>
      </w:r>
      <w:r>
        <w:fldChar w:fldCharType="separate"/>
      </w:r>
      <w:r>
        <w:rPr>
          <w:rFonts w:hint="eastAsia" w:ascii="Times New Roman" w:hAnsi="Times New Roman" w:cs="Times New Roman"/>
        </w:rPr>
        <w:t>五、旅游停车场</w:t>
      </w:r>
      <w:r>
        <w:tab/>
      </w:r>
      <w:r>
        <w:fldChar w:fldCharType="begin"/>
      </w:r>
      <w:r>
        <w:instrText xml:space="preserve"> PAGEREF _Toc20 </w:instrText>
      </w:r>
      <w:r>
        <w:fldChar w:fldCharType="separate"/>
      </w:r>
      <w:r>
        <w:t>71</w:t>
      </w:r>
      <w:r>
        <w:fldChar w:fldCharType="end"/>
      </w:r>
      <w:r>
        <w:fldChar w:fldCharType="end"/>
      </w:r>
    </w:p>
    <w:p>
      <w:pPr>
        <w:pStyle w:val="15"/>
        <w:tabs>
          <w:tab w:val="right" w:leader="dot" w:pos="8306"/>
        </w:tabs>
      </w:pPr>
      <w:r>
        <w:fldChar w:fldCharType="begin"/>
      </w:r>
      <w:r>
        <w:instrText xml:space="preserve"> HYPERLINK \l _Toc19491 </w:instrText>
      </w:r>
      <w:r>
        <w:fldChar w:fldCharType="separate"/>
      </w:r>
      <w:r>
        <w:rPr>
          <w:rFonts w:hint="eastAsia" w:ascii="Times New Roman" w:hAnsi="Times New Roman" w:cs="Times New Roman"/>
        </w:rPr>
        <w:t>六、营地、驿站建设</w:t>
      </w:r>
      <w:r>
        <w:tab/>
      </w:r>
      <w:r>
        <w:fldChar w:fldCharType="begin"/>
      </w:r>
      <w:r>
        <w:instrText xml:space="preserve"> PAGEREF _Toc19491 </w:instrText>
      </w:r>
      <w:r>
        <w:fldChar w:fldCharType="separate"/>
      </w:r>
      <w:r>
        <w:t>72</w:t>
      </w:r>
      <w:r>
        <w:fldChar w:fldCharType="end"/>
      </w:r>
      <w:r>
        <w:fldChar w:fldCharType="end"/>
      </w:r>
    </w:p>
    <w:p>
      <w:pPr>
        <w:pStyle w:val="10"/>
        <w:tabs>
          <w:tab w:val="right" w:leader="dot" w:pos="8306"/>
        </w:tabs>
      </w:pPr>
      <w:r>
        <w:fldChar w:fldCharType="begin"/>
      </w:r>
      <w:r>
        <w:instrText xml:space="preserve"> HYPERLINK \l _Toc21104 </w:instrText>
      </w:r>
      <w:r>
        <w:fldChar w:fldCharType="separate"/>
      </w:r>
      <w:r>
        <w:rPr>
          <w:rFonts w:hint="eastAsia" w:ascii="Times New Roman" w:hAnsi="Times New Roman" w:cs="Times New Roman"/>
        </w:rPr>
        <w:t>（一）营地</w:t>
      </w:r>
      <w:r>
        <w:tab/>
      </w:r>
      <w:r>
        <w:fldChar w:fldCharType="begin"/>
      </w:r>
      <w:r>
        <w:instrText xml:space="preserve"> PAGEREF _Toc21104 </w:instrText>
      </w:r>
      <w:r>
        <w:fldChar w:fldCharType="separate"/>
      </w:r>
      <w:r>
        <w:t>72</w:t>
      </w:r>
      <w:r>
        <w:fldChar w:fldCharType="end"/>
      </w:r>
      <w:r>
        <w:fldChar w:fldCharType="end"/>
      </w:r>
    </w:p>
    <w:p>
      <w:pPr>
        <w:pStyle w:val="10"/>
        <w:tabs>
          <w:tab w:val="right" w:leader="dot" w:pos="8306"/>
        </w:tabs>
      </w:pPr>
      <w:r>
        <w:fldChar w:fldCharType="begin"/>
      </w:r>
      <w:r>
        <w:instrText xml:space="preserve"> HYPERLINK \l _Toc13961 </w:instrText>
      </w:r>
      <w:r>
        <w:fldChar w:fldCharType="separate"/>
      </w:r>
      <w:r>
        <w:rPr>
          <w:rFonts w:hint="eastAsia" w:ascii="Times New Roman" w:hAnsi="Times New Roman" w:cs="Times New Roman"/>
        </w:rPr>
        <w:t>（二）驿站</w:t>
      </w:r>
      <w:r>
        <w:tab/>
      </w:r>
      <w:r>
        <w:fldChar w:fldCharType="begin"/>
      </w:r>
      <w:r>
        <w:instrText xml:space="preserve"> PAGEREF _Toc13961 </w:instrText>
      </w:r>
      <w:r>
        <w:fldChar w:fldCharType="separate"/>
      </w:r>
      <w:r>
        <w:t>74</w:t>
      </w:r>
      <w:r>
        <w:fldChar w:fldCharType="end"/>
      </w:r>
      <w:r>
        <w:fldChar w:fldCharType="end"/>
      </w:r>
    </w:p>
    <w:p>
      <w:pPr>
        <w:pStyle w:val="15"/>
        <w:tabs>
          <w:tab w:val="right" w:leader="dot" w:pos="8306"/>
        </w:tabs>
      </w:pPr>
      <w:r>
        <w:fldChar w:fldCharType="begin"/>
      </w:r>
      <w:r>
        <w:instrText xml:space="preserve"> HYPERLINK \l _Toc16881 </w:instrText>
      </w:r>
      <w:r>
        <w:fldChar w:fldCharType="separate"/>
      </w:r>
      <w:r>
        <w:rPr>
          <w:rFonts w:hint="eastAsia" w:ascii="Times New Roman" w:hAnsi="Times New Roman" w:cs="Times New Roman"/>
        </w:rPr>
        <w:t>七、智慧文旅平台建设</w:t>
      </w:r>
      <w:r>
        <w:tab/>
      </w:r>
      <w:r>
        <w:fldChar w:fldCharType="begin"/>
      </w:r>
      <w:r>
        <w:instrText xml:space="preserve"> PAGEREF _Toc16881 </w:instrText>
      </w:r>
      <w:r>
        <w:fldChar w:fldCharType="separate"/>
      </w:r>
      <w:r>
        <w:t>75</w:t>
      </w:r>
      <w:r>
        <w:fldChar w:fldCharType="end"/>
      </w:r>
      <w:r>
        <w:fldChar w:fldCharType="end"/>
      </w:r>
    </w:p>
    <w:p>
      <w:pPr>
        <w:pStyle w:val="10"/>
        <w:tabs>
          <w:tab w:val="right" w:leader="dot" w:pos="8306"/>
        </w:tabs>
      </w:pPr>
      <w:r>
        <w:fldChar w:fldCharType="begin"/>
      </w:r>
      <w:r>
        <w:instrText xml:space="preserve"> HYPERLINK \l _Toc25234 </w:instrText>
      </w:r>
      <w:r>
        <w:fldChar w:fldCharType="separate"/>
      </w:r>
      <w:r>
        <w:rPr>
          <w:rFonts w:hint="eastAsia" w:ascii="Times New Roman" w:hAnsi="Times New Roman" w:cs="Times New Roman"/>
        </w:rPr>
        <w:t>（一）文化信息化建设</w:t>
      </w:r>
      <w:r>
        <w:tab/>
      </w:r>
      <w:r>
        <w:fldChar w:fldCharType="begin"/>
      </w:r>
      <w:r>
        <w:instrText xml:space="preserve"> PAGEREF _Toc25234 </w:instrText>
      </w:r>
      <w:r>
        <w:fldChar w:fldCharType="separate"/>
      </w:r>
      <w:r>
        <w:t>75</w:t>
      </w:r>
      <w:r>
        <w:fldChar w:fldCharType="end"/>
      </w:r>
      <w:r>
        <w:fldChar w:fldCharType="end"/>
      </w:r>
    </w:p>
    <w:p>
      <w:pPr>
        <w:pStyle w:val="10"/>
        <w:tabs>
          <w:tab w:val="right" w:leader="dot" w:pos="8306"/>
        </w:tabs>
      </w:pPr>
      <w:r>
        <w:fldChar w:fldCharType="begin"/>
      </w:r>
      <w:r>
        <w:instrText xml:space="preserve"> HYPERLINK \l _Toc14926 </w:instrText>
      </w:r>
      <w:r>
        <w:fldChar w:fldCharType="separate"/>
      </w:r>
      <w:r>
        <w:rPr>
          <w:rFonts w:hint="eastAsia" w:ascii="Times New Roman" w:hAnsi="Times New Roman" w:cs="Times New Roman"/>
        </w:rPr>
        <w:t>（二）旅游信息化基础建设全覆盖</w:t>
      </w:r>
      <w:r>
        <w:tab/>
      </w:r>
      <w:r>
        <w:fldChar w:fldCharType="begin"/>
      </w:r>
      <w:r>
        <w:instrText xml:space="preserve"> PAGEREF _Toc14926 </w:instrText>
      </w:r>
      <w:r>
        <w:fldChar w:fldCharType="separate"/>
      </w:r>
      <w:r>
        <w:t>75</w:t>
      </w:r>
      <w:r>
        <w:fldChar w:fldCharType="end"/>
      </w:r>
      <w:r>
        <w:fldChar w:fldCharType="end"/>
      </w:r>
    </w:p>
    <w:p>
      <w:pPr>
        <w:pStyle w:val="10"/>
        <w:tabs>
          <w:tab w:val="right" w:leader="dot" w:pos="8306"/>
        </w:tabs>
      </w:pPr>
      <w:r>
        <w:fldChar w:fldCharType="begin"/>
      </w:r>
      <w:r>
        <w:instrText xml:space="preserve"> HYPERLINK \l _Toc16300 </w:instrText>
      </w:r>
      <w:r>
        <w:fldChar w:fldCharType="separate"/>
      </w:r>
      <w:r>
        <w:rPr>
          <w:rFonts w:hint="eastAsia" w:ascii="Times New Roman" w:hAnsi="Times New Roman" w:cs="Times New Roman"/>
        </w:rPr>
        <w:t>（三）智慧文旅平台建设</w:t>
      </w:r>
      <w:r>
        <w:tab/>
      </w:r>
      <w:r>
        <w:fldChar w:fldCharType="begin"/>
      </w:r>
      <w:r>
        <w:instrText xml:space="preserve"> PAGEREF _Toc16300 </w:instrText>
      </w:r>
      <w:r>
        <w:fldChar w:fldCharType="separate"/>
      </w:r>
      <w:r>
        <w:t>76</w:t>
      </w:r>
      <w:r>
        <w:fldChar w:fldCharType="end"/>
      </w:r>
      <w:r>
        <w:fldChar w:fldCharType="end"/>
      </w:r>
    </w:p>
    <w:p>
      <w:pPr>
        <w:pStyle w:val="15"/>
        <w:tabs>
          <w:tab w:val="right" w:leader="dot" w:pos="8306"/>
        </w:tabs>
      </w:pPr>
      <w:r>
        <w:fldChar w:fldCharType="begin"/>
      </w:r>
      <w:r>
        <w:instrText xml:space="preserve"> HYPERLINK \l _Toc7567 </w:instrText>
      </w:r>
      <w:r>
        <w:fldChar w:fldCharType="separate"/>
      </w:r>
      <w:r>
        <w:rPr>
          <w:rFonts w:hint="eastAsia" w:ascii="Times New Roman" w:hAnsi="Times New Roman" w:cs="Times New Roman"/>
        </w:rPr>
        <w:t>八、构筑文化旅游安全保障网</w:t>
      </w:r>
      <w:r>
        <w:tab/>
      </w:r>
      <w:r>
        <w:fldChar w:fldCharType="begin"/>
      </w:r>
      <w:r>
        <w:instrText xml:space="preserve"> PAGEREF _Toc7567 </w:instrText>
      </w:r>
      <w:r>
        <w:fldChar w:fldCharType="separate"/>
      </w:r>
      <w:r>
        <w:t>77</w:t>
      </w:r>
      <w:r>
        <w:fldChar w:fldCharType="end"/>
      </w:r>
      <w:r>
        <w:fldChar w:fldCharType="end"/>
      </w:r>
    </w:p>
    <w:p>
      <w:pPr>
        <w:pStyle w:val="10"/>
        <w:tabs>
          <w:tab w:val="right" w:leader="dot" w:pos="8306"/>
        </w:tabs>
      </w:pPr>
      <w:r>
        <w:fldChar w:fldCharType="begin"/>
      </w:r>
      <w:r>
        <w:instrText xml:space="preserve"> HYPERLINK \l _Toc16098 </w:instrText>
      </w:r>
      <w:r>
        <w:fldChar w:fldCharType="separate"/>
      </w:r>
      <w:r>
        <w:rPr>
          <w:rFonts w:hint="eastAsia" w:ascii="Times New Roman" w:hAnsi="Times New Roman" w:cs="Times New Roman"/>
        </w:rPr>
        <w:t>（一）应对自然灾害</w:t>
      </w:r>
      <w:r>
        <w:tab/>
      </w:r>
      <w:r>
        <w:fldChar w:fldCharType="begin"/>
      </w:r>
      <w:r>
        <w:instrText xml:space="preserve"> PAGEREF _Toc16098 </w:instrText>
      </w:r>
      <w:r>
        <w:fldChar w:fldCharType="separate"/>
      </w:r>
      <w:r>
        <w:t>77</w:t>
      </w:r>
      <w:r>
        <w:fldChar w:fldCharType="end"/>
      </w:r>
      <w:r>
        <w:fldChar w:fldCharType="end"/>
      </w:r>
    </w:p>
    <w:p>
      <w:pPr>
        <w:pStyle w:val="10"/>
        <w:tabs>
          <w:tab w:val="right" w:leader="dot" w:pos="8306"/>
        </w:tabs>
      </w:pPr>
      <w:r>
        <w:fldChar w:fldCharType="begin"/>
      </w:r>
      <w:r>
        <w:instrText xml:space="preserve"> HYPERLINK \l _Toc23337 </w:instrText>
      </w:r>
      <w:r>
        <w:fldChar w:fldCharType="separate"/>
      </w:r>
      <w:r>
        <w:rPr>
          <w:rFonts w:hint="eastAsia" w:ascii="Times New Roman" w:hAnsi="Times New Roman" w:cs="Times New Roman"/>
        </w:rPr>
        <w:t>（二）加强安全宣传</w:t>
      </w:r>
      <w:r>
        <w:tab/>
      </w:r>
      <w:r>
        <w:fldChar w:fldCharType="begin"/>
      </w:r>
      <w:r>
        <w:instrText xml:space="preserve"> PAGEREF _Toc23337 </w:instrText>
      </w:r>
      <w:r>
        <w:fldChar w:fldCharType="separate"/>
      </w:r>
      <w:r>
        <w:t>78</w:t>
      </w:r>
      <w:r>
        <w:fldChar w:fldCharType="end"/>
      </w:r>
      <w:r>
        <w:fldChar w:fldCharType="end"/>
      </w:r>
    </w:p>
    <w:p>
      <w:pPr>
        <w:pStyle w:val="10"/>
        <w:tabs>
          <w:tab w:val="right" w:leader="dot" w:pos="8306"/>
        </w:tabs>
      </w:pPr>
      <w:r>
        <w:fldChar w:fldCharType="begin"/>
      </w:r>
      <w:r>
        <w:instrText xml:space="preserve"> HYPERLINK \l _Toc12802 </w:instrText>
      </w:r>
      <w:r>
        <w:fldChar w:fldCharType="separate"/>
      </w:r>
      <w:r>
        <w:rPr>
          <w:rFonts w:hint="eastAsia" w:ascii="Times New Roman" w:hAnsi="Times New Roman" w:cs="Times New Roman"/>
        </w:rPr>
        <w:t>（三）完善应急管理体系</w:t>
      </w:r>
      <w:r>
        <w:tab/>
      </w:r>
      <w:r>
        <w:fldChar w:fldCharType="begin"/>
      </w:r>
      <w:r>
        <w:instrText xml:space="preserve"> PAGEREF _Toc12802 </w:instrText>
      </w:r>
      <w:r>
        <w:fldChar w:fldCharType="separate"/>
      </w:r>
      <w:r>
        <w:t>78</w:t>
      </w:r>
      <w:r>
        <w:fldChar w:fldCharType="end"/>
      </w:r>
      <w:r>
        <w:fldChar w:fldCharType="end"/>
      </w:r>
    </w:p>
    <w:p>
      <w:pPr>
        <w:pStyle w:val="10"/>
        <w:tabs>
          <w:tab w:val="right" w:leader="dot" w:pos="8306"/>
        </w:tabs>
      </w:pPr>
      <w:r>
        <w:fldChar w:fldCharType="begin"/>
      </w:r>
      <w:r>
        <w:instrText xml:space="preserve"> HYPERLINK \l _Toc25883 </w:instrText>
      </w:r>
      <w:r>
        <w:fldChar w:fldCharType="separate"/>
      </w:r>
      <w:r>
        <w:rPr>
          <w:rFonts w:hint="eastAsia" w:ascii="Times New Roman" w:hAnsi="Times New Roman" w:cs="Times New Roman"/>
        </w:rPr>
        <w:t>（四）完善旅游保险</w:t>
      </w:r>
      <w:r>
        <w:tab/>
      </w:r>
      <w:r>
        <w:fldChar w:fldCharType="begin"/>
      </w:r>
      <w:r>
        <w:instrText xml:space="preserve"> PAGEREF _Toc25883 </w:instrText>
      </w:r>
      <w:r>
        <w:fldChar w:fldCharType="separate"/>
      </w:r>
      <w:r>
        <w:t>78</w:t>
      </w:r>
      <w:r>
        <w:fldChar w:fldCharType="end"/>
      </w:r>
      <w:r>
        <w:fldChar w:fldCharType="end"/>
      </w:r>
    </w:p>
    <w:p>
      <w:pPr>
        <w:pStyle w:val="10"/>
        <w:tabs>
          <w:tab w:val="right" w:leader="dot" w:pos="8306"/>
        </w:tabs>
      </w:pPr>
      <w:r>
        <w:fldChar w:fldCharType="begin"/>
      </w:r>
      <w:r>
        <w:instrText xml:space="preserve"> HYPERLINK \l _Toc13526 </w:instrText>
      </w:r>
      <w:r>
        <w:fldChar w:fldCharType="separate"/>
      </w:r>
      <w:r>
        <w:rPr>
          <w:rFonts w:hint="eastAsia" w:ascii="Times New Roman" w:hAnsi="Times New Roman" w:cs="Times New Roman"/>
        </w:rPr>
        <w:t>（五）完善旅游安全法规制度</w:t>
      </w:r>
      <w:r>
        <w:tab/>
      </w:r>
      <w:r>
        <w:fldChar w:fldCharType="begin"/>
      </w:r>
      <w:r>
        <w:instrText xml:space="preserve"> PAGEREF _Toc13526 </w:instrText>
      </w:r>
      <w:r>
        <w:fldChar w:fldCharType="separate"/>
      </w:r>
      <w:r>
        <w:t>78</w:t>
      </w:r>
      <w:r>
        <w:fldChar w:fldCharType="end"/>
      </w:r>
      <w:r>
        <w:fldChar w:fldCharType="end"/>
      </w:r>
    </w:p>
    <w:p>
      <w:pPr>
        <w:pStyle w:val="10"/>
        <w:tabs>
          <w:tab w:val="right" w:leader="dot" w:pos="8306"/>
        </w:tabs>
      </w:pPr>
      <w:r>
        <w:fldChar w:fldCharType="begin"/>
      </w:r>
      <w:r>
        <w:instrText xml:space="preserve"> HYPERLINK \l _Toc6850 </w:instrText>
      </w:r>
      <w:r>
        <w:fldChar w:fldCharType="separate"/>
      </w:r>
      <w:r>
        <w:rPr>
          <w:rFonts w:hint="eastAsia" w:ascii="Times New Roman" w:hAnsi="Times New Roman" w:cs="Times New Roman"/>
        </w:rPr>
        <w:t>（六）建立健全旅游安全责任体系</w:t>
      </w:r>
      <w:r>
        <w:tab/>
      </w:r>
      <w:r>
        <w:fldChar w:fldCharType="begin"/>
      </w:r>
      <w:r>
        <w:instrText xml:space="preserve"> PAGEREF _Toc6850 </w:instrText>
      </w:r>
      <w:r>
        <w:fldChar w:fldCharType="separate"/>
      </w:r>
      <w:r>
        <w:t>78</w:t>
      </w:r>
      <w:r>
        <w:fldChar w:fldCharType="end"/>
      </w:r>
      <w:r>
        <w:fldChar w:fldCharType="end"/>
      </w:r>
    </w:p>
    <w:p>
      <w:pPr>
        <w:pStyle w:val="10"/>
        <w:tabs>
          <w:tab w:val="right" w:leader="dot" w:pos="8306"/>
        </w:tabs>
      </w:pPr>
      <w:r>
        <w:fldChar w:fldCharType="begin"/>
      </w:r>
      <w:r>
        <w:instrText xml:space="preserve"> HYPERLINK \l _Toc30999 </w:instrText>
      </w:r>
      <w:r>
        <w:fldChar w:fldCharType="separate"/>
      </w:r>
      <w:r>
        <w:rPr>
          <w:rFonts w:hint="eastAsia" w:ascii="Times New Roman" w:hAnsi="Times New Roman" w:cs="Times New Roman"/>
        </w:rPr>
        <w:t>（七）强化旅游安全监管举措</w:t>
      </w:r>
      <w:r>
        <w:tab/>
      </w:r>
      <w:r>
        <w:fldChar w:fldCharType="begin"/>
      </w:r>
      <w:r>
        <w:instrText xml:space="preserve"> PAGEREF _Toc30999 </w:instrText>
      </w:r>
      <w:r>
        <w:fldChar w:fldCharType="separate"/>
      </w:r>
      <w:r>
        <w:t>78</w:t>
      </w:r>
      <w:r>
        <w:fldChar w:fldCharType="end"/>
      </w:r>
      <w:r>
        <w:fldChar w:fldCharType="end"/>
      </w:r>
    </w:p>
    <w:p>
      <w:pPr>
        <w:pStyle w:val="14"/>
        <w:tabs>
          <w:tab w:val="right" w:leader="dot" w:pos="8306"/>
        </w:tabs>
      </w:pPr>
      <w:r>
        <w:fldChar w:fldCharType="begin"/>
      </w:r>
      <w:r>
        <w:instrText xml:space="preserve"> HYPERLINK \l _Toc16254 </w:instrText>
      </w:r>
      <w:r>
        <w:fldChar w:fldCharType="separate"/>
      </w:r>
      <w:r>
        <w:rPr>
          <w:rFonts w:hint="eastAsia" w:ascii="Times New Roman" w:hAnsi="Times New Roman" w:cs="Times New Roman" w:eastAsiaTheme="minorEastAsia"/>
        </w:rPr>
        <w:t>第十章 全力实施，创新文化旅游品牌营销</w:t>
      </w:r>
      <w:r>
        <w:tab/>
      </w:r>
      <w:r>
        <w:fldChar w:fldCharType="begin"/>
      </w:r>
      <w:r>
        <w:instrText xml:space="preserve"> PAGEREF _Toc16254 </w:instrText>
      </w:r>
      <w:r>
        <w:fldChar w:fldCharType="separate"/>
      </w:r>
      <w:r>
        <w:t>80</w:t>
      </w:r>
      <w:r>
        <w:fldChar w:fldCharType="end"/>
      </w:r>
      <w:r>
        <w:fldChar w:fldCharType="end"/>
      </w:r>
    </w:p>
    <w:p>
      <w:pPr>
        <w:pStyle w:val="15"/>
        <w:tabs>
          <w:tab w:val="right" w:leader="dot" w:pos="8306"/>
        </w:tabs>
      </w:pPr>
      <w:r>
        <w:fldChar w:fldCharType="begin"/>
      </w:r>
      <w:r>
        <w:instrText xml:space="preserve"> HYPERLINK \l _Toc21253 </w:instrText>
      </w:r>
      <w:r>
        <w:fldChar w:fldCharType="separate"/>
      </w:r>
      <w:r>
        <w:rPr>
          <w:rFonts w:hint="eastAsia" w:ascii="Times New Roman" w:hAnsi="Times New Roman" w:cs="Times New Roman"/>
        </w:rPr>
        <w:t>一、客源市场定位</w:t>
      </w:r>
      <w:r>
        <w:tab/>
      </w:r>
      <w:r>
        <w:fldChar w:fldCharType="begin"/>
      </w:r>
      <w:r>
        <w:instrText xml:space="preserve"> PAGEREF _Toc21253 </w:instrText>
      </w:r>
      <w:r>
        <w:fldChar w:fldCharType="separate"/>
      </w:r>
      <w:r>
        <w:t>80</w:t>
      </w:r>
      <w:r>
        <w:fldChar w:fldCharType="end"/>
      </w:r>
      <w:r>
        <w:fldChar w:fldCharType="end"/>
      </w:r>
    </w:p>
    <w:p>
      <w:pPr>
        <w:pStyle w:val="15"/>
        <w:tabs>
          <w:tab w:val="right" w:leader="dot" w:pos="8306"/>
        </w:tabs>
      </w:pPr>
      <w:r>
        <w:fldChar w:fldCharType="begin"/>
      </w:r>
      <w:r>
        <w:instrText xml:space="preserve"> HYPERLINK \l _Toc870 </w:instrText>
      </w:r>
      <w:r>
        <w:fldChar w:fldCharType="separate"/>
      </w:r>
      <w:r>
        <w:rPr>
          <w:rFonts w:hint="eastAsia" w:ascii="Times New Roman" w:hAnsi="Times New Roman" w:cs="Times New Roman"/>
        </w:rPr>
        <w:t>二、塑造品牌形象</w:t>
      </w:r>
      <w:r>
        <w:tab/>
      </w:r>
      <w:r>
        <w:fldChar w:fldCharType="begin"/>
      </w:r>
      <w:r>
        <w:instrText xml:space="preserve"> PAGEREF _Toc870 </w:instrText>
      </w:r>
      <w:r>
        <w:fldChar w:fldCharType="separate"/>
      </w:r>
      <w:r>
        <w:t>81</w:t>
      </w:r>
      <w:r>
        <w:fldChar w:fldCharType="end"/>
      </w:r>
      <w:r>
        <w:fldChar w:fldCharType="end"/>
      </w:r>
    </w:p>
    <w:p>
      <w:pPr>
        <w:pStyle w:val="15"/>
        <w:tabs>
          <w:tab w:val="right" w:leader="dot" w:pos="8306"/>
        </w:tabs>
      </w:pPr>
      <w:r>
        <w:fldChar w:fldCharType="begin"/>
      </w:r>
      <w:r>
        <w:instrText xml:space="preserve"> HYPERLINK \l _Toc5075 </w:instrText>
      </w:r>
      <w:r>
        <w:fldChar w:fldCharType="separate"/>
      </w:r>
      <w:r>
        <w:rPr>
          <w:rFonts w:hint="eastAsia" w:ascii="Times New Roman" w:hAnsi="Times New Roman" w:cs="Times New Roman"/>
        </w:rPr>
        <w:t>三、开展多元营销</w:t>
      </w:r>
      <w:r>
        <w:tab/>
      </w:r>
      <w:r>
        <w:fldChar w:fldCharType="begin"/>
      </w:r>
      <w:r>
        <w:instrText xml:space="preserve"> PAGEREF _Toc5075 </w:instrText>
      </w:r>
      <w:r>
        <w:fldChar w:fldCharType="separate"/>
      </w:r>
      <w:r>
        <w:t>81</w:t>
      </w:r>
      <w:r>
        <w:fldChar w:fldCharType="end"/>
      </w:r>
      <w:r>
        <w:fldChar w:fldCharType="end"/>
      </w:r>
    </w:p>
    <w:p>
      <w:pPr>
        <w:pStyle w:val="10"/>
        <w:tabs>
          <w:tab w:val="right" w:leader="dot" w:pos="8306"/>
        </w:tabs>
      </w:pPr>
      <w:r>
        <w:fldChar w:fldCharType="begin"/>
      </w:r>
      <w:r>
        <w:instrText xml:space="preserve"> HYPERLINK \l _Toc5776 </w:instrText>
      </w:r>
      <w:r>
        <w:fldChar w:fldCharType="separate"/>
      </w:r>
      <w:r>
        <w:rPr>
          <w:rFonts w:hint="eastAsia" w:ascii="Times New Roman" w:hAnsi="Times New Roman" w:cs="Times New Roman"/>
        </w:rPr>
        <w:t>（一）传统媒体营销</w:t>
      </w:r>
      <w:r>
        <w:tab/>
      </w:r>
      <w:r>
        <w:fldChar w:fldCharType="begin"/>
      </w:r>
      <w:r>
        <w:instrText xml:space="preserve"> PAGEREF _Toc5776 </w:instrText>
      </w:r>
      <w:r>
        <w:fldChar w:fldCharType="separate"/>
      </w:r>
      <w:r>
        <w:t>82</w:t>
      </w:r>
      <w:r>
        <w:fldChar w:fldCharType="end"/>
      </w:r>
      <w:r>
        <w:fldChar w:fldCharType="end"/>
      </w:r>
    </w:p>
    <w:p>
      <w:pPr>
        <w:pStyle w:val="10"/>
        <w:tabs>
          <w:tab w:val="right" w:leader="dot" w:pos="8306"/>
        </w:tabs>
      </w:pPr>
      <w:r>
        <w:fldChar w:fldCharType="begin"/>
      </w:r>
      <w:r>
        <w:instrText xml:space="preserve"> HYPERLINK \l _Toc26684 </w:instrText>
      </w:r>
      <w:r>
        <w:fldChar w:fldCharType="separate"/>
      </w:r>
      <w:r>
        <w:rPr>
          <w:rFonts w:hint="eastAsia" w:ascii="Times New Roman" w:hAnsi="Times New Roman" w:cs="Times New Roman"/>
        </w:rPr>
        <w:t>（二）新媒体营销</w:t>
      </w:r>
      <w:r>
        <w:tab/>
      </w:r>
      <w:r>
        <w:fldChar w:fldCharType="begin"/>
      </w:r>
      <w:r>
        <w:instrText xml:space="preserve"> PAGEREF _Toc26684 </w:instrText>
      </w:r>
      <w:r>
        <w:fldChar w:fldCharType="separate"/>
      </w:r>
      <w:r>
        <w:t>82</w:t>
      </w:r>
      <w:r>
        <w:fldChar w:fldCharType="end"/>
      </w:r>
      <w:r>
        <w:fldChar w:fldCharType="end"/>
      </w:r>
    </w:p>
    <w:p>
      <w:pPr>
        <w:pStyle w:val="10"/>
        <w:tabs>
          <w:tab w:val="right" w:leader="dot" w:pos="8306"/>
        </w:tabs>
      </w:pPr>
      <w:r>
        <w:fldChar w:fldCharType="begin"/>
      </w:r>
      <w:r>
        <w:instrText xml:space="preserve"> HYPERLINK \l _Toc17346 </w:instrText>
      </w:r>
      <w:r>
        <w:fldChar w:fldCharType="separate"/>
      </w:r>
      <w:r>
        <w:rPr>
          <w:rFonts w:hint="eastAsia" w:ascii="Times New Roman" w:hAnsi="Times New Roman" w:cs="Times New Roman"/>
        </w:rPr>
        <w:t>（三）直播营销</w:t>
      </w:r>
      <w:r>
        <w:tab/>
      </w:r>
      <w:r>
        <w:fldChar w:fldCharType="begin"/>
      </w:r>
      <w:r>
        <w:instrText xml:space="preserve"> PAGEREF _Toc17346 </w:instrText>
      </w:r>
      <w:r>
        <w:fldChar w:fldCharType="separate"/>
      </w:r>
      <w:r>
        <w:t>83</w:t>
      </w:r>
      <w:r>
        <w:fldChar w:fldCharType="end"/>
      </w:r>
      <w:r>
        <w:fldChar w:fldCharType="end"/>
      </w:r>
    </w:p>
    <w:p>
      <w:pPr>
        <w:pStyle w:val="10"/>
        <w:tabs>
          <w:tab w:val="right" w:leader="dot" w:pos="8306"/>
        </w:tabs>
      </w:pPr>
      <w:r>
        <w:fldChar w:fldCharType="begin"/>
      </w:r>
      <w:r>
        <w:instrText xml:space="preserve"> HYPERLINK \l _Toc25855 </w:instrText>
      </w:r>
      <w:r>
        <w:fldChar w:fldCharType="separate"/>
      </w:r>
      <w:r>
        <w:rPr>
          <w:rFonts w:hint="eastAsia" w:ascii="Times New Roman" w:hAnsi="Times New Roman" w:cs="Times New Roman"/>
        </w:rPr>
        <w:t>（四）流量营销</w:t>
      </w:r>
      <w:r>
        <w:tab/>
      </w:r>
      <w:r>
        <w:fldChar w:fldCharType="begin"/>
      </w:r>
      <w:r>
        <w:instrText xml:space="preserve"> PAGEREF _Toc25855 </w:instrText>
      </w:r>
      <w:r>
        <w:fldChar w:fldCharType="separate"/>
      </w:r>
      <w:r>
        <w:t>84</w:t>
      </w:r>
      <w:r>
        <w:fldChar w:fldCharType="end"/>
      </w:r>
      <w:r>
        <w:fldChar w:fldCharType="end"/>
      </w:r>
    </w:p>
    <w:p>
      <w:pPr>
        <w:pStyle w:val="10"/>
        <w:tabs>
          <w:tab w:val="right" w:leader="dot" w:pos="8306"/>
        </w:tabs>
      </w:pPr>
      <w:r>
        <w:fldChar w:fldCharType="begin"/>
      </w:r>
      <w:r>
        <w:instrText xml:space="preserve"> HYPERLINK \l _Toc13704 </w:instrText>
      </w:r>
      <w:r>
        <w:fldChar w:fldCharType="separate"/>
      </w:r>
      <w:r>
        <w:rPr>
          <w:rFonts w:hint="eastAsia" w:ascii="Times New Roman" w:hAnsi="Times New Roman" w:cs="Times New Roman"/>
        </w:rPr>
        <w:t>（五）节庆营销</w:t>
      </w:r>
      <w:r>
        <w:tab/>
      </w:r>
      <w:r>
        <w:fldChar w:fldCharType="begin"/>
      </w:r>
      <w:r>
        <w:instrText xml:space="preserve"> PAGEREF _Toc13704 </w:instrText>
      </w:r>
      <w:r>
        <w:fldChar w:fldCharType="separate"/>
      </w:r>
      <w:r>
        <w:t>84</w:t>
      </w:r>
      <w:r>
        <w:fldChar w:fldCharType="end"/>
      </w:r>
      <w:r>
        <w:fldChar w:fldCharType="end"/>
      </w:r>
    </w:p>
    <w:p>
      <w:pPr>
        <w:pStyle w:val="10"/>
        <w:tabs>
          <w:tab w:val="right" w:leader="dot" w:pos="8306"/>
        </w:tabs>
      </w:pPr>
      <w:r>
        <w:fldChar w:fldCharType="begin"/>
      </w:r>
      <w:r>
        <w:instrText xml:space="preserve"> HYPERLINK \l _Toc30750 </w:instrText>
      </w:r>
      <w:r>
        <w:fldChar w:fldCharType="separate"/>
      </w:r>
      <w:r>
        <w:rPr>
          <w:rFonts w:hint="eastAsia" w:ascii="Times New Roman" w:hAnsi="Times New Roman" w:cs="Times New Roman"/>
        </w:rPr>
        <w:t>（六）文化创意营销</w:t>
      </w:r>
      <w:r>
        <w:tab/>
      </w:r>
      <w:r>
        <w:fldChar w:fldCharType="begin"/>
      </w:r>
      <w:r>
        <w:instrText xml:space="preserve"> PAGEREF _Toc30750 </w:instrText>
      </w:r>
      <w:r>
        <w:fldChar w:fldCharType="separate"/>
      </w:r>
      <w:r>
        <w:t>84</w:t>
      </w:r>
      <w:r>
        <w:fldChar w:fldCharType="end"/>
      </w:r>
      <w:r>
        <w:fldChar w:fldCharType="end"/>
      </w:r>
    </w:p>
    <w:p>
      <w:pPr>
        <w:pStyle w:val="10"/>
        <w:tabs>
          <w:tab w:val="right" w:leader="dot" w:pos="8306"/>
        </w:tabs>
      </w:pPr>
      <w:r>
        <w:fldChar w:fldCharType="begin"/>
      </w:r>
      <w:r>
        <w:instrText xml:space="preserve"> HYPERLINK \l _Toc24825 </w:instrText>
      </w:r>
      <w:r>
        <w:fldChar w:fldCharType="separate"/>
      </w:r>
      <w:r>
        <w:rPr>
          <w:rFonts w:hint="eastAsia" w:ascii="Times New Roman" w:hAnsi="Times New Roman" w:cs="Times New Roman"/>
        </w:rPr>
        <w:t>（七）影视营销</w:t>
      </w:r>
      <w:r>
        <w:tab/>
      </w:r>
      <w:r>
        <w:fldChar w:fldCharType="begin"/>
      </w:r>
      <w:r>
        <w:instrText xml:space="preserve"> PAGEREF _Toc24825 </w:instrText>
      </w:r>
      <w:r>
        <w:fldChar w:fldCharType="separate"/>
      </w:r>
      <w:r>
        <w:t>85</w:t>
      </w:r>
      <w:r>
        <w:fldChar w:fldCharType="end"/>
      </w:r>
      <w:r>
        <w:fldChar w:fldCharType="end"/>
      </w:r>
    </w:p>
    <w:p>
      <w:pPr>
        <w:pStyle w:val="14"/>
        <w:tabs>
          <w:tab w:val="right" w:leader="dot" w:pos="8306"/>
        </w:tabs>
      </w:pPr>
      <w:r>
        <w:fldChar w:fldCharType="begin"/>
      </w:r>
      <w:r>
        <w:instrText xml:space="preserve"> HYPERLINK \l _Toc27909 </w:instrText>
      </w:r>
      <w:r>
        <w:fldChar w:fldCharType="separate"/>
      </w:r>
      <w:r>
        <w:rPr>
          <w:rFonts w:hint="eastAsia" w:ascii="Times New Roman" w:hAnsi="Times New Roman" w:cs="Times New Roman" w:eastAsiaTheme="minorEastAsia"/>
        </w:rPr>
        <w:t>第十一章 加大扶持，改善文旅发展外部环境</w:t>
      </w:r>
      <w:r>
        <w:tab/>
      </w:r>
      <w:r>
        <w:fldChar w:fldCharType="begin"/>
      </w:r>
      <w:r>
        <w:instrText xml:space="preserve"> PAGEREF _Toc27909 </w:instrText>
      </w:r>
      <w:r>
        <w:fldChar w:fldCharType="separate"/>
      </w:r>
      <w:r>
        <w:t>86</w:t>
      </w:r>
      <w:r>
        <w:fldChar w:fldCharType="end"/>
      </w:r>
      <w:r>
        <w:fldChar w:fldCharType="end"/>
      </w:r>
    </w:p>
    <w:p>
      <w:pPr>
        <w:pStyle w:val="15"/>
        <w:tabs>
          <w:tab w:val="right" w:leader="dot" w:pos="8306"/>
        </w:tabs>
      </w:pPr>
      <w:r>
        <w:fldChar w:fldCharType="begin"/>
      </w:r>
      <w:r>
        <w:instrText xml:space="preserve"> HYPERLINK \l _Toc11192 </w:instrText>
      </w:r>
      <w:r>
        <w:fldChar w:fldCharType="separate"/>
      </w:r>
      <w:r>
        <w:rPr>
          <w:rFonts w:hint="eastAsia" w:ascii="Times New Roman" w:hAnsi="Times New Roman" w:cs="Times New Roman"/>
        </w:rPr>
        <w:t>一、强化综合协调</w:t>
      </w:r>
      <w:r>
        <w:tab/>
      </w:r>
      <w:r>
        <w:fldChar w:fldCharType="begin"/>
      </w:r>
      <w:r>
        <w:instrText xml:space="preserve"> PAGEREF _Toc11192 </w:instrText>
      </w:r>
      <w:r>
        <w:fldChar w:fldCharType="separate"/>
      </w:r>
      <w:r>
        <w:t>86</w:t>
      </w:r>
      <w:r>
        <w:fldChar w:fldCharType="end"/>
      </w:r>
      <w:r>
        <w:fldChar w:fldCharType="end"/>
      </w:r>
    </w:p>
    <w:p>
      <w:pPr>
        <w:pStyle w:val="15"/>
        <w:tabs>
          <w:tab w:val="right" w:leader="dot" w:pos="8306"/>
        </w:tabs>
      </w:pPr>
      <w:r>
        <w:fldChar w:fldCharType="begin"/>
      </w:r>
      <w:r>
        <w:instrText xml:space="preserve"> HYPERLINK \l _Toc25357 </w:instrText>
      </w:r>
      <w:r>
        <w:fldChar w:fldCharType="separate"/>
      </w:r>
      <w:r>
        <w:rPr>
          <w:rFonts w:hint="eastAsia" w:ascii="Times New Roman" w:hAnsi="Times New Roman" w:cs="Times New Roman"/>
        </w:rPr>
        <w:t>二、加快转变职能</w:t>
      </w:r>
      <w:r>
        <w:tab/>
      </w:r>
      <w:r>
        <w:fldChar w:fldCharType="begin"/>
      </w:r>
      <w:r>
        <w:instrText xml:space="preserve"> PAGEREF _Toc25357 </w:instrText>
      </w:r>
      <w:r>
        <w:fldChar w:fldCharType="separate"/>
      </w:r>
      <w:r>
        <w:t>86</w:t>
      </w:r>
      <w:r>
        <w:fldChar w:fldCharType="end"/>
      </w:r>
      <w:r>
        <w:fldChar w:fldCharType="end"/>
      </w:r>
    </w:p>
    <w:p>
      <w:pPr>
        <w:pStyle w:val="15"/>
        <w:tabs>
          <w:tab w:val="right" w:leader="dot" w:pos="8306"/>
        </w:tabs>
      </w:pPr>
      <w:r>
        <w:fldChar w:fldCharType="begin"/>
      </w:r>
      <w:r>
        <w:instrText xml:space="preserve"> HYPERLINK \l _Toc20212 </w:instrText>
      </w:r>
      <w:r>
        <w:fldChar w:fldCharType="separate"/>
      </w:r>
      <w:r>
        <w:rPr>
          <w:rFonts w:hint="eastAsia" w:ascii="Times New Roman" w:hAnsi="Times New Roman" w:cs="Times New Roman"/>
        </w:rPr>
        <w:t>三、加强金融服务</w:t>
      </w:r>
      <w:r>
        <w:tab/>
      </w:r>
      <w:r>
        <w:fldChar w:fldCharType="begin"/>
      </w:r>
      <w:r>
        <w:instrText xml:space="preserve"> PAGEREF _Toc20212 </w:instrText>
      </w:r>
      <w:r>
        <w:fldChar w:fldCharType="separate"/>
      </w:r>
      <w:r>
        <w:t>86</w:t>
      </w:r>
      <w:r>
        <w:fldChar w:fldCharType="end"/>
      </w:r>
      <w:r>
        <w:fldChar w:fldCharType="end"/>
      </w:r>
    </w:p>
    <w:p>
      <w:pPr>
        <w:pStyle w:val="15"/>
        <w:tabs>
          <w:tab w:val="right" w:leader="dot" w:pos="8306"/>
        </w:tabs>
      </w:pPr>
      <w:r>
        <w:fldChar w:fldCharType="begin"/>
      </w:r>
      <w:r>
        <w:instrText xml:space="preserve"> HYPERLINK \l _Toc20727 </w:instrText>
      </w:r>
      <w:r>
        <w:fldChar w:fldCharType="separate"/>
      </w:r>
      <w:r>
        <w:rPr>
          <w:rFonts w:hint="eastAsia" w:ascii="Times New Roman" w:hAnsi="Times New Roman" w:cs="Times New Roman"/>
        </w:rPr>
        <w:t>四、加大财税支持</w:t>
      </w:r>
      <w:r>
        <w:tab/>
      </w:r>
      <w:r>
        <w:fldChar w:fldCharType="begin"/>
      </w:r>
      <w:r>
        <w:instrText xml:space="preserve"> PAGEREF _Toc20727 </w:instrText>
      </w:r>
      <w:r>
        <w:fldChar w:fldCharType="separate"/>
      </w:r>
      <w:r>
        <w:t>86</w:t>
      </w:r>
      <w:r>
        <w:fldChar w:fldCharType="end"/>
      </w:r>
      <w:r>
        <w:fldChar w:fldCharType="end"/>
      </w:r>
    </w:p>
    <w:p>
      <w:pPr>
        <w:pStyle w:val="15"/>
        <w:tabs>
          <w:tab w:val="right" w:leader="dot" w:pos="8306"/>
        </w:tabs>
      </w:pPr>
      <w:r>
        <w:fldChar w:fldCharType="begin"/>
      </w:r>
      <w:r>
        <w:instrText xml:space="preserve"> HYPERLINK \l _Toc18295 </w:instrText>
      </w:r>
      <w:r>
        <w:fldChar w:fldCharType="separate"/>
      </w:r>
      <w:r>
        <w:rPr>
          <w:rFonts w:hint="eastAsia" w:ascii="Times New Roman" w:hAnsi="Times New Roman" w:cs="Times New Roman"/>
        </w:rPr>
        <w:t>五、强化人才培养</w:t>
      </w:r>
      <w:r>
        <w:tab/>
      </w:r>
      <w:r>
        <w:fldChar w:fldCharType="begin"/>
      </w:r>
      <w:r>
        <w:instrText xml:space="preserve"> PAGEREF _Toc18295 </w:instrText>
      </w:r>
      <w:r>
        <w:fldChar w:fldCharType="separate"/>
      </w:r>
      <w:r>
        <w:t>87</w:t>
      </w:r>
      <w:r>
        <w:fldChar w:fldCharType="end"/>
      </w:r>
      <w:r>
        <w:fldChar w:fldCharType="end"/>
      </w:r>
    </w:p>
    <w:p>
      <w:pPr>
        <w:pStyle w:val="10"/>
        <w:tabs>
          <w:tab w:val="right" w:leader="dot" w:pos="8306"/>
        </w:tabs>
      </w:pPr>
      <w:r>
        <w:fldChar w:fldCharType="begin"/>
      </w:r>
      <w:r>
        <w:instrText xml:space="preserve"> HYPERLINK \l _Toc17742 </w:instrText>
      </w:r>
      <w:r>
        <w:fldChar w:fldCharType="separate"/>
      </w:r>
      <w:r>
        <w:rPr>
          <w:rFonts w:hint="eastAsia" w:ascii="Times New Roman" w:hAnsi="Times New Roman" w:cs="Times New Roman"/>
        </w:rPr>
        <w:t>（一）全方位引进文旅人才</w:t>
      </w:r>
      <w:r>
        <w:tab/>
      </w:r>
      <w:r>
        <w:fldChar w:fldCharType="begin"/>
      </w:r>
      <w:r>
        <w:instrText xml:space="preserve"> PAGEREF _Toc17742 </w:instrText>
      </w:r>
      <w:r>
        <w:fldChar w:fldCharType="separate"/>
      </w:r>
      <w:r>
        <w:t>87</w:t>
      </w:r>
      <w:r>
        <w:fldChar w:fldCharType="end"/>
      </w:r>
      <w:r>
        <w:fldChar w:fldCharType="end"/>
      </w:r>
    </w:p>
    <w:p>
      <w:pPr>
        <w:pStyle w:val="10"/>
        <w:tabs>
          <w:tab w:val="right" w:leader="dot" w:pos="8306"/>
        </w:tabs>
      </w:pPr>
      <w:r>
        <w:fldChar w:fldCharType="begin"/>
      </w:r>
      <w:r>
        <w:instrText xml:space="preserve"> HYPERLINK \l _Toc25338 </w:instrText>
      </w:r>
      <w:r>
        <w:fldChar w:fldCharType="separate"/>
      </w:r>
      <w:r>
        <w:rPr>
          <w:rFonts w:hint="eastAsia" w:ascii="Times New Roman" w:hAnsi="Times New Roman" w:cs="Times New Roman"/>
        </w:rPr>
        <w:t>（二）强化文旅人才培训</w:t>
      </w:r>
      <w:r>
        <w:tab/>
      </w:r>
      <w:r>
        <w:fldChar w:fldCharType="begin"/>
      </w:r>
      <w:r>
        <w:instrText xml:space="preserve"> PAGEREF _Toc25338 </w:instrText>
      </w:r>
      <w:r>
        <w:fldChar w:fldCharType="separate"/>
      </w:r>
      <w:r>
        <w:t>87</w:t>
      </w:r>
      <w:r>
        <w:fldChar w:fldCharType="end"/>
      </w:r>
      <w:r>
        <w:fldChar w:fldCharType="end"/>
      </w:r>
    </w:p>
    <w:p>
      <w:pPr>
        <w:pStyle w:val="10"/>
        <w:tabs>
          <w:tab w:val="right" w:leader="dot" w:pos="8306"/>
        </w:tabs>
      </w:pPr>
      <w:r>
        <w:fldChar w:fldCharType="begin"/>
      </w:r>
      <w:r>
        <w:instrText xml:space="preserve"> HYPERLINK \l _Toc21203 </w:instrText>
      </w:r>
      <w:r>
        <w:fldChar w:fldCharType="separate"/>
      </w:r>
      <w:r>
        <w:rPr>
          <w:rFonts w:hint="eastAsia" w:ascii="Times New Roman" w:hAnsi="Times New Roman" w:cs="Times New Roman"/>
        </w:rPr>
        <w:t>（三）加强全旗居民培训</w:t>
      </w:r>
      <w:r>
        <w:tab/>
      </w:r>
      <w:r>
        <w:fldChar w:fldCharType="begin"/>
      </w:r>
      <w:r>
        <w:instrText xml:space="preserve"> PAGEREF _Toc21203 </w:instrText>
      </w:r>
      <w:r>
        <w:fldChar w:fldCharType="separate"/>
      </w:r>
      <w:r>
        <w:t>87</w:t>
      </w:r>
      <w:r>
        <w:fldChar w:fldCharType="end"/>
      </w:r>
      <w:r>
        <w:fldChar w:fldCharType="end"/>
      </w:r>
    </w:p>
    <w:p>
      <w:pPr>
        <w:pStyle w:val="15"/>
        <w:tabs>
          <w:tab w:val="right" w:leader="dot" w:pos="8306"/>
        </w:tabs>
      </w:pPr>
      <w:r>
        <w:fldChar w:fldCharType="begin"/>
      </w:r>
      <w:r>
        <w:instrText xml:space="preserve"> HYPERLINK \l _Toc15710 </w:instrText>
      </w:r>
      <w:r>
        <w:fldChar w:fldCharType="separate"/>
      </w:r>
      <w:r>
        <w:rPr>
          <w:rFonts w:hint="eastAsia" w:ascii="Times New Roman" w:hAnsi="Times New Roman" w:cs="Times New Roman"/>
        </w:rPr>
        <w:t>六、落实配套保障</w:t>
      </w:r>
      <w:r>
        <w:tab/>
      </w:r>
      <w:r>
        <w:fldChar w:fldCharType="begin"/>
      </w:r>
      <w:r>
        <w:instrText xml:space="preserve"> PAGEREF _Toc15710 </w:instrText>
      </w:r>
      <w:r>
        <w:fldChar w:fldCharType="separate"/>
      </w:r>
      <w:r>
        <w:t>87</w:t>
      </w:r>
      <w:r>
        <w:fldChar w:fldCharType="end"/>
      </w:r>
      <w:r>
        <w:fldChar w:fldCharType="end"/>
      </w:r>
    </w:p>
    <w:p>
      <w:pPr>
        <w:pStyle w:val="15"/>
        <w:tabs>
          <w:tab w:val="right" w:leader="dot" w:pos="8306"/>
        </w:tabs>
      </w:pPr>
      <w:r>
        <w:fldChar w:fldCharType="begin"/>
      </w:r>
      <w:r>
        <w:instrText xml:space="preserve"> HYPERLINK \l _Toc20839 </w:instrText>
      </w:r>
      <w:r>
        <w:fldChar w:fldCharType="separate"/>
      </w:r>
      <w:r>
        <w:rPr>
          <w:rFonts w:hint="eastAsia" w:ascii="Times New Roman" w:hAnsi="Times New Roman" w:cs="Times New Roman"/>
        </w:rPr>
        <w:t>七、保护生态本底</w:t>
      </w:r>
      <w:r>
        <w:tab/>
      </w:r>
      <w:r>
        <w:fldChar w:fldCharType="begin"/>
      </w:r>
      <w:r>
        <w:instrText xml:space="preserve"> PAGEREF _Toc20839 </w:instrText>
      </w:r>
      <w:r>
        <w:fldChar w:fldCharType="separate"/>
      </w:r>
      <w:r>
        <w:t>88</w:t>
      </w:r>
      <w:r>
        <w:fldChar w:fldCharType="end"/>
      </w:r>
      <w:r>
        <w:fldChar w:fldCharType="end"/>
      </w:r>
    </w:p>
    <w:p>
      <w:pPr>
        <w:pStyle w:val="10"/>
        <w:tabs>
          <w:tab w:val="right" w:leader="dot" w:pos="8306"/>
        </w:tabs>
      </w:pPr>
      <w:r>
        <w:fldChar w:fldCharType="begin"/>
      </w:r>
      <w:r>
        <w:instrText xml:space="preserve"> HYPERLINK \l _Toc21632 </w:instrText>
      </w:r>
      <w:r>
        <w:fldChar w:fldCharType="separate"/>
      </w:r>
      <w:r>
        <w:rPr>
          <w:rFonts w:hint="eastAsia" w:ascii="Times New Roman" w:hAnsi="Times New Roman" w:cs="Times New Roman"/>
        </w:rPr>
        <w:t>（一）制定生态文化保护制度</w:t>
      </w:r>
      <w:r>
        <w:tab/>
      </w:r>
      <w:r>
        <w:fldChar w:fldCharType="begin"/>
      </w:r>
      <w:r>
        <w:instrText xml:space="preserve"> PAGEREF _Toc21632 </w:instrText>
      </w:r>
      <w:r>
        <w:fldChar w:fldCharType="separate"/>
      </w:r>
      <w:r>
        <w:t>88</w:t>
      </w:r>
      <w:r>
        <w:fldChar w:fldCharType="end"/>
      </w:r>
      <w:r>
        <w:fldChar w:fldCharType="end"/>
      </w:r>
    </w:p>
    <w:p>
      <w:pPr>
        <w:pStyle w:val="10"/>
        <w:tabs>
          <w:tab w:val="right" w:leader="dot" w:pos="8306"/>
        </w:tabs>
      </w:pPr>
      <w:r>
        <w:fldChar w:fldCharType="begin"/>
      </w:r>
      <w:r>
        <w:instrText xml:space="preserve"> HYPERLINK \l _Toc7942 </w:instrText>
      </w:r>
      <w:r>
        <w:fldChar w:fldCharType="separate"/>
      </w:r>
      <w:r>
        <w:rPr>
          <w:rFonts w:hint="eastAsia" w:ascii="Times New Roman" w:hAnsi="Times New Roman" w:cs="Times New Roman"/>
        </w:rPr>
        <w:t>（二）划定生态文化保护红线</w:t>
      </w:r>
      <w:r>
        <w:tab/>
      </w:r>
      <w:r>
        <w:fldChar w:fldCharType="begin"/>
      </w:r>
      <w:r>
        <w:instrText xml:space="preserve"> PAGEREF _Toc7942 </w:instrText>
      </w:r>
      <w:r>
        <w:fldChar w:fldCharType="separate"/>
      </w:r>
      <w:r>
        <w:t>88</w:t>
      </w:r>
      <w:r>
        <w:fldChar w:fldCharType="end"/>
      </w:r>
      <w:r>
        <w:fldChar w:fldCharType="end"/>
      </w:r>
    </w:p>
    <w:p>
      <w:pPr>
        <w:pStyle w:val="10"/>
        <w:tabs>
          <w:tab w:val="right" w:leader="dot" w:pos="8306"/>
        </w:tabs>
      </w:pPr>
      <w:r>
        <w:fldChar w:fldCharType="begin"/>
      </w:r>
      <w:r>
        <w:instrText xml:space="preserve"> HYPERLINK \l _Toc20407 </w:instrText>
      </w:r>
      <w:r>
        <w:fldChar w:fldCharType="separate"/>
      </w:r>
      <w:r>
        <w:rPr>
          <w:rFonts w:hint="eastAsia" w:ascii="Times New Roman" w:hAnsi="Times New Roman" w:cs="Times New Roman"/>
        </w:rPr>
        <w:t>（三）落实生态文化保护行动</w:t>
      </w:r>
      <w:r>
        <w:tab/>
      </w:r>
      <w:r>
        <w:fldChar w:fldCharType="begin"/>
      </w:r>
      <w:r>
        <w:instrText xml:space="preserve"> PAGEREF _Toc20407 </w:instrText>
      </w:r>
      <w:r>
        <w:fldChar w:fldCharType="separate"/>
      </w:r>
      <w:r>
        <w:t>88</w:t>
      </w:r>
      <w:r>
        <w:fldChar w:fldCharType="end"/>
      </w:r>
      <w:r>
        <w:fldChar w:fldCharType="end"/>
      </w:r>
    </w:p>
    <w:p>
      <w:pPr>
        <w:pStyle w:val="10"/>
        <w:tabs>
          <w:tab w:val="right" w:leader="dot" w:pos="8306"/>
        </w:tabs>
      </w:pPr>
      <w:r>
        <w:fldChar w:fldCharType="begin"/>
      </w:r>
      <w:r>
        <w:instrText xml:space="preserve"> HYPERLINK \l _Toc10700 </w:instrText>
      </w:r>
      <w:r>
        <w:fldChar w:fldCharType="separate"/>
      </w:r>
      <w:r>
        <w:rPr>
          <w:rFonts w:hint="eastAsia" w:ascii="Times New Roman" w:hAnsi="Times New Roman" w:cs="Times New Roman"/>
        </w:rPr>
        <w:t>（四）深化生态文化体制改革</w:t>
      </w:r>
      <w:r>
        <w:tab/>
      </w:r>
      <w:r>
        <w:fldChar w:fldCharType="begin"/>
      </w:r>
      <w:r>
        <w:instrText xml:space="preserve"> PAGEREF _Toc10700 </w:instrText>
      </w:r>
      <w:r>
        <w:fldChar w:fldCharType="separate"/>
      </w:r>
      <w:r>
        <w:t>88</w:t>
      </w:r>
      <w:r>
        <w:fldChar w:fldCharType="end"/>
      </w:r>
      <w:r>
        <w:fldChar w:fldCharType="end"/>
      </w:r>
    </w:p>
    <w:p>
      <w:pPr>
        <w:pStyle w:val="10"/>
        <w:tabs>
          <w:tab w:val="right" w:leader="dot" w:pos="8306"/>
        </w:tabs>
      </w:pPr>
      <w:r>
        <w:fldChar w:fldCharType="begin"/>
      </w:r>
      <w:r>
        <w:instrText xml:space="preserve"> HYPERLINK \l _Toc16450 </w:instrText>
      </w:r>
      <w:r>
        <w:fldChar w:fldCharType="separate"/>
      </w:r>
      <w:r>
        <w:rPr>
          <w:rFonts w:hint="eastAsia" w:ascii="Times New Roman" w:hAnsi="Times New Roman" w:cs="Times New Roman"/>
        </w:rPr>
        <w:t>（五）构建生态文化监测系统</w:t>
      </w:r>
      <w:r>
        <w:tab/>
      </w:r>
      <w:r>
        <w:fldChar w:fldCharType="begin"/>
      </w:r>
      <w:r>
        <w:instrText xml:space="preserve"> PAGEREF _Toc16450 </w:instrText>
      </w:r>
      <w:r>
        <w:fldChar w:fldCharType="separate"/>
      </w:r>
      <w:r>
        <w:t>89</w:t>
      </w:r>
      <w:r>
        <w:fldChar w:fldCharType="end"/>
      </w:r>
      <w:r>
        <w:fldChar w:fldCharType="end"/>
      </w:r>
    </w:p>
    <w:p>
      <w:pPr>
        <w:pStyle w:val="14"/>
        <w:tabs>
          <w:tab w:val="right" w:leader="dot" w:pos="8306"/>
        </w:tabs>
      </w:pPr>
      <w:r>
        <w:fldChar w:fldCharType="begin"/>
      </w:r>
      <w:r>
        <w:instrText xml:space="preserve"> HYPERLINK \l _Toc4910 </w:instrText>
      </w:r>
      <w:r>
        <w:fldChar w:fldCharType="separate"/>
      </w:r>
      <w:r>
        <w:rPr>
          <w:rFonts w:hint="eastAsia" w:ascii="Times New Roman" w:hAnsi="Times New Roman" w:cs="Times New Roman" w:eastAsiaTheme="minorEastAsia"/>
        </w:rPr>
        <w:t>附录1：伊金霍洛旗旅游资源分类</w:t>
      </w:r>
      <w:r>
        <w:tab/>
      </w:r>
      <w:r>
        <w:fldChar w:fldCharType="begin"/>
      </w:r>
      <w:r>
        <w:instrText xml:space="preserve"> PAGEREF _Toc4910 </w:instrText>
      </w:r>
      <w:r>
        <w:fldChar w:fldCharType="separate"/>
      </w:r>
      <w:r>
        <w:t>90</w:t>
      </w:r>
      <w:r>
        <w:fldChar w:fldCharType="end"/>
      </w:r>
      <w:r>
        <w:fldChar w:fldCharType="end"/>
      </w:r>
    </w:p>
    <w:p>
      <w:pPr>
        <w:pStyle w:val="14"/>
        <w:tabs>
          <w:tab w:val="right" w:leader="dot" w:pos="8306"/>
        </w:tabs>
      </w:pPr>
      <w:r>
        <w:fldChar w:fldCharType="begin"/>
      </w:r>
      <w:r>
        <w:instrText xml:space="preserve"> HYPERLINK \l _Toc2610 </w:instrText>
      </w:r>
      <w:r>
        <w:fldChar w:fldCharType="separate"/>
      </w:r>
      <w:r>
        <w:rPr>
          <w:rFonts w:hint="eastAsia" w:ascii="Times New Roman" w:hAnsi="Times New Roman" w:cs="Times New Roman" w:eastAsiaTheme="minorEastAsia"/>
        </w:rPr>
        <w:t>附录2：伊金霍洛旗文化和旅游“十四五”重点项目汇总表</w:t>
      </w:r>
      <w:r>
        <w:tab/>
      </w:r>
      <w:r>
        <w:fldChar w:fldCharType="begin"/>
      </w:r>
      <w:r>
        <w:instrText xml:space="preserve"> PAGEREF _Toc2610 </w:instrText>
      </w:r>
      <w:r>
        <w:fldChar w:fldCharType="separate"/>
      </w:r>
      <w:r>
        <w:t>92</w:t>
      </w:r>
      <w:r>
        <w:fldChar w:fldCharType="end"/>
      </w:r>
      <w:r>
        <w:fldChar w:fldCharType="end"/>
      </w:r>
    </w:p>
    <w:p>
      <w:pPr>
        <w:pStyle w:val="14"/>
        <w:tabs>
          <w:tab w:val="right" w:leader="dot" w:pos="8306"/>
        </w:tabs>
      </w:pPr>
      <w:r>
        <w:fldChar w:fldCharType="begin"/>
      </w:r>
      <w:r>
        <w:instrText xml:space="preserve"> HYPERLINK \l _Toc32187 </w:instrText>
      </w:r>
      <w:r>
        <w:fldChar w:fldCharType="separate"/>
      </w:r>
      <w:r>
        <w:rPr>
          <w:rFonts w:hint="eastAsia" w:ascii="Times New Roman" w:hAnsi="Times New Roman" w:cs="Times New Roman" w:eastAsiaTheme="minorEastAsia"/>
        </w:rPr>
        <w:t>附录3：图件</w:t>
      </w:r>
      <w:r>
        <w:tab/>
      </w:r>
      <w:r>
        <w:fldChar w:fldCharType="begin"/>
      </w:r>
      <w:r>
        <w:instrText xml:space="preserve"> PAGEREF _Toc32187 </w:instrText>
      </w:r>
      <w:r>
        <w:fldChar w:fldCharType="separate"/>
      </w:r>
      <w:r>
        <w:t>107</w:t>
      </w:r>
      <w:r>
        <w:fldChar w:fldCharType="end"/>
      </w:r>
      <w:r>
        <w:fldChar w:fldCharType="end"/>
      </w:r>
    </w:p>
    <w:p>
      <w:r>
        <w:fldChar w:fldCharType="end"/>
      </w:r>
    </w:p>
    <w:p>
      <w:pPr>
        <w:pStyle w:val="2"/>
        <w:ind w:firstLine="321" w:firstLineChars="100"/>
        <w:rPr>
          <w:rFonts w:ascii="Times New Roman" w:hAnsi="Times New Roman" w:cs="Times New Roman" w:eastAsiaTheme="minorEastAsia"/>
        </w:rPr>
      </w:pPr>
      <w:bookmarkStart w:id="0" w:name="_Toc30006"/>
      <w:r>
        <w:rPr>
          <w:rFonts w:hint="eastAsia" w:ascii="Times New Roman" w:hAnsi="Times New Roman" w:cs="Times New Roman" w:eastAsiaTheme="minorEastAsia"/>
          <w:lang w:val="en-US" w:eastAsia="zh-CN"/>
        </w:rPr>
        <w:t xml:space="preserve"> </w:t>
      </w:r>
      <w:r>
        <w:rPr>
          <w:rFonts w:hint="eastAsia" w:ascii="Times New Roman" w:hAnsi="Times New Roman" w:cs="Times New Roman" w:eastAsiaTheme="minorEastAsia"/>
        </w:rPr>
        <w:t>第一章 继往开来，伊金霍洛旗文化旅游发展成就与挑战</w:t>
      </w:r>
      <w:bookmarkEnd w:id="0"/>
    </w:p>
    <w:p>
      <w:pPr>
        <w:pStyle w:val="29"/>
        <w:spacing w:line="360" w:lineRule="auto"/>
        <w:ind w:firstLine="480"/>
        <w:rPr>
          <w:rFonts w:ascii="Times New Roman" w:hAnsi="Times New Roman" w:cs="Times New Roman"/>
          <w:sz w:val="24"/>
        </w:rPr>
      </w:pPr>
      <w:r>
        <w:rPr>
          <w:rFonts w:hint="eastAsia" w:ascii="Times New Roman" w:hAnsi="Times New Roman" w:cs="Times New Roman"/>
          <w:sz w:val="24"/>
        </w:rPr>
        <w:t>“十四五”文化旅游发展规划是2019年伊金霍洛旗文化和旅游局组建以来的第一个五年规划，这对于指导文化旅游业健康发展具有重大现实意义。作为经济增长新引擎，文化旅游业已经融入经济社会发展全局，“十四五”期间文化旅游业承担的历史使命也将更为重大。</w:t>
      </w:r>
    </w:p>
    <w:p>
      <w:pPr>
        <w:pStyle w:val="29"/>
        <w:spacing w:line="360" w:lineRule="auto"/>
        <w:ind w:firstLine="480"/>
        <w:rPr>
          <w:rFonts w:ascii="Times New Roman" w:hAnsi="Times New Roman" w:cs="Times New Roman"/>
          <w:sz w:val="24"/>
        </w:rPr>
      </w:pPr>
      <w:r>
        <w:rPr>
          <w:rFonts w:hint="eastAsia" w:ascii="Times New Roman" w:hAnsi="Times New Roman" w:cs="Times New Roman"/>
          <w:sz w:val="24"/>
        </w:rPr>
        <w:t>“十四五”时期，是伊金霍洛旗文化旅游业的关键时期，是促进文化旅游深度融合，提升伊金霍洛旗旅游形象，全力打造特色鲜明的生态文化旅游目的地，培育发展新动能，实现高质量发展的战略机遇期。现编制《伊金霍洛旗文化和旅游“十四五”发展规划》，阐明“十四五”时期伊金霍洛旗文化旅游业在新时代背景下的新机遇、新挑战、新任务、新目标，是今后五年全旗文化旅游产业发展的行动纲领和文化旅游业投资建设的纲领性文件。</w:t>
      </w:r>
    </w:p>
    <w:p>
      <w:pPr>
        <w:pStyle w:val="3"/>
        <w:ind w:firstLine="560" w:firstLineChars="200"/>
        <w:rPr>
          <w:rFonts w:ascii="Times New Roman" w:hAnsi="Times New Roman" w:cs="Times New Roman"/>
        </w:rPr>
      </w:pPr>
      <w:bookmarkStart w:id="1" w:name="_Toc28529"/>
      <w:r>
        <w:rPr>
          <w:rFonts w:hint="eastAsia" w:ascii="Times New Roman" w:hAnsi="Times New Roman" w:cs="Times New Roman"/>
        </w:rPr>
        <w:t>一、“十三五”文化旅游发展成就</w:t>
      </w:r>
      <w:bookmarkEnd w:id="1"/>
    </w:p>
    <w:p>
      <w:pPr>
        <w:spacing w:line="360" w:lineRule="auto"/>
        <w:ind w:firstLine="480" w:firstLineChars="200"/>
        <w:rPr>
          <w:rFonts w:ascii="Times New Roman" w:hAnsi="Times New Roman" w:cs="Times New Roman"/>
          <w:sz w:val="24"/>
        </w:rPr>
      </w:pPr>
      <w:bookmarkStart w:id="2" w:name="_Toc22138"/>
      <w:r>
        <w:rPr>
          <w:rFonts w:hint="eastAsia" w:ascii="Times New Roman" w:hAnsi="Times New Roman" w:cs="Times New Roman"/>
          <w:sz w:val="24"/>
        </w:rPr>
        <w:t>“十三五”期间，伊金霍洛旗文化和旅游系统坚持以习近平新时代中国特色社会主义思想为指导，树牢“四个意识”、坚定“四个自信”、坚持做到“两个维护”，按照旗委、政府的统一部署，坚持以人民为中心的工作导向，紧紧围绕文化强旗、全域生态文化旅游目的地建设目标，坚持“宜融则融、能融尽融、以文促旅、以旅彰文”的</w:t>
      </w:r>
      <w:r>
        <w:rPr>
          <w:rFonts w:hint="eastAsia" w:ascii="Times New Roman" w:hAnsi="Times New Roman" w:cs="Times New Roman"/>
          <w:sz w:val="24"/>
          <w:lang w:eastAsia="zh-CN"/>
        </w:rPr>
        <w:t>总体</w:t>
      </w:r>
      <w:r>
        <w:rPr>
          <w:rFonts w:hint="eastAsia" w:ascii="Times New Roman" w:hAnsi="Times New Roman" w:cs="Times New Roman"/>
          <w:sz w:val="24"/>
        </w:rPr>
        <w:t>思路，以融合发展为主线，以改革创新为动力，以机构改革为契机，大力实施文化旅游发展质量提升行动，推动文化旅游业高质量发展。</w:t>
      </w:r>
    </w:p>
    <w:p>
      <w:pPr>
        <w:pStyle w:val="4"/>
        <w:ind w:firstLine="480"/>
        <w:rPr>
          <w:rFonts w:ascii="Times New Roman" w:hAnsi="Times New Roman" w:cs="Times New Roman"/>
        </w:rPr>
      </w:pPr>
      <w:bookmarkStart w:id="3" w:name="_Toc14382"/>
      <w:bookmarkStart w:id="4" w:name="_Toc12157"/>
      <w:bookmarkStart w:id="5" w:name="_Toc13527"/>
      <w:bookmarkStart w:id="6" w:name="_Toc22073"/>
      <w:bookmarkStart w:id="7" w:name="_Toc29686"/>
      <w:bookmarkStart w:id="8" w:name="_Toc10443"/>
      <w:r>
        <w:rPr>
          <w:rFonts w:hint="eastAsia" w:ascii="Times New Roman" w:hAnsi="Times New Roman" w:cs="Times New Roman"/>
        </w:rPr>
        <w:t>（一）文化和旅游产业蓬勃发展</w:t>
      </w:r>
      <w:bookmarkEnd w:id="3"/>
      <w:bookmarkEnd w:id="4"/>
      <w:bookmarkEnd w:id="5"/>
      <w:bookmarkEnd w:id="6"/>
      <w:bookmarkEnd w:id="7"/>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伊金霍洛旗旅游综合实力稳步增强、文化和旅游业规模不断扩大，随着市场主体不断孕育和完善，产业链条不断延伸和拓展，文化和旅游相关产业已经成为伊金霍洛旗经济建设的重要组成部分。</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截止到</w:t>
      </w:r>
      <w:r>
        <w:rPr>
          <w:rFonts w:hint="eastAsia" w:ascii="Times New Roman" w:hAnsi="Times New Roman" w:cs="Times New Roman"/>
          <w:sz w:val="24"/>
          <w:lang w:val="en-US" w:eastAsia="zh-CN"/>
        </w:rPr>
        <w:t>2020</w:t>
      </w:r>
      <w:r>
        <w:rPr>
          <w:rFonts w:hint="eastAsia" w:ascii="Times New Roman" w:hAnsi="Times New Roman" w:cs="Times New Roman"/>
          <w:sz w:val="24"/>
        </w:rPr>
        <w:t>年底，近五年累计接待旅游者人数达到</w:t>
      </w:r>
      <w:r>
        <w:rPr>
          <w:rFonts w:hint="eastAsia" w:ascii="Times New Roman" w:hAnsi="Times New Roman" w:cs="Times New Roman"/>
          <w:sz w:val="24"/>
          <w:lang w:val="en-US" w:eastAsia="zh-CN"/>
        </w:rPr>
        <w:t>1833.34</w:t>
      </w:r>
      <w:r>
        <w:rPr>
          <w:rFonts w:hint="eastAsia" w:ascii="Times New Roman" w:hAnsi="Times New Roman" w:cs="Times New Roman"/>
          <w:sz w:val="24"/>
        </w:rPr>
        <w:t>万人次，年均增长</w:t>
      </w:r>
      <w:r>
        <w:rPr>
          <w:rFonts w:hint="eastAsia" w:ascii="Times New Roman" w:hAnsi="Times New Roman" w:cs="Times New Roman"/>
          <w:sz w:val="24"/>
          <w:lang w:val="en-US" w:eastAsia="zh-CN"/>
        </w:rPr>
        <w:t>9.56</w:t>
      </w:r>
      <w:r>
        <w:rPr>
          <w:rFonts w:hint="eastAsia" w:ascii="Times New Roman" w:hAnsi="Times New Roman" w:cs="Times New Roman"/>
          <w:sz w:val="24"/>
        </w:rPr>
        <w:t>%；累计旅游业总收入</w:t>
      </w:r>
      <w:r>
        <w:rPr>
          <w:rFonts w:hint="eastAsia" w:ascii="Times New Roman" w:hAnsi="Times New Roman" w:cs="Times New Roman"/>
          <w:sz w:val="24"/>
          <w:lang w:val="en-US" w:eastAsia="zh-CN"/>
        </w:rPr>
        <w:t>203.29</w:t>
      </w:r>
      <w:r>
        <w:rPr>
          <w:rFonts w:hint="eastAsia" w:ascii="Times New Roman" w:hAnsi="Times New Roman" w:cs="Times New Roman"/>
          <w:sz w:val="24"/>
        </w:rPr>
        <w:t>亿元，年均增</w:t>
      </w:r>
      <w:r>
        <w:rPr>
          <w:rFonts w:hint="eastAsia" w:ascii="Times New Roman" w:hAnsi="Times New Roman" w:cs="Times New Roman"/>
          <w:sz w:val="24"/>
          <w:lang w:val="en-US" w:eastAsia="zh-CN"/>
        </w:rPr>
        <w:t>8.32</w:t>
      </w:r>
      <w:r>
        <w:rPr>
          <w:rFonts w:hint="eastAsia" w:ascii="Times New Roman" w:hAnsi="Times New Roman" w:cs="Times New Roman"/>
          <w:sz w:val="24"/>
        </w:rPr>
        <w:t>%，基本达到“十三五”旅游业发展规划目标。</w:t>
      </w:r>
    </w:p>
    <w:p>
      <w:pPr>
        <w:spacing w:line="360" w:lineRule="auto"/>
        <w:jc w:val="center"/>
        <w:rPr>
          <w:rFonts w:ascii="Times New Roman" w:hAnsi="Times New Roman" w:cs="Times New Roman"/>
          <w:szCs w:val="21"/>
        </w:rPr>
      </w:pPr>
    </w:p>
    <w:p>
      <w:pPr>
        <w:spacing w:line="360" w:lineRule="auto"/>
        <w:jc w:val="center"/>
        <w:rPr>
          <w:rFonts w:ascii="Times New Roman" w:hAnsi="Times New Roman" w:cs="Times New Roman"/>
          <w:szCs w:val="21"/>
        </w:rPr>
      </w:pPr>
    </w:p>
    <w:p>
      <w:pPr>
        <w:spacing w:line="360" w:lineRule="auto"/>
        <w:jc w:val="center"/>
        <w:rPr>
          <w:rFonts w:ascii="Times New Roman" w:hAnsi="Times New Roman" w:cs="Times New Roman"/>
          <w:szCs w:val="21"/>
        </w:rPr>
      </w:pPr>
    </w:p>
    <w:p>
      <w:pPr>
        <w:spacing w:line="360" w:lineRule="auto"/>
        <w:jc w:val="center"/>
        <w:rPr>
          <w:rFonts w:ascii="Times New Roman" w:hAnsi="Times New Roman" w:cs="Times New Roman"/>
          <w:b/>
          <w:bCs/>
          <w:color w:val="C00000"/>
          <w:szCs w:val="21"/>
        </w:rPr>
      </w:pPr>
      <w:bookmarkStart w:id="9" w:name="_Hlk47424186"/>
      <w:r>
        <w:rPr>
          <w:rFonts w:hint="eastAsia" w:ascii="Times New Roman" w:hAnsi="Times New Roman" w:cs="Times New Roman"/>
          <w:b/>
          <w:bCs/>
          <w:szCs w:val="21"/>
        </w:rPr>
        <w:t>数据来源：根据伊金霍洛旗《政府工作报告》数据整理</w:t>
      </w:r>
      <w:r>
        <w:rPr>
          <w:rFonts w:hint="eastAsia" w:ascii="Times New Roman" w:hAnsi="Times New Roman" w:cs="Times New Roman"/>
          <w:b/>
          <w:bCs/>
          <w:color w:val="C00000"/>
          <w:sz w:val="24"/>
        </w:rPr>
        <w:drawing>
          <wp:anchor distT="0" distB="0" distL="0" distR="0" simplePos="0" relativeHeight="251662336" behindDoc="0" locked="0" layoutInCell="1" allowOverlap="1">
            <wp:simplePos x="0" y="0"/>
            <wp:positionH relativeFrom="column">
              <wp:posOffset>101600</wp:posOffset>
            </wp:positionH>
            <wp:positionV relativeFrom="paragraph">
              <wp:posOffset>217805</wp:posOffset>
            </wp:positionV>
            <wp:extent cx="4810125" cy="2333625"/>
            <wp:effectExtent l="0" t="0" r="0" b="0"/>
            <wp:wrapTopAndBottom/>
            <wp:docPr id="3" name="图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anchor>
        </w:drawing>
      </w:r>
    </w:p>
    <w:p>
      <w:pPr>
        <w:spacing w:line="360" w:lineRule="auto"/>
        <w:jc w:val="center"/>
        <w:rPr>
          <w:rFonts w:hint="eastAsia" w:ascii="Times New Roman" w:hAnsi="Times New Roman" w:cs="Times New Roman"/>
          <w:b/>
          <w:bCs/>
          <w:szCs w:val="21"/>
        </w:rPr>
      </w:pPr>
      <w:r>
        <w:rPr>
          <w:rFonts w:hint="eastAsia" w:ascii="Times New Roman" w:hAnsi="Times New Roman" w:cs="Times New Roman"/>
          <w:b/>
          <w:bCs/>
          <w:szCs w:val="21"/>
        </w:rPr>
        <w:t>图1-1 伊金霍洛旗2016-2019年旅游接待总人次、收入变化表</w:t>
      </w:r>
      <w:bookmarkEnd w:id="9"/>
    </w:p>
    <w:p>
      <w:pPr>
        <w:spacing w:line="360" w:lineRule="auto"/>
        <w:jc w:val="center"/>
        <w:rPr>
          <w:rFonts w:hint="eastAsia" w:ascii="Times New Roman" w:hAnsi="Times New Roman" w:cs="Times New Roman"/>
          <w:b/>
          <w:bCs/>
          <w:szCs w:val="21"/>
        </w:rPr>
      </w:pPr>
    </w:p>
    <w:p>
      <w:pPr>
        <w:spacing w:line="360" w:lineRule="auto"/>
        <w:jc w:val="center"/>
        <w:rPr>
          <w:rFonts w:ascii="Times New Roman" w:hAnsi="Times New Roman" w:cs="Times New Roman"/>
          <w:b/>
          <w:bCs/>
          <w:szCs w:val="21"/>
        </w:rPr>
      </w:pPr>
      <w:r>
        <w:rPr>
          <w:rFonts w:hint="eastAsia" w:ascii="Times New Roman" w:hAnsi="Times New Roman" w:cs="Times New Roman"/>
          <w:b/>
          <w:bCs/>
          <w:sz w:val="24"/>
        </w:rPr>
        <w:drawing>
          <wp:anchor distT="0" distB="0" distL="0" distR="0" simplePos="0" relativeHeight="251663360" behindDoc="0" locked="0" layoutInCell="1" allowOverlap="1">
            <wp:simplePos x="0" y="0"/>
            <wp:positionH relativeFrom="column">
              <wp:posOffset>-118745</wp:posOffset>
            </wp:positionH>
            <wp:positionV relativeFrom="paragraph">
              <wp:posOffset>36195</wp:posOffset>
            </wp:positionV>
            <wp:extent cx="4908550" cy="2908300"/>
            <wp:effectExtent l="0" t="0" r="0" b="0"/>
            <wp:wrapTopAndBottom/>
            <wp:docPr id="2" name="图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r>
        <w:rPr>
          <w:rFonts w:hint="eastAsia" w:ascii="Times New Roman" w:hAnsi="Times New Roman" w:cs="Times New Roman"/>
          <w:b/>
          <w:bCs/>
          <w:szCs w:val="21"/>
        </w:rPr>
        <w:t>数据来源：根据伊金霍洛旗《政府工作报告》数据整理</w:t>
      </w:r>
    </w:p>
    <w:p>
      <w:pPr>
        <w:spacing w:line="360" w:lineRule="auto"/>
        <w:jc w:val="center"/>
        <w:rPr>
          <w:rFonts w:ascii="Times New Roman" w:hAnsi="Times New Roman" w:cs="Times New Roman"/>
          <w:b/>
          <w:bCs/>
          <w:szCs w:val="21"/>
        </w:rPr>
      </w:pPr>
      <w:r>
        <w:rPr>
          <w:rFonts w:hint="eastAsia" w:ascii="Times New Roman" w:hAnsi="Times New Roman" w:cs="Times New Roman"/>
          <w:b/>
          <w:bCs/>
          <w:szCs w:val="21"/>
        </w:rPr>
        <w:t>图1-2 伊金霍洛旗2016-2019年旅游接待总人次、总收入增长率变化表</w:t>
      </w:r>
    </w:p>
    <w:p>
      <w:pPr>
        <w:pStyle w:val="9"/>
        <w:rPr>
          <w:rFonts w:ascii="Times New Roman" w:hAnsi="Times New Roman" w:cs="Times New Roman"/>
          <w:b/>
          <w:bCs/>
        </w:rPr>
      </w:pP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截至目前全旗</w:t>
      </w:r>
      <w:r>
        <w:rPr>
          <w:rFonts w:hint="eastAsia" w:ascii="Times New Roman" w:hAnsi="Times New Roman" w:cs="Times New Roman"/>
          <w:sz w:val="24"/>
          <w:lang w:eastAsia="zh-CN"/>
        </w:rPr>
        <w:t>A级旅游景区</w:t>
      </w:r>
      <w:r>
        <w:rPr>
          <w:rFonts w:hint="eastAsia" w:ascii="Times New Roman" w:hAnsi="Times New Roman" w:cs="Times New Roman"/>
          <w:sz w:val="24"/>
        </w:rPr>
        <w:t>总数居全市各旗区前列。有国家A级旅游景区8家，其中5A级1家（成吉思汗陵旅游区），4A级3家（</w:t>
      </w:r>
      <w:r>
        <w:rPr>
          <w:rFonts w:hint="eastAsia" w:ascii="Times New Roman" w:hAnsi="Times New Roman" w:cs="Times New Roman"/>
          <w:sz w:val="24"/>
          <w:lang w:eastAsia="zh-CN"/>
        </w:rPr>
        <w:t>鄂尔多斯文化产业园</w:t>
      </w:r>
      <w:r>
        <w:rPr>
          <w:rFonts w:hint="eastAsia" w:ascii="Times New Roman" w:hAnsi="Times New Roman" w:cs="Times New Roman"/>
          <w:sz w:val="24"/>
        </w:rPr>
        <w:t>、</w:t>
      </w:r>
      <w:r>
        <w:rPr>
          <w:rFonts w:hint="eastAsia" w:ascii="Times New Roman" w:hAnsi="Times New Roman" w:cs="Times New Roman"/>
          <w:sz w:val="24"/>
          <w:lang w:eastAsia="zh-CN"/>
        </w:rPr>
        <w:t>颐和生态文化博览园</w:t>
      </w:r>
      <w:r>
        <w:rPr>
          <w:rFonts w:hint="eastAsia" w:ascii="Times New Roman" w:hAnsi="Times New Roman" w:cs="Times New Roman"/>
          <w:sz w:val="24"/>
        </w:rPr>
        <w:t>、苏泊罕大草原旅游区），3A级2家（红海子湿地旅游区、伊景园城市沙山旅游区），2A级2家（陶亥召、吉祥福慧寺）。新打造6个乡村旅游示范村，新增旗级以上农牧家乐示范户40多户。截止2020年</w:t>
      </w:r>
      <w:r>
        <w:rPr>
          <w:rFonts w:hint="eastAsia" w:ascii="Times New Roman" w:hAnsi="Times New Roman" w:cs="Times New Roman"/>
          <w:sz w:val="24"/>
          <w:lang w:val="en-US" w:eastAsia="zh-CN"/>
        </w:rPr>
        <w:t>底</w:t>
      </w:r>
      <w:r>
        <w:rPr>
          <w:rFonts w:hint="eastAsia" w:ascii="Times New Roman" w:hAnsi="Times New Roman" w:cs="Times New Roman"/>
          <w:sz w:val="24"/>
        </w:rPr>
        <w:t>，伊金霍洛旗文化旅游类经营场所单位75家，其中娱乐场所24家、互联网上网服务营业场所20家、文艺表演团体3家、演出场所经营单位1家、艺术品市场4家、旅行社22家、星级酒店1家。</w:t>
      </w:r>
    </w:p>
    <w:p>
      <w:pPr>
        <w:pStyle w:val="4"/>
        <w:ind w:firstLine="480"/>
        <w:rPr>
          <w:rFonts w:ascii="Times New Roman" w:hAnsi="Times New Roman" w:cs="Times New Roman"/>
        </w:rPr>
      </w:pPr>
      <w:bookmarkStart w:id="10" w:name="_Toc15998"/>
      <w:bookmarkStart w:id="11" w:name="_Toc3866"/>
      <w:bookmarkStart w:id="12" w:name="_Toc3151"/>
      <w:bookmarkStart w:id="13" w:name="_Toc18196"/>
      <w:bookmarkStart w:id="14" w:name="_Toc20253"/>
      <w:bookmarkStart w:id="15" w:name="_Toc5888"/>
      <w:r>
        <w:rPr>
          <w:rFonts w:hint="eastAsia" w:ascii="Times New Roman" w:hAnsi="Times New Roman" w:cs="Times New Roman"/>
        </w:rPr>
        <w:t>（二）</w:t>
      </w:r>
      <w:bookmarkEnd w:id="10"/>
      <w:r>
        <w:rPr>
          <w:rFonts w:hint="eastAsia" w:ascii="Times New Roman" w:hAnsi="Times New Roman" w:cs="Times New Roman"/>
        </w:rPr>
        <w:t>公共文化服务能力日渐加强</w:t>
      </w:r>
      <w:bookmarkEnd w:id="11"/>
      <w:bookmarkEnd w:id="12"/>
      <w:bookmarkEnd w:id="13"/>
      <w:bookmarkEnd w:id="14"/>
      <w:bookmarkEnd w:id="15"/>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“十三五”以来，伊金霍洛旗高度重视文化发展，将文化和旅游业摆在重要位置，公共文化服务能力日渐加强。现已建成一级文化馆、二级图书馆各1个，国有博物馆4个（伊金霍洛郡王府博物馆、</w:t>
      </w:r>
      <w:r>
        <w:rPr>
          <w:rFonts w:hint="eastAsia" w:ascii="Times New Roman" w:hAnsi="Times New Roman" w:cs="Times New Roman"/>
          <w:color w:val="auto"/>
          <w:sz w:val="24"/>
          <w:lang w:eastAsia="zh-CN"/>
        </w:rPr>
        <w:t>鄂尔多斯文化产业园</w:t>
      </w:r>
      <w:r>
        <w:rPr>
          <w:rFonts w:hint="eastAsia" w:ascii="Times New Roman" w:hAnsi="Times New Roman" w:cs="Times New Roman"/>
          <w:sz w:val="24"/>
        </w:rPr>
        <w:t>博物馆、成吉思汗博物馆、内蒙古佛教文化博物馆），民营博物馆2个（鄂尔多斯农耕游牧文化博物馆、鄂尔多斯蒙古历史文化博物馆）。构建了县、乡、村公共文化服务网络，推动了公共文化服务标准化、均等化，将图书馆建到街道社区、公园、广场，建到群众家门口，采取线上+线下活动模式，丰富阅读新模式，“全民阅读”成了一道亮丽风景线。</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按照示范区目标要求，各镇、机关、社区、村嘎查建设开放了图书馆分馆56个，图书藏书量共计10万余册，并全部实现“三地五级”通借通还（三地：鄂尔多斯市、伊金霍洛旗、东胜区；五级：市、旗区、镇、村嘎查和社区、城市书屋和机关书屋）。</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同时在文化和旅游局的领导下伊金霍洛旗积极开展丰富多彩的文化惠民活动，丰富公共文化产品供给，人民群众拥有了满满的获得感和幸福感。</w:t>
      </w:r>
    </w:p>
    <w:p>
      <w:pPr>
        <w:pStyle w:val="4"/>
        <w:ind w:firstLine="480"/>
        <w:rPr>
          <w:rFonts w:ascii="Times New Roman" w:hAnsi="Times New Roman" w:cs="Times New Roman"/>
        </w:rPr>
      </w:pPr>
      <w:bookmarkStart w:id="16" w:name="_Toc19536"/>
      <w:bookmarkStart w:id="17" w:name="_Toc12445"/>
      <w:bookmarkStart w:id="18" w:name="_Toc27418"/>
      <w:bookmarkStart w:id="19" w:name="_Toc9020"/>
      <w:bookmarkStart w:id="20" w:name="_Toc9515"/>
      <w:r>
        <w:rPr>
          <w:rFonts w:hint="eastAsia" w:ascii="Times New Roman" w:hAnsi="Times New Roman" w:cs="Times New Roman"/>
        </w:rPr>
        <w:t>（三）</w:t>
      </w:r>
      <w:bookmarkEnd w:id="8"/>
      <w:bookmarkEnd w:id="16"/>
      <w:r>
        <w:rPr>
          <w:rFonts w:hint="eastAsia" w:ascii="Times New Roman" w:hAnsi="Times New Roman" w:cs="Times New Roman"/>
        </w:rPr>
        <w:t>文艺创作和精品项目成果丰硕</w:t>
      </w:r>
      <w:bookmarkEnd w:id="17"/>
      <w:bookmarkEnd w:id="18"/>
      <w:bookmarkEnd w:id="19"/>
      <w:bookmarkEnd w:id="20"/>
    </w:p>
    <w:p>
      <w:pPr>
        <w:spacing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rPr>
        <w:t>文艺是时代前进的号角，最能代表一个时代的风貌，最能引领一个时代的风气。“十三五”期间，乌兰牧骑荣获“一类乌兰牧骑”、“优秀乌兰牧骑”称号。出国参演1次，自创节目获得省级金奖5次，银奖11次，原创民族歌舞晚会《蒙古传说》成为</w:t>
      </w:r>
      <w:r>
        <w:rPr>
          <w:rFonts w:hint="eastAsia" w:ascii="Times New Roman" w:hAnsi="Times New Roman" w:cs="Times New Roman"/>
          <w:color w:val="auto"/>
          <w:sz w:val="24"/>
          <w:lang w:eastAsia="zh-CN"/>
        </w:rPr>
        <w:t>伊金霍洛旗</w:t>
      </w:r>
      <w:r>
        <w:rPr>
          <w:rFonts w:hint="eastAsia" w:ascii="Times New Roman" w:hAnsi="Times New Roman" w:cs="Times New Roman"/>
          <w:color w:val="auto"/>
          <w:sz w:val="24"/>
        </w:rPr>
        <w:t>首演剧目，创演民族歌舞剧《你好伊金霍洛》，编排大型歌舞剧《天骄圣地》、《圣地百灵》、民族歌舞《盛世欢歌 伊金霍洛》。拍摄电视剧《鄂尔多斯风暴》，出版《围鹿棋基础知识》一书，石峥嵘编著的电影《苏布尔嘎风云》搬上荧屏。</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广大文艺工作者坚持为人民服务、为社会主义服务的方向，创作了一大批脍炙人口、深入人心的优秀作品，其中有20个剧目获中宣部“五个一工程”，</w:t>
      </w:r>
      <w:r>
        <w:rPr>
          <w:rFonts w:hint="eastAsia" w:ascii="Times New Roman" w:hAnsi="Times New Roman" w:cs="Times New Roman"/>
          <w:color w:val="C00000"/>
          <w:sz w:val="24"/>
        </w:rPr>
        <w:t>且</w:t>
      </w:r>
      <w:r>
        <w:rPr>
          <w:rFonts w:hint="eastAsia" w:ascii="Times New Roman" w:hAnsi="Times New Roman" w:cs="Times New Roman"/>
          <w:sz w:val="24"/>
        </w:rPr>
        <w:t>舞蹈作品《父亲的靴子》荣获内蒙古自治区第十四届精神文明建设“五个一工程”优秀作品奖。</w:t>
      </w:r>
    </w:p>
    <w:p>
      <w:pPr>
        <w:pStyle w:val="4"/>
        <w:ind w:firstLine="480"/>
        <w:rPr>
          <w:rFonts w:ascii="Times New Roman" w:hAnsi="Times New Roman" w:cs="Times New Roman"/>
        </w:rPr>
      </w:pPr>
      <w:bookmarkStart w:id="21" w:name="_Toc302"/>
      <w:bookmarkStart w:id="22" w:name="_Toc16647"/>
      <w:bookmarkStart w:id="23" w:name="_Toc18492"/>
      <w:bookmarkStart w:id="24" w:name="_Toc27694"/>
      <w:bookmarkStart w:id="25" w:name="_Toc26038"/>
      <w:bookmarkStart w:id="26" w:name="_Toc8066"/>
      <w:r>
        <w:rPr>
          <w:rFonts w:hint="eastAsia" w:ascii="Times New Roman" w:hAnsi="Times New Roman" w:cs="Times New Roman"/>
        </w:rPr>
        <w:t>（四）文化遗产保护利用传承工作扎实推进</w:t>
      </w:r>
      <w:bookmarkEnd w:id="21"/>
      <w:bookmarkEnd w:id="22"/>
      <w:bookmarkEnd w:id="23"/>
      <w:bookmarkEnd w:id="24"/>
      <w:bookmarkEnd w:id="25"/>
      <w:bookmarkEnd w:id="26"/>
    </w:p>
    <w:p>
      <w:pPr>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目前全旗有国家级文物保护单位4处（成吉思汗陵、秦直道遗址、朱开沟遗址、战国秦长城）、自治区级文物保护单位6处、市级文物保护单位6处、旗级文物保护单位1处、其他不可移动文物点124处。</w:t>
      </w:r>
    </w:p>
    <w:p>
      <w:pPr>
        <w:spacing w:line="360" w:lineRule="auto"/>
        <w:ind w:firstLine="480" w:firstLineChars="200"/>
        <w:rPr>
          <w:rFonts w:hint="eastAsia" w:ascii="Times New Roman" w:hAnsi="Times New Roman" w:cs="Times New Roman"/>
          <w:sz w:val="24"/>
        </w:rPr>
      </w:pPr>
      <w:bookmarkStart w:id="27" w:name="_Toc30551"/>
      <w:r>
        <w:rPr>
          <w:rFonts w:hint="eastAsia" w:ascii="Times New Roman" w:hAnsi="Times New Roman" w:cs="Times New Roman"/>
          <w:sz w:val="24"/>
        </w:rPr>
        <w:t>旗人民政府组织召开全旗文物安全工作会议，印发了《全旗文物安全专项整治工作方案》，全年共开展119次文物安全检查，发放《伊金霍洛旗文化遗产》等宣传资料两万余份。郡王府被命名为全市首个“中国华侨国际文化交流基地”，文物保护利用水平显著提高。按照“修旧如旧，恢复原貌”的原则，投资900多万元对郡王府进行保护性维修。朱开沟遗址保护设施建设项目已通过国家发改委审核，并申请到项目资金审核总估算约357万元。</w:t>
      </w:r>
      <w:bookmarkEnd w:id="27"/>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伊金霍洛旗已经建立起文物普查标本数据库，编制完成《伊金霍洛旗不可移动文物名录》、《伊金霍洛旗不可移动文物分布图》和《伊金霍洛旗第三次全国文物普查工作报告》，完成伊金霍洛旗一、二、三级文物数据库建设。积极开展非物质文化遗产普查和申报工作，普查人员走访采访民间艺人300多人。普查项目数150多项，文字记录120万字，拍摄照片10000多张，资料18册，进一步建立健全非物质文化遗产保护名录。目前，全旗累计公布各级各类非遗代表性项目35项，其中国家级2项（成吉思汗祭典、鄂尔多斯婚礼），自治区级4项（蒙古鹿棋、蒙古包制作技艺、炒米加工技艺、古仁格），市级15项，旗级14项。全旗共有非物质文化遗产传承人33人，其中国家级2人（王卫东、郭日扎布），自治区级1人（赛音吉雅），市级15人，旗级15人。自治区级文化艺术之乡1个（成吉思汗祭祀文化之乡）。</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十三五期间，文旅局组织精品非遗项目进基层、进景区巡展、精品非遗外出交流等一系列非遗交流活动。成功举办了首届伊金霍洛旗天骄“非遗”文化节；先后组织开展了“天骄文化 非遗年味”邀请展、非遗技艺大秀场、“羊文化节”非遗展、“珠拉格”非遗展、札萨克“村跑”非遗展、陶亥召庙会非遗展、马奶湖非遗展、苏泊罕非遗展等多次非遗交流活动，共邀请区内外传承人200人次，进行了200余项非遗项目展示、展览和展销活动，有效激发了农村和景区市场经济活力，为脱贫攻坚和乡村振兴注入了新鲜活力。</w:t>
      </w:r>
    </w:p>
    <w:p>
      <w:pPr>
        <w:spacing w:line="360" w:lineRule="auto"/>
        <w:ind w:firstLine="480" w:firstLineChars="200"/>
        <w:rPr>
          <w:rFonts w:ascii="Times New Roman" w:hAnsi="Times New Roman" w:cs="Times New Roman"/>
          <w:sz w:val="24"/>
        </w:rPr>
      </w:pPr>
    </w:p>
    <w:p>
      <w:pPr>
        <w:pStyle w:val="4"/>
        <w:ind w:firstLine="480"/>
        <w:rPr>
          <w:rFonts w:ascii="Times New Roman" w:hAnsi="Times New Roman" w:cs="Times New Roman"/>
        </w:rPr>
      </w:pPr>
      <w:bookmarkStart w:id="28" w:name="_Toc23820"/>
      <w:bookmarkStart w:id="29" w:name="_Toc24673"/>
      <w:bookmarkStart w:id="30" w:name="_Toc30811"/>
      <w:bookmarkStart w:id="31" w:name="_Toc29270"/>
      <w:bookmarkStart w:id="32" w:name="_Toc30839"/>
      <w:bookmarkStart w:id="33" w:name="_Toc18282"/>
      <w:r>
        <w:rPr>
          <w:rFonts w:hint="eastAsia" w:ascii="Times New Roman" w:hAnsi="Times New Roman" w:cs="Times New Roman"/>
        </w:rPr>
        <w:t>（五）文旅市场监管工作稳中有进</w:t>
      </w:r>
      <w:bookmarkEnd w:id="28"/>
      <w:bookmarkEnd w:id="29"/>
      <w:bookmarkEnd w:id="30"/>
      <w:bookmarkEnd w:id="31"/>
      <w:bookmarkEnd w:id="32"/>
      <w:bookmarkEnd w:id="33"/>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为加强文旅市场监管力度，营造良好的市场环境，在十三五期间，伊金霍洛旗实施安全日常监管，认真落实了24小时全天候在岗在位值班制，文化（12318）旅游投诉电话24小时畅通，做到了出事故有人发现、有人负责，保障了文化旅游市场安全有序运行；组织执法人员通过旅游安全应急演练、执法业务培训，实现规范执法，同时政府部门联合文化旅游警察、工商、食药等部门进行联合大检查，有效打击和遏制了文化旅游市场的违法违规行为；进一步加强文化旅游市场日常检查工作。重点加强对歌舞娱乐场所、互联网上网服务营业场所等文化市场人员密集场所日常检查，切实落实扫黄打非、扫黑除恶、疫情防控等各项工作要求，通过加大执法力度，增加执法频次，充分保证</w:t>
      </w:r>
      <w:r>
        <w:rPr>
          <w:rFonts w:hint="eastAsia" w:ascii="Times New Roman" w:hAnsi="Times New Roman" w:cs="Times New Roman"/>
          <w:sz w:val="24"/>
          <w:lang w:eastAsia="zh-CN"/>
        </w:rPr>
        <w:t>伊金霍洛旗</w:t>
      </w:r>
      <w:r>
        <w:rPr>
          <w:rFonts w:hint="eastAsia" w:ascii="Times New Roman" w:hAnsi="Times New Roman" w:cs="Times New Roman"/>
          <w:sz w:val="24"/>
        </w:rPr>
        <w:t>文化市场日常经营秩序。同时进一步落实“双随机”执法检查制度与文化市场分级分类管理制度，不断强化执法检查的有效性以及场所管理的条理性；对全旗网吧、KTV、4A级以上旅游景区实现监控全覆盖，并实现了由自治区文旅厅针对旅游安全、文明出行、游客情况进行的统一监控，进一步加强文化旅游安全监管，确保文化旅游市场安全</w:t>
      </w:r>
      <w:r>
        <w:rPr>
          <w:rFonts w:hint="eastAsia" w:ascii="Times New Roman" w:hAnsi="Times New Roman" w:cs="Times New Roman"/>
          <w:sz w:val="24"/>
          <w:lang w:eastAsia="zh-CN"/>
        </w:rPr>
        <w:t>；</w:t>
      </w:r>
      <w:r>
        <w:rPr>
          <w:rFonts w:hint="eastAsia" w:ascii="Times New Roman" w:hAnsi="Times New Roman" w:cs="Times New Roman"/>
          <w:sz w:val="24"/>
        </w:rPr>
        <w:t>强化旅游归口管理服务企业能力，文化和旅游局将全旗旅游景区景点、旅游企业、旅行社、农牧家乐等多家涉旅行业进行了摸底规整，通过多种途径实现旅游市场体的全面监管和跟踪服务</w:t>
      </w:r>
      <w:r>
        <w:rPr>
          <w:rFonts w:hint="eastAsia" w:ascii="Times New Roman" w:hAnsi="Times New Roman" w:cs="Times New Roman"/>
          <w:sz w:val="24"/>
          <w:lang w:eastAsia="zh-CN"/>
        </w:rPr>
        <w:t>；</w:t>
      </w:r>
      <w:r>
        <w:rPr>
          <w:rFonts w:hint="eastAsia" w:ascii="Times New Roman" w:hAnsi="Times New Roman" w:cs="Times New Roman"/>
          <w:sz w:val="24"/>
        </w:rPr>
        <w:t>成立综治维稳工作领导小组，形成了文化旅游行业综治稳领导不间断，工作不脱节，管理不松懈的工作格局</w:t>
      </w:r>
      <w:r>
        <w:rPr>
          <w:rFonts w:hint="eastAsia" w:ascii="Times New Roman" w:hAnsi="Times New Roman" w:cs="Times New Roman"/>
          <w:color w:val="C00000"/>
          <w:sz w:val="24"/>
        </w:rPr>
        <w:t>；</w:t>
      </w:r>
      <w:r>
        <w:rPr>
          <w:rFonts w:hint="eastAsia" w:ascii="Times New Roman" w:hAnsi="Times New Roman" w:cs="Times New Roman"/>
          <w:sz w:val="24"/>
        </w:rPr>
        <w:t>强化普法宣传，</w:t>
      </w:r>
      <w:r>
        <w:rPr>
          <w:rFonts w:hint="eastAsia" w:ascii="Times New Roman" w:hAnsi="Times New Roman" w:cs="Times New Roman"/>
          <w:sz w:val="24"/>
          <w:lang w:eastAsia="zh-CN"/>
        </w:rPr>
        <w:t>增强法律意识</w:t>
      </w:r>
      <w:r>
        <w:rPr>
          <w:rFonts w:hint="eastAsia" w:ascii="Times New Roman" w:hAnsi="Times New Roman" w:cs="Times New Roman"/>
          <w:sz w:val="24"/>
        </w:rPr>
        <w:t>，利用“3.15”旅游消费主题活动、“</w:t>
      </w:r>
      <w:r>
        <w:rPr>
          <w:rFonts w:hint="eastAsia" w:ascii="Times New Roman" w:hAnsi="Times New Roman" w:cs="Times New Roman"/>
          <w:sz w:val="24"/>
          <w:lang w:val="en-US" w:eastAsia="zh-CN"/>
        </w:rPr>
        <w:t>3.18</w:t>
      </w:r>
      <w:r>
        <w:rPr>
          <w:rFonts w:hint="eastAsia" w:ascii="Times New Roman" w:hAnsi="Times New Roman" w:cs="Times New Roman"/>
          <w:sz w:val="24"/>
        </w:rPr>
        <w:t>”</w:t>
      </w:r>
      <w:r>
        <w:rPr>
          <w:rFonts w:hint="eastAsia" w:ascii="Times New Roman" w:hAnsi="Times New Roman" w:cs="Times New Roman"/>
          <w:sz w:val="24"/>
          <w:lang w:eastAsia="zh-CN"/>
        </w:rPr>
        <w:t>文化市场法制宣传日，</w:t>
      </w:r>
      <w:r>
        <w:rPr>
          <w:rFonts w:hint="eastAsia" w:ascii="Times New Roman" w:hAnsi="Times New Roman" w:cs="Times New Roman"/>
          <w:sz w:val="24"/>
        </w:rPr>
        <w:t>“</w:t>
      </w:r>
      <w:r>
        <w:rPr>
          <w:rFonts w:hint="eastAsia" w:ascii="Times New Roman" w:hAnsi="Times New Roman" w:cs="Times New Roman"/>
          <w:sz w:val="24"/>
          <w:lang w:val="en-US" w:eastAsia="zh-CN"/>
        </w:rPr>
        <w:t>4.26</w:t>
      </w:r>
      <w:r>
        <w:rPr>
          <w:rFonts w:hint="eastAsia" w:ascii="Times New Roman" w:hAnsi="Times New Roman" w:cs="Times New Roman"/>
          <w:sz w:val="24"/>
        </w:rPr>
        <w:t>”绿书签宣传日、“5.19”中国旅游日、“12.4”法制宣传日，设立“咨询台”，为全旗文化旅游企业、旅行社、游客和市民提供有关法律咨询，全方位普法。</w:t>
      </w:r>
    </w:p>
    <w:bookmarkEnd w:id="2"/>
    <w:p>
      <w:pPr>
        <w:pStyle w:val="3"/>
        <w:ind w:firstLine="560" w:firstLineChars="200"/>
        <w:rPr>
          <w:rFonts w:ascii="Times New Roman" w:hAnsi="Times New Roman" w:cs="Times New Roman"/>
        </w:rPr>
      </w:pPr>
      <w:bookmarkStart w:id="34" w:name="_Toc14720"/>
      <w:r>
        <w:rPr>
          <w:rFonts w:hint="eastAsia" w:ascii="Times New Roman" w:hAnsi="Times New Roman" w:cs="Times New Roman"/>
        </w:rPr>
        <w:t>二、“十三五”文化旅游主要问题</w:t>
      </w:r>
      <w:bookmarkEnd w:id="34"/>
    </w:p>
    <w:p>
      <w:pPr>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“十三五”期间，伊金霍洛旗文化旅游业在持续发展的过程中也存在着一些问题，制约着文化旅游业的快速发展。</w:t>
      </w:r>
    </w:p>
    <w:p>
      <w:pPr>
        <w:pStyle w:val="4"/>
        <w:ind w:firstLine="480"/>
        <w:rPr>
          <w:rFonts w:hint="default" w:ascii="Times New Roman" w:hAnsi="Times New Roman" w:eastAsia="黑体" w:cs="Times New Roman"/>
          <w:b w:val="0"/>
          <w:bCs w:val="0"/>
          <w:color w:val="auto"/>
          <w:lang w:val="en-US" w:eastAsia="zh-CN"/>
        </w:rPr>
      </w:pPr>
      <w:bookmarkStart w:id="35" w:name="_Toc18052"/>
      <w:bookmarkStart w:id="36" w:name="_Toc24363"/>
      <w:bookmarkStart w:id="37" w:name="_Toc2655"/>
      <w:bookmarkStart w:id="38" w:name="_Toc31334"/>
      <w:bookmarkStart w:id="39" w:name="_Toc19883"/>
      <w:r>
        <w:rPr>
          <w:rFonts w:hint="eastAsia" w:ascii="Times New Roman" w:hAnsi="Times New Roman" w:cs="Times New Roman"/>
          <w:b w:val="0"/>
          <w:bCs w:val="0"/>
          <w:color w:val="auto"/>
        </w:rPr>
        <w:t>（一）</w:t>
      </w:r>
      <w:bookmarkEnd w:id="35"/>
      <w:bookmarkEnd w:id="36"/>
      <w:bookmarkEnd w:id="37"/>
      <w:bookmarkEnd w:id="38"/>
      <w:r>
        <w:rPr>
          <w:rFonts w:hint="eastAsia" w:ascii="Times New Roman" w:hAnsi="Times New Roman" w:cs="Times New Roman"/>
          <w:b w:val="0"/>
          <w:bCs w:val="0"/>
          <w:color w:val="auto"/>
          <w:lang w:val="en-US" w:eastAsia="zh-CN"/>
        </w:rPr>
        <w:t>文化产业结构不合理</w:t>
      </w:r>
      <w:bookmarkEnd w:id="39"/>
    </w:p>
    <w:p>
      <w:pPr>
        <w:spacing w:line="360" w:lineRule="auto"/>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伊金霍洛旗文化和旅游产业结构不合理主要体现在细分产业的比例不协调，具体来看，细分产业比例不协调在旅游六要素中存在明显短板，购物、娱乐要素发展不足，缺乏特色、有吸引力的产品，未形成有效的消费拉动，游览要素的信息化不足，利用大数据分析营销薄弱。</w:t>
      </w:r>
    </w:p>
    <w:p>
      <w:pPr>
        <w:pStyle w:val="4"/>
        <w:ind w:firstLine="480"/>
        <w:rPr>
          <w:rFonts w:hint="eastAsia" w:ascii="Times New Roman" w:hAnsi="Times New Roman" w:cs="Times New Roman"/>
          <w:b w:val="0"/>
          <w:bCs w:val="0"/>
          <w:color w:val="auto"/>
          <w:lang w:val="en-US" w:eastAsia="zh-CN"/>
        </w:rPr>
      </w:pPr>
      <w:bookmarkStart w:id="40" w:name="_Toc12420"/>
      <w:r>
        <w:rPr>
          <w:rFonts w:hint="eastAsia" w:ascii="Times New Roman" w:hAnsi="Times New Roman" w:cs="Times New Roman"/>
          <w:b w:val="0"/>
          <w:bCs w:val="0"/>
          <w:color w:val="auto"/>
          <w:lang w:val="en-US" w:eastAsia="zh-CN"/>
        </w:rPr>
        <w:t>（二）景区经营管理体制不健全</w:t>
      </w:r>
      <w:bookmarkEnd w:id="40"/>
    </w:p>
    <w:p>
      <w:pPr>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lang w:val="en-US" w:eastAsia="zh-CN"/>
        </w:rPr>
        <w:t>景区经营管理体制不健全。</w:t>
      </w:r>
      <w:r>
        <w:rPr>
          <w:rFonts w:hint="eastAsia" w:ascii="Times New Roman" w:hAnsi="Times New Roman" w:cs="Times New Roman"/>
          <w:sz w:val="24"/>
        </w:rPr>
        <w:t>伊金霍洛旗8个A级旅游景区中，仅有苏泊罕大草原旅游区、伊景园沙山旅游区由</w:t>
      </w:r>
      <w:r>
        <w:rPr>
          <w:rFonts w:hint="eastAsia" w:ascii="Times New Roman" w:hAnsi="Times New Roman" w:cs="Times New Roman"/>
          <w:sz w:val="24"/>
          <w:lang w:val="en-US" w:eastAsia="zh-CN"/>
        </w:rPr>
        <w:t>企业</w:t>
      </w:r>
      <w:r>
        <w:rPr>
          <w:rFonts w:hint="eastAsia" w:ascii="Times New Roman" w:hAnsi="Times New Roman" w:cs="Times New Roman"/>
          <w:sz w:val="24"/>
        </w:rPr>
        <w:t>经营</w:t>
      </w:r>
      <w:r>
        <w:rPr>
          <w:rFonts w:hint="eastAsia" w:ascii="Times New Roman" w:hAnsi="Times New Roman" w:cs="Times New Roman"/>
          <w:sz w:val="24"/>
          <w:lang w:val="en-US" w:eastAsia="zh-CN"/>
        </w:rPr>
        <w:t>管理</w:t>
      </w:r>
      <w:r>
        <w:rPr>
          <w:rFonts w:hint="eastAsia" w:ascii="Times New Roman" w:hAnsi="Times New Roman" w:cs="Times New Roman"/>
          <w:sz w:val="24"/>
        </w:rPr>
        <w:t>，其他景区均属于</w:t>
      </w:r>
      <w:r>
        <w:rPr>
          <w:rFonts w:hint="eastAsia" w:ascii="Times New Roman" w:hAnsi="Times New Roman" w:cs="Times New Roman"/>
          <w:sz w:val="24"/>
          <w:lang w:val="en-US" w:eastAsia="zh-CN"/>
        </w:rPr>
        <w:t>政府管理企业经营</w:t>
      </w:r>
      <w:r>
        <w:rPr>
          <w:rFonts w:hint="eastAsia" w:ascii="Times New Roman" w:hAnsi="Times New Roman" w:cs="Times New Roman"/>
          <w:sz w:val="24"/>
        </w:rPr>
        <w:t>，6个乡村旅游示范村中，只有哈沙图由企业运营，其他乡村旅游示范村均由个人进行管理，经营粗放，缺乏高效和统一的运营管理模式，市场化程度较低。</w:t>
      </w:r>
      <w:r>
        <w:rPr>
          <w:rFonts w:hint="eastAsia" w:ascii="Times New Roman" w:hAnsi="Times New Roman" w:cs="Times New Roman"/>
          <w:sz w:val="24"/>
          <w:lang w:val="en-US" w:eastAsia="zh-CN"/>
        </w:rPr>
        <w:t>另外</w:t>
      </w:r>
      <w:r>
        <w:rPr>
          <w:rFonts w:hint="eastAsia" w:ascii="Times New Roman" w:hAnsi="Times New Roman" w:cs="Times New Roman"/>
          <w:sz w:val="24"/>
        </w:rPr>
        <w:t>，伊金霍洛旗旅游景区、项目投资以财政投入为主，社会投入和市场运作的资金少，没有形成多元化的投入和发展机制。以成吉思汗陵旅游区、</w:t>
      </w:r>
      <w:r>
        <w:rPr>
          <w:rFonts w:hint="eastAsia" w:ascii="Times New Roman" w:hAnsi="Times New Roman" w:cs="Times New Roman"/>
          <w:sz w:val="24"/>
          <w:lang w:eastAsia="zh-CN"/>
        </w:rPr>
        <w:t>鄂尔多斯文化产业园</w:t>
      </w:r>
      <w:r>
        <w:rPr>
          <w:rFonts w:hint="eastAsia" w:ascii="Times New Roman" w:hAnsi="Times New Roman" w:cs="Times New Roman"/>
          <w:sz w:val="24"/>
        </w:rPr>
        <w:t>等为代表的政府和企业共同运营的景区均存在多头管理的问题，导致多方互相掣肘，</w:t>
      </w:r>
      <w:r>
        <w:rPr>
          <w:rFonts w:hint="eastAsia" w:ascii="Times New Roman" w:hAnsi="Times New Roman" w:cs="Times New Roman"/>
          <w:sz w:val="24"/>
          <w:lang w:val="en-US" w:eastAsia="zh-CN"/>
        </w:rPr>
        <w:t>一定程度上制约了</w:t>
      </w:r>
      <w:r>
        <w:rPr>
          <w:rFonts w:hint="eastAsia" w:ascii="Times New Roman" w:hAnsi="Times New Roman" w:cs="Times New Roman"/>
          <w:sz w:val="24"/>
        </w:rPr>
        <w:t>景区发展。</w:t>
      </w:r>
    </w:p>
    <w:p>
      <w:pPr>
        <w:pStyle w:val="4"/>
        <w:ind w:firstLine="480"/>
        <w:rPr>
          <w:rFonts w:hint="default" w:ascii="Times New Roman" w:hAnsi="Times New Roman" w:eastAsia="黑体" w:cs="Times New Roman"/>
          <w:lang w:val="en-US" w:eastAsia="zh-CN"/>
        </w:rPr>
      </w:pPr>
      <w:bookmarkStart w:id="41" w:name="_Toc28025"/>
      <w:bookmarkStart w:id="42" w:name="_Toc32419"/>
      <w:bookmarkStart w:id="43" w:name="_Toc12538"/>
      <w:bookmarkStart w:id="44" w:name="_Toc19896"/>
      <w:bookmarkStart w:id="45" w:name="_Toc28695"/>
      <w:bookmarkStart w:id="46" w:name="_Toc24224"/>
      <w:bookmarkStart w:id="47" w:name="_Toc5425"/>
      <w:bookmarkStart w:id="48" w:name="_Toc32398"/>
      <w:bookmarkStart w:id="49" w:name="_Toc4820"/>
      <w:r>
        <w:rPr>
          <w:rFonts w:hint="eastAsia" w:ascii="Times New Roman" w:hAnsi="Times New Roman" w:cs="Times New Roman"/>
        </w:rPr>
        <w:t>（</w:t>
      </w:r>
      <w:r>
        <w:rPr>
          <w:rFonts w:hint="eastAsia" w:ascii="Times New Roman" w:hAnsi="Times New Roman" w:cs="Times New Roman"/>
          <w:lang w:val="en-US" w:eastAsia="zh-CN"/>
        </w:rPr>
        <w:t>三</w:t>
      </w:r>
      <w:r>
        <w:rPr>
          <w:rFonts w:hint="eastAsia" w:ascii="Times New Roman" w:hAnsi="Times New Roman" w:cs="Times New Roman"/>
        </w:rPr>
        <w:t>）文化旅游配套设施不</w:t>
      </w:r>
      <w:bookmarkEnd w:id="41"/>
      <w:bookmarkEnd w:id="42"/>
      <w:bookmarkEnd w:id="43"/>
      <w:bookmarkEnd w:id="44"/>
      <w:r>
        <w:rPr>
          <w:rFonts w:hint="eastAsia" w:ascii="Times New Roman" w:hAnsi="Times New Roman" w:cs="Times New Roman"/>
          <w:lang w:val="en-US" w:eastAsia="zh-CN"/>
        </w:rPr>
        <w:t>足</w:t>
      </w:r>
      <w:bookmarkEnd w:id="45"/>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文化旅游配套设施不</w:t>
      </w:r>
      <w:r>
        <w:rPr>
          <w:rFonts w:hint="eastAsia" w:ascii="Times New Roman" w:hAnsi="Times New Roman" w:cs="Times New Roman"/>
          <w:sz w:val="24"/>
          <w:lang w:val="en-US" w:eastAsia="zh-CN"/>
        </w:rPr>
        <w:t>足</w:t>
      </w:r>
      <w:r>
        <w:rPr>
          <w:rFonts w:hint="eastAsia" w:ascii="Times New Roman" w:hAnsi="Times New Roman" w:cs="Times New Roman"/>
          <w:sz w:val="24"/>
        </w:rPr>
        <w:t>，中心城区现有餐饮企业111户，各类餐饮店铺1059家，80%以上都是面积50平方米以下的小型饭店，其中连锁品牌餐饮店铺26家，缺乏大型餐饮连锁品牌及特色餐饮品牌；伊金霍洛旗现有豪华型酒店1家（乌兰大酒店），高档型酒店2家（博奥、龙凯国际酒店），舒适型和经济型酒店10余家，共计床位4230余张，旅游旺季（5-10月份）满客率约98%，目前床位接待能力不够且尚未形成集星级酒店、商务酒店、特色民宿、自驾营地等于一体的多层次的住宿接待体系；现有6条特色街区，分别是红海子鲜鱼街，电力街特色街区、查干柴达木寨巷服务区、</w:t>
      </w:r>
      <w:r>
        <w:rPr>
          <w:rFonts w:hint="eastAsia" w:ascii="Times New Roman" w:hAnsi="Times New Roman" w:cs="Times New Roman"/>
          <w:sz w:val="24"/>
          <w:lang w:eastAsia="zh-CN"/>
        </w:rPr>
        <w:t>万力太阳城商业街</w:t>
      </w:r>
      <w:r>
        <w:rPr>
          <w:rFonts w:hint="eastAsia" w:ascii="Times New Roman" w:hAnsi="Times New Roman" w:cs="Times New Roman"/>
          <w:sz w:val="24"/>
        </w:rPr>
        <w:t>、阿勒腾席热镇丽景购物步行街、</w:t>
      </w:r>
      <w:r>
        <w:rPr>
          <w:rFonts w:hint="eastAsia" w:ascii="Times New Roman" w:hAnsi="Times New Roman" w:cs="Times New Roman"/>
          <w:sz w:val="24"/>
          <w:lang w:eastAsia="zh-CN"/>
        </w:rPr>
        <w:t>民族</w:t>
      </w:r>
      <w:r>
        <w:rPr>
          <w:rFonts w:hint="eastAsia" w:ascii="Times New Roman" w:hAnsi="Times New Roman" w:cs="Times New Roman"/>
          <w:sz w:val="24"/>
        </w:rPr>
        <w:t>街，但都处于起步阶段，相关配套设施不完善。目前，“游在伊金霍洛旗、吃在康巴什、住在东胜”几乎成为一种市场趋向，特别是在特色小吃、住宿方面与康巴什、东胜的差距较大，</w:t>
      </w:r>
      <w:r>
        <w:rPr>
          <w:rFonts w:hint="eastAsia" w:ascii="Times New Roman" w:hAnsi="Times New Roman" w:cs="Times New Roman"/>
          <w:sz w:val="24"/>
          <w:lang w:val="en-US" w:eastAsia="zh-CN"/>
        </w:rPr>
        <w:t>文化旅游配套</w:t>
      </w:r>
      <w:r>
        <w:rPr>
          <w:rFonts w:hint="eastAsia" w:ascii="Times New Roman" w:hAnsi="Times New Roman" w:cs="Times New Roman"/>
          <w:sz w:val="24"/>
        </w:rPr>
        <w:t>不</w:t>
      </w:r>
      <w:r>
        <w:rPr>
          <w:rFonts w:hint="eastAsia" w:ascii="Times New Roman" w:hAnsi="Times New Roman" w:cs="Times New Roman"/>
          <w:sz w:val="24"/>
          <w:lang w:val="en-US" w:eastAsia="zh-CN"/>
        </w:rPr>
        <w:t>足</w:t>
      </w:r>
      <w:r>
        <w:rPr>
          <w:rFonts w:hint="eastAsia" w:ascii="Times New Roman" w:hAnsi="Times New Roman" w:cs="Times New Roman"/>
          <w:sz w:val="24"/>
        </w:rPr>
        <w:t>且结构不合理已成为制约伊金霍洛旗文化旅游经济发展的一大瓶颈。</w:t>
      </w:r>
    </w:p>
    <w:p>
      <w:pPr>
        <w:pStyle w:val="4"/>
        <w:ind w:firstLine="480"/>
        <w:rPr>
          <w:rFonts w:hint="eastAsia" w:ascii="Times New Roman" w:hAnsi="Times New Roman" w:eastAsia="黑体" w:cs="Times New Roman"/>
          <w:lang w:val="en-US" w:eastAsia="zh-CN"/>
        </w:rPr>
      </w:pPr>
      <w:bookmarkStart w:id="50" w:name="_Toc8377"/>
      <w:bookmarkStart w:id="51" w:name="_Toc24159"/>
      <w:bookmarkStart w:id="52" w:name="_Toc1864"/>
      <w:bookmarkStart w:id="53" w:name="_Toc2822"/>
      <w:bookmarkStart w:id="54" w:name="_Toc26234"/>
      <w:r>
        <w:rPr>
          <w:rFonts w:hint="eastAsia" w:ascii="Times New Roman" w:hAnsi="Times New Roman" w:cs="Times New Roman"/>
        </w:rPr>
        <w:t>（</w:t>
      </w:r>
      <w:r>
        <w:rPr>
          <w:rFonts w:hint="eastAsia" w:ascii="Times New Roman" w:hAnsi="Times New Roman" w:cs="Times New Roman"/>
          <w:lang w:val="en-US" w:eastAsia="zh-CN"/>
        </w:rPr>
        <w:t>四</w:t>
      </w:r>
      <w:r>
        <w:rPr>
          <w:rFonts w:hint="eastAsia" w:ascii="Times New Roman" w:hAnsi="Times New Roman" w:cs="Times New Roman"/>
        </w:rPr>
        <w:t>）文化旅游服务水平</w:t>
      </w:r>
      <w:bookmarkEnd w:id="50"/>
      <w:bookmarkEnd w:id="51"/>
      <w:bookmarkEnd w:id="52"/>
      <w:bookmarkEnd w:id="53"/>
      <w:r>
        <w:rPr>
          <w:rFonts w:hint="eastAsia" w:ascii="Times New Roman" w:hAnsi="Times New Roman" w:cs="Times New Roman"/>
          <w:lang w:val="en-US" w:eastAsia="zh-CN"/>
        </w:rPr>
        <w:t>不高</w:t>
      </w:r>
      <w:bookmarkEnd w:id="54"/>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由于文化和旅游业发展要求的转变和升级，相关从业人员缺乏经营理念、业务技能和管理经验能力等专业素养，不能有效地满足市场对高质量服务的要求；旅游市场主体发育不全，旅游业体系不完善，不能满足居民多样化的文化和旅游需求；旅游淡旺季明显且旅游产品和商品开发滞后，导致旅游产品体系不完善，旅游供给市场薄弱。</w:t>
      </w:r>
    </w:p>
    <w:p>
      <w:pPr>
        <w:pStyle w:val="4"/>
        <w:ind w:firstLine="480"/>
        <w:rPr>
          <w:rFonts w:ascii="Times New Roman" w:hAnsi="Times New Roman" w:cs="Times New Roman"/>
        </w:rPr>
      </w:pPr>
      <w:bookmarkStart w:id="55" w:name="_Toc10052"/>
      <w:bookmarkStart w:id="56" w:name="_Toc22545"/>
      <w:bookmarkStart w:id="57" w:name="_Toc17028"/>
      <w:bookmarkStart w:id="58" w:name="_Toc23473"/>
      <w:bookmarkStart w:id="59" w:name="_Toc2525"/>
      <w:r>
        <w:rPr>
          <w:rFonts w:hint="eastAsia" w:ascii="Times New Roman" w:hAnsi="Times New Roman" w:cs="Times New Roman"/>
        </w:rPr>
        <w:t>（</w:t>
      </w:r>
      <w:r>
        <w:rPr>
          <w:rFonts w:hint="eastAsia" w:ascii="Times New Roman" w:hAnsi="Times New Roman" w:cs="Times New Roman"/>
          <w:lang w:val="en-US" w:eastAsia="zh-CN"/>
        </w:rPr>
        <w:t>五</w:t>
      </w:r>
      <w:r>
        <w:rPr>
          <w:rFonts w:hint="eastAsia" w:ascii="Times New Roman" w:hAnsi="Times New Roman" w:cs="Times New Roman"/>
        </w:rPr>
        <w:t>）品牌营销力度不够</w:t>
      </w:r>
      <w:bookmarkEnd w:id="55"/>
      <w:bookmarkEnd w:id="56"/>
      <w:bookmarkEnd w:id="57"/>
      <w:bookmarkEnd w:id="58"/>
      <w:bookmarkEnd w:id="59"/>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伊金霍洛旗目前旅游宣传形式以线下推广、线上宣传、文旅活动等传统营销模式为主，且营销主体以政府为主，对文化旅游项目和产品的包装、打造、宣传、营销力度不够，营销主体和营销方式单一，缺少高端策划和市场化运作，除成吉思汗旅游区外具有较强影响力和知名度的文化旅游品牌较少。且文化底蕴挖掘不深，特色不明显，缺乏吸引力和市场竞争力，旅游整体形象不鲜明，品牌知名度低，市场影响力偏弱，未来应集中精力开展旅游多元营销，进一步拓展新媒体、直播、流量、节庆等新兴旅游营销方式。</w:t>
      </w:r>
    </w:p>
    <w:p>
      <w:pPr>
        <w:pStyle w:val="4"/>
        <w:ind w:firstLine="480"/>
        <w:rPr>
          <w:rFonts w:hint="default" w:ascii="Times New Roman" w:hAnsi="Times New Roman" w:cs="Times New Roman"/>
          <w:lang w:val="en-US" w:eastAsia="zh-CN"/>
        </w:rPr>
      </w:pPr>
      <w:bookmarkStart w:id="60" w:name="_Toc19414"/>
      <w:r>
        <w:rPr>
          <w:rFonts w:hint="eastAsia" w:ascii="Times New Roman" w:hAnsi="Times New Roman" w:cs="Times New Roman"/>
        </w:rPr>
        <w:t>（</w:t>
      </w:r>
      <w:r>
        <w:rPr>
          <w:rFonts w:hint="eastAsia" w:ascii="Times New Roman" w:hAnsi="Times New Roman" w:cs="Times New Roman"/>
          <w:lang w:val="en-US" w:eastAsia="zh-CN"/>
        </w:rPr>
        <w:t>六</w:t>
      </w:r>
      <w:r>
        <w:rPr>
          <w:rFonts w:hint="eastAsia" w:ascii="Times New Roman" w:hAnsi="Times New Roman" w:cs="Times New Roman"/>
        </w:rPr>
        <w:t>）</w:t>
      </w:r>
      <w:bookmarkEnd w:id="46"/>
      <w:bookmarkEnd w:id="47"/>
      <w:bookmarkEnd w:id="48"/>
      <w:bookmarkEnd w:id="49"/>
      <w:r>
        <w:rPr>
          <w:rFonts w:hint="eastAsia" w:ascii="Times New Roman" w:hAnsi="Times New Roman" w:cs="Times New Roman"/>
          <w:lang w:val="en-US" w:eastAsia="zh-CN"/>
        </w:rPr>
        <w:t>文化旅游管理人才不足</w:t>
      </w:r>
      <w:bookmarkEnd w:id="60"/>
    </w:p>
    <w:p>
      <w:pPr>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lang w:val="en-US" w:eastAsia="zh-CN"/>
        </w:rPr>
        <w:t>一方面，</w:t>
      </w:r>
      <w:r>
        <w:rPr>
          <w:rFonts w:hint="eastAsia" w:ascii="Times New Roman" w:hAnsi="Times New Roman" w:cs="Times New Roman"/>
          <w:sz w:val="24"/>
        </w:rPr>
        <w:t>文旅融合后，伊金霍洛旗文化和旅游局内部变动较大，人才流失严重，管理人员队伍小，专业结构不合理</w:t>
      </w:r>
      <w:r>
        <w:rPr>
          <w:rFonts w:hint="eastAsia" w:ascii="Times New Roman" w:hAnsi="Times New Roman" w:cs="Times New Roman"/>
          <w:sz w:val="24"/>
          <w:lang w:val="en-US" w:eastAsia="zh-CN"/>
        </w:rPr>
        <w:t>的问题</w:t>
      </w:r>
      <w:r>
        <w:rPr>
          <w:rFonts w:hint="eastAsia" w:ascii="Times New Roman" w:hAnsi="Times New Roman" w:cs="Times New Roman"/>
          <w:sz w:val="24"/>
        </w:rPr>
        <w:t>，不能</w:t>
      </w:r>
      <w:r>
        <w:rPr>
          <w:rFonts w:hint="eastAsia" w:ascii="Times New Roman" w:hAnsi="Times New Roman" w:cs="Times New Roman"/>
          <w:sz w:val="24"/>
          <w:lang w:eastAsia="zh-CN"/>
        </w:rPr>
        <w:t>有效地满足</w:t>
      </w:r>
      <w:r>
        <w:rPr>
          <w:rFonts w:hint="eastAsia" w:ascii="Times New Roman" w:hAnsi="Times New Roman" w:cs="Times New Roman"/>
          <w:sz w:val="24"/>
        </w:rPr>
        <w:t>群众日益增长的公共文化和旅游活动的需要；</w:t>
      </w:r>
      <w:r>
        <w:rPr>
          <w:rFonts w:hint="eastAsia" w:ascii="Times New Roman" w:hAnsi="Times New Roman" w:cs="Times New Roman"/>
          <w:sz w:val="24"/>
          <w:lang w:val="en-US" w:eastAsia="zh-CN"/>
        </w:rPr>
        <w:t>另一方面，</w:t>
      </w:r>
      <w:r>
        <w:rPr>
          <w:rFonts w:hint="eastAsia" w:ascii="Times New Roman" w:hAnsi="Times New Roman" w:cs="Times New Roman"/>
          <w:sz w:val="24"/>
        </w:rPr>
        <w:t>基层文化服务中心普遍存在专人不专业的现象，导致部分设施设备利用率不高，造成资源闲置和浪费；旅游从业人员队伍结构不尽合理，旅游发展面临着高层次旅游服务、项目策划和管理等人才缺乏，不能有效支撑文化旅游产业发展的需要的问题。</w:t>
      </w:r>
    </w:p>
    <w:p>
      <w:pPr>
        <w:pStyle w:val="4"/>
        <w:ind w:firstLine="480"/>
        <w:rPr>
          <w:rFonts w:hint="eastAsia" w:ascii="Times New Roman" w:hAnsi="Times New Roman" w:cs="Times New Roman"/>
          <w:lang w:val="en-US" w:eastAsia="zh-CN"/>
        </w:rPr>
      </w:pPr>
      <w:bookmarkStart w:id="61" w:name="_Toc16693"/>
      <w:r>
        <w:rPr>
          <w:rFonts w:hint="eastAsia" w:ascii="Times New Roman" w:hAnsi="Times New Roman" w:cs="Times New Roman"/>
          <w:lang w:val="en-US" w:eastAsia="zh-CN"/>
        </w:rPr>
        <w:t>（七）区域文化发展不够平衡</w:t>
      </w:r>
      <w:bookmarkEnd w:id="61"/>
    </w:p>
    <w:p>
      <w:pPr>
        <w:spacing w:line="360" w:lineRule="auto"/>
        <w:ind w:firstLine="480" w:firstLineChars="200"/>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就全旗而言，不同区域文化发展还不够平衡。一是城乡之间文化发展差距较大。城区的文化设施相对齐全，文化服务保障较好；农牧区文化设施相对薄弱，人员队伍不够稳定，文化服务保障还不够到位。二是不同乡镇文化发展具有差异性。由于不同乡镇经济发展水平不同，在文化建设经费保障上投入不同，使得文化服务和文化保障发展水平不一。</w:t>
      </w:r>
    </w:p>
    <w:p>
      <w:pPr>
        <w:pStyle w:val="3"/>
        <w:ind w:firstLine="560" w:firstLineChars="200"/>
        <w:rPr>
          <w:rFonts w:ascii="Times New Roman" w:hAnsi="Times New Roman" w:cs="Times New Roman"/>
        </w:rPr>
      </w:pPr>
      <w:bookmarkStart w:id="62" w:name="_Toc12321"/>
      <w:r>
        <w:rPr>
          <w:rFonts w:hint="eastAsia" w:ascii="Times New Roman" w:hAnsi="Times New Roman" w:cs="Times New Roman"/>
        </w:rPr>
        <w:t>三、“十四五”文化旅游发展机遇与挑战</w:t>
      </w:r>
      <w:bookmarkEnd w:id="62"/>
    </w:p>
    <w:p>
      <w:pPr>
        <w:pStyle w:val="4"/>
        <w:ind w:firstLine="480"/>
        <w:rPr>
          <w:rFonts w:ascii="Times New Roman" w:hAnsi="Times New Roman" w:cs="Times New Roman"/>
        </w:rPr>
      </w:pPr>
      <w:bookmarkStart w:id="63" w:name="_Toc26068"/>
      <w:bookmarkStart w:id="64" w:name="_Toc21748"/>
      <w:bookmarkStart w:id="65" w:name="_Toc25397"/>
      <w:bookmarkStart w:id="66" w:name="_Toc4242"/>
      <w:bookmarkStart w:id="67" w:name="_Toc14574"/>
      <w:r>
        <w:rPr>
          <w:rFonts w:hint="eastAsia" w:ascii="Times New Roman" w:hAnsi="Times New Roman" w:cs="Times New Roman"/>
        </w:rPr>
        <w:t>（一）发展机遇</w:t>
      </w:r>
      <w:bookmarkEnd w:id="63"/>
      <w:bookmarkEnd w:id="64"/>
      <w:bookmarkEnd w:id="65"/>
      <w:bookmarkEnd w:id="66"/>
      <w:bookmarkEnd w:id="67"/>
    </w:p>
    <w:p>
      <w:pPr>
        <w:pStyle w:val="5"/>
        <w:ind w:firstLine="482"/>
        <w:rPr>
          <w:rFonts w:ascii="Times New Roman" w:hAnsi="Times New Roman" w:cs="Times New Roman"/>
        </w:rPr>
      </w:pPr>
      <w:r>
        <w:rPr>
          <w:rFonts w:hint="eastAsia" w:ascii="Times New Roman" w:hAnsi="Times New Roman" w:cs="Times New Roman"/>
        </w:rPr>
        <w:t>1.政策机遇</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国家层面积极引导和支持文化和旅游业的发展。除《文化部、国家旅游局关于促进文化与旅游结合发展的指导意见》和《国家发改委“十三五”时期文化旅游提升工程实施方案》外，近年来国家陆续出台了一系列政策支持和引导文化和旅游产业的发展，为其发展创造了良好的政策机遇。</w:t>
      </w:r>
    </w:p>
    <w:p>
      <w:pPr>
        <w:pStyle w:val="9"/>
        <w:jc w:val="center"/>
        <w:rPr>
          <w:rFonts w:ascii="Times New Roman" w:hAnsi="Times New Roman" w:cs="Times New Roman"/>
          <w:b/>
          <w:bCs/>
          <w:szCs w:val="21"/>
        </w:rPr>
      </w:pPr>
      <w:r>
        <w:rPr>
          <w:rFonts w:hint="eastAsia" w:ascii="Times New Roman" w:hAnsi="Times New Roman" w:cs="Times New Roman"/>
          <w:b/>
          <w:bCs/>
          <w:szCs w:val="21"/>
        </w:rPr>
        <w:t>表1-1  2019—2020年旅游政策表</w:t>
      </w:r>
    </w:p>
    <w:tbl>
      <w:tblPr>
        <w:tblStyle w:val="17"/>
        <w:tblW w:w="0" w:type="auto"/>
        <w:tblInd w:w="0" w:type="dxa"/>
        <w:tblLayout w:type="autofit"/>
        <w:tblCellMar>
          <w:top w:w="0" w:type="dxa"/>
          <w:left w:w="108" w:type="dxa"/>
          <w:bottom w:w="0" w:type="dxa"/>
          <w:right w:w="108" w:type="dxa"/>
        </w:tblCellMar>
      </w:tblPr>
      <w:tblGrid>
        <w:gridCol w:w="1401"/>
        <w:gridCol w:w="1870"/>
        <w:gridCol w:w="1440"/>
        <w:gridCol w:w="3650"/>
      </w:tblGrid>
      <w:tr>
        <w:tblPrEx>
          <w:tblCellMar>
            <w:top w:w="0" w:type="dxa"/>
            <w:left w:w="108" w:type="dxa"/>
            <w:bottom w:w="0" w:type="dxa"/>
            <w:right w:w="108" w:type="dxa"/>
          </w:tblCellMar>
        </w:tblPrEx>
        <w:tc>
          <w:tcPr>
            <w:tcW w:w="1401" w:type="dxa"/>
            <w:tcBorders>
              <w:top w:val="single" w:color="4F81BD" w:sz="8" w:space="0"/>
              <w:left w:val="single" w:color="4F81BD" w:sz="8" w:space="0"/>
              <w:bottom w:val="single" w:color="FFFFFF" w:sz="18" w:space="0"/>
              <w:right w:val="single" w:color="4F81BD" w:sz="8" w:space="0"/>
            </w:tcBorders>
            <w:shd w:val="clear" w:color="auto" w:fill="4F81BD"/>
            <w:vAlign w:val="center"/>
          </w:tcPr>
          <w:p>
            <w:pPr>
              <w:pStyle w:val="9"/>
              <w:jc w:val="center"/>
              <w:rPr>
                <w:rFonts w:ascii="Times New Roman" w:hAnsi="Times New Roman" w:cs="Times New Roman"/>
                <w:szCs w:val="21"/>
              </w:rPr>
            </w:pPr>
            <w:r>
              <w:rPr>
                <w:rFonts w:hint="eastAsia" w:ascii="Times New Roman" w:hAnsi="Times New Roman" w:cs="Times New Roman"/>
                <w:szCs w:val="21"/>
              </w:rPr>
              <w:t>时间</w:t>
            </w:r>
          </w:p>
        </w:tc>
        <w:tc>
          <w:tcPr>
            <w:tcW w:w="1870" w:type="dxa"/>
            <w:tcBorders>
              <w:top w:val="single" w:color="4F81BD" w:sz="8" w:space="0"/>
              <w:left w:val="single" w:color="4F81BD" w:sz="8" w:space="0"/>
              <w:bottom w:val="single" w:color="FFFFFF" w:sz="18" w:space="0"/>
              <w:right w:val="single" w:color="4F81BD" w:sz="8" w:space="0"/>
            </w:tcBorders>
            <w:shd w:val="clear" w:color="auto" w:fill="4F81BD"/>
            <w:vAlign w:val="center"/>
          </w:tcPr>
          <w:p>
            <w:pPr>
              <w:pStyle w:val="9"/>
              <w:jc w:val="center"/>
              <w:rPr>
                <w:rFonts w:ascii="Times New Roman" w:hAnsi="Times New Roman" w:cs="Times New Roman"/>
                <w:szCs w:val="21"/>
              </w:rPr>
            </w:pPr>
            <w:r>
              <w:rPr>
                <w:rFonts w:hint="eastAsia" w:ascii="Times New Roman" w:hAnsi="Times New Roman" w:cs="Times New Roman"/>
                <w:szCs w:val="21"/>
              </w:rPr>
              <w:t>文件</w:t>
            </w:r>
          </w:p>
        </w:tc>
        <w:tc>
          <w:tcPr>
            <w:tcW w:w="1440" w:type="dxa"/>
            <w:tcBorders>
              <w:top w:val="single" w:color="4F81BD" w:sz="8" w:space="0"/>
              <w:left w:val="single" w:color="4F81BD" w:sz="8" w:space="0"/>
              <w:bottom w:val="single" w:color="FFFFFF" w:sz="18" w:space="0"/>
              <w:right w:val="single" w:color="4F81BD" w:sz="8" w:space="0"/>
            </w:tcBorders>
            <w:shd w:val="clear" w:color="auto" w:fill="4F81BD"/>
            <w:vAlign w:val="center"/>
          </w:tcPr>
          <w:p>
            <w:pPr>
              <w:pStyle w:val="9"/>
              <w:jc w:val="center"/>
              <w:rPr>
                <w:rFonts w:ascii="Times New Roman" w:hAnsi="Times New Roman" w:cs="Times New Roman"/>
                <w:szCs w:val="21"/>
              </w:rPr>
            </w:pPr>
            <w:r>
              <w:rPr>
                <w:rFonts w:hint="eastAsia" w:ascii="Times New Roman" w:hAnsi="Times New Roman" w:cs="Times New Roman"/>
                <w:szCs w:val="21"/>
              </w:rPr>
              <w:t>印发单位</w:t>
            </w:r>
          </w:p>
        </w:tc>
        <w:tc>
          <w:tcPr>
            <w:tcW w:w="3650" w:type="dxa"/>
            <w:tcBorders>
              <w:top w:val="single" w:color="4F81BD" w:sz="8" w:space="0"/>
              <w:left w:val="single" w:color="4F81BD" w:sz="8" w:space="0"/>
              <w:bottom w:val="single" w:color="FFFFFF" w:sz="18" w:space="0"/>
              <w:right w:val="single" w:color="4F81BD" w:sz="8" w:space="0"/>
            </w:tcBorders>
            <w:shd w:val="clear" w:color="auto" w:fill="4F81BD"/>
            <w:vAlign w:val="center"/>
          </w:tcPr>
          <w:p>
            <w:pPr>
              <w:pStyle w:val="9"/>
              <w:jc w:val="center"/>
              <w:rPr>
                <w:rFonts w:ascii="Times New Roman" w:hAnsi="Times New Roman" w:cs="Times New Roman"/>
                <w:szCs w:val="21"/>
              </w:rPr>
            </w:pPr>
            <w:r>
              <w:rPr>
                <w:rFonts w:hint="eastAsia" w:ascii="Times New Roman" w:hAnsi="Times New Roman" w:cs="Times New Roman"/>
                <w:szCs w:val="21"/>
              </w:rPr>
              <w:t>内容</w:t>
            </w:r>
          </w:p>
        </w:tc>
      </w:tr>
      <w:tr>
        <w:tblPrEx>
          <w:tblCellMar>
            <w:top w:w="0" w:type="dxa"/>
            <w:left w:w="108" w:type="dxa"/>
            <w:bottom w:w="0" w:type="dxa"/>
            <w:right w:w="108" w:type="dxa"/>
          </w:tblCellMar>
        </w:tblPrEx>
        <w:tc>
          <w:tcPr>
            <w:tcW w:w="1401" w:type="dxa"/>
            <w:tcBorders>
              <w:top w:val="single" w:color="FFFFFF" w:sz="18" w:space="0"/>
              <w:left w:val="single" w:color="4F81BD" w:sz="8" w:space="0"/>
              <w:bottom w:val="single" w:color="4F81BD" w:sz="8" w:space="0"/>
              <w:right w:val="single" w:color="4F81BD" w:sz="8" w:space="0"/>
            </w:tcBorders>
            <w:shd w:val="clear" w:color="auto" w:fill="B8CCE4"/>
            <w:vAlign w:val="center"/>
          </w:tcPr>
          <w:p>
            <w:pPr>
              <w:pStyle w:val="9"/>
              <w:jc w:val="center"/>
              <w:rPr>
                <w:rFonts w:ascii="Times New Roman" w:hAnsi="Times New Roman" w:cs="Times New Roman"/>
                <w:szCs w:val="21"/>
              </w:rPr>
            </w:pPr>
            <w:r>
              <w:rPr>
                <w:rFonts w:hint="eastAsia" w:ascii="Times New Roman" w:hAnsi="Times New Roman" w:cs="Times New Roman"/>
                <w:szCs w:val="21"/>
              </w:rPr>
              <w:t>2019年1月</w:t>
            </w:r>
          </w:p>
        </w:tc>
        <w:tc>
          <w:tcPr>
            <w:tcW w:w="1870" w:type="dxa"/>
            <w:tcBorders>
              <w:top w:val="single" w:color="FFFFFF" w:sz="18" w:space="0"/>
              <w:left w:val="single" w:color="4F81BD" w:sz="8" w:space="0"/>
              <w:bottom w:val="single" w:color="4F81BD" w:sz="8" w:space="0"/>
              <w:right w:val="single" w:color="4F81BD" w:sz="8" w:space="0"/>
            </w:tcBorders>
            <w:shd w:val="clear" w:color="auto" w:fill="B8CCE4"/>
            <w:vAlign w:val="center"/>
          </w:tcPr>
          <w:p>
            <w:pPr>
              <w:pStyle w:val="9"/>
              <w:jc w:val="center"/>
              <w:rPr>
                <w:rFonts w:ascii="Times New Roman" w:hAnsi="Times New Roman" w:cs="Times New Roman"/>
                <w:szCs w:val="21"/>
              </w:rPr>
            </w:pPr>
            <w:r>
              <w:rPr>
                <w:rFonts w:hint="eastAsia" w:ascii="Times New Roman" w:hAnsi="Times New Roman" w:cs="Times New Roman"/>
                <w:szCs w:val="21"/>
              </w:rPr>
              <w:t>《关于深入开展消费扶贫助力打赢脱贫攻坚战的指导意见》</w:t>
            </w:r>
          </w:p>
        </w:tc>
        <w:tc>
          <w:tcPr>
            <w:tcW w:w="1440" w:type="dxa"/>
            <w:tcBorders>
              <w:top w:val="single" w:color="FFFFFF" w:sz="18" w:space="0"/>
              <w:left w:val="single" w:color="4F81BD" w:sz="8" w:space="0"/>
              <w:bottom w:val="single" w:color="4F81BD" w:sz="8" w:space="0"/>
              <w:right w:val="single" w:color="4F81BD" w:sz="8" w:space="0"/>
            </w:tcBorders>
            <w:shd w:val="clear" w:color="auto" w:fill="B8CCE4"/>
            <w:vAlign w:val="center"/>
          </w:tcPr>
          <w:p>
            <w:pPr>
              <w:pStyle w:val="9"/>
              <w:jc w:val="center"/>
              <w:rPr>
                <w:rFonts w:ascii="Times New Roman" w:hAnsi="Times New Roman" w:cs="Times New Roman"/>
                <w:szCs w:val="21"/>
              </w:rPr>
            </w:pPr>
            <w:r>
              <w:rPr>
                <w:rFonts w:hint="eastAsia" w:ascii="Times New Roman" w:hAnsi="Times New Roman" w:cs="Times New Roman"/>
                <w:szCs w:val="21"/>
              </w:rPr>
              <w:t>国务院办公厅</w:t>
            </w:r>
          </w:p>
        </w:tc>
        <w:tc>
          <w:tcPr>
            <w:tcW w:w="3650" w:type="dxa"/>
            <w:tcBorders>
              <w:top w:val="single" w:color="FFFFFF" w:sz="18" w:space="0"/>
              <w:left w:val="single" w:color="4F81BD" w:sz="8" w:space="0"/>
              <w:bottom w:val="single" w:color="4F81BD" w:sz="8" w:space="0"/>
              <w:right w:val="single" w:color="4F81BD" w:sz="8" w:space="0"/>
            </w:tcBorders>
            <w:shd w:val="clear" w:color="auto" w:fill="B8CCE4"/>
            <w:vAlign w:val="center"/>
          </w:tcPr>
          <w:p>
            <w:pPr>
              <w:pStyle w:val="9"/>
              <w:jc w:val="center"/>
              <w:rPr>
                <w:rFonts w:ascii="Times New Roman" w:hAnsi="Times New Roman" w:cs="Times New Roman"/>
                <w:szCs w:val="21"/>
              </w:rPr>
            </w:pPr>
            <w:r>
              <w:rPr>
                <w:rFonts w:hint="eastAsia" w:ascii="Times New Roman" w:hAnsi="Times New Roman" w:cs="Times New Roman"/>
                <w:szCs w:val="21"/>
              </w:rPr>
              <w:t>文旅消费扶贫。</w:t>
            </w:r>
          </w:p>
        </w:tc>
      </w:tr>
      <w:tr>
        <w:tblPrEx>
          <w:tblCellMar>
            <w:top w:w="0" w:type="dxa"/>
            <w:left w:w="108" w:type="dxa"/>
            <w:bottom w:w="0" w:type="dxa"/>
            <w:right w:w="108" w:type="dxa"/>
          </w:tblCellMar>
        </w:tblPrEx>
        <w:tc>
          <w:tcPr>
            <w:tcW w:w="1401"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9"/>
              <w:jc w:val="center"/>
              <w:rPr>
                <w:rFonts w:ascii="Times New Roman" w:hAnsi="Times New Roman" w:cs="Times New Roman"/>
                <w:szCs w:val="21"/>
              </w:rPr>
            </w:pPr>
            <w:r>
              <w:rPr>
                <w:rFonts w:hint="eastAsia" w:ascii="Times New Roman" w:hAnsi="Times New Roman" w:cs="Times New Roman"/>
                <w:szCs w:val="21"/>
              </w:rPr>
              <w:t>2019年8月</w:t>
            </w:r>
          </w:p>
        </w:tc>
        <w:tc>
          <w:tcPr>
            <w:tcW w:w="1870"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9"/>
              <w:jc w:val="center"/>
              <w:rPr>
                <w:rFonts w:ascii="Times New Roman" w:hAnsi="Times New Roman" w:cs="Times New Roman"/>
                <w:szCs w:val="21"/>
              </w:rPr>
            </w:pPr>
            <w:r>
              <w:rPr>
                <w:rFonts w:hint="eastAsia" w:ascii="Times New Roman" w:hAnsi="Times New Roman" w:cs="Times New Roman"/>
                <w:szCs w:val="21"/>
              </w:rPr>
              <w:t>《关于进一步激发文化和旅游消费潜力的意见》</w:t>
            </w:r>
          </w:p>
        </w:tc>
        <w:tc>
          <w:tcPr>
            <w:tcW w:w="1440"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9"/>
              <w:jc w:val="center"/>
              <w:rPr>
                <w:rFonts w:ascii="Times New Roman" w:hAnsi="Times New Roman" w:cs="Times New Roman"/>
                <w:szCs w:val="21"/>
              </w:rPr>
            </w:pPr>
            <w:r>
              <w:rPr>
                <w:rFonts w:hint="eastAsia" w:ascii="Times New Roman" w:hAnsi="Times New Roman" w:cs="Times New Roman"/>
                <w:szCs w:val="21"/>
              </w:rPr>
              <w:t>国务院办公厅</w:t>
            </w:r>
          </w:p>
        </w:tc>
        <w:tc>
          <w:tcPr>
            <w:tcW w:w="3650"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9"/>
              <w:jc w:val="left"/>
              <w:rPr>
                <w:rFonts w:ascii="Times New Roman" w:hAnsi="Times New Roman" w:cs="Times New Roman"/>
                <w:szCs w:val="21"/>
              </w:rPr>
            </w:pPr>
            <w:r>
              <w:rPr>
                <w:rFonts w:hint="eastAsia" w:ascii="Times New Roman" w:hAnsi="Times New Roman" w:cs="Times New Roman"/>
                <w:szCs w:val="21"/>
              </w:rPr>
              <w:t>顺应文化和旅游消费提质转型升级新趋势，深化文化和旅游领域供给侧结构性改革，提升文化和旅游消费质量水平，不断激发文化和旅游消费潜力，以高质量文化和旅游供给增强人民群众的获得感、幸福感。</w:t>
            </w:r>
          </w:p>
        </w:tc>
      </w:tr>
      <w:tr>
        <w:tblPrEx>
          <w:tblCellMar>
            <w:top w:w="0" w:type="dxa"/>
            <w:left w:w="108" w:type="dxa"/>
            <w:bottom w:w="0" w:type="dxa"/>
            <w:right w:w="108" w:type="dxa"/>
          </w:tblCellMar>
        </w:tblPrEx>
        <w:tc>
          <w:tcPr>
            <w:tcW w:w="1401"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9"/>
              <w:jc w:val="center"/>
              <w:rPr>
                <w:rFonts w:ascii="Times New Roman" w:hAnsi="Times New Roman" w:cs="Times New Roman"/>
                <w:szCs w:val="21"/>
              </w:rPr>
            </w:pPr>
            <w:r>
              <w:rPr>
                <w:rFonts w:hint="eastAsia" w:ascii="Times New Roman" w:hAnsi="Times New Roman" w:cs="Times New Roman"/>
                <w:szCs w:val="21"/>
              </w:rPr>
              <w:t>2019年10月</w:t>
            </w:r>
          </w:p>
        </w:tc>
        <w:tc>
          <w:tcPr>
            <w:tcW w:w="1870"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9"/>
              <w:jc w:val="center"/>
              <w:rPr>
                <w:rFonts w:ascii="Times New Roman" w:hAnsi="Times New Roman" w:cs="Times New Roman"/>
                <w:szCs w:val="21"/>
              </w:rPr>
            </w:pPr>
            <w:r>
              <w:rPr>
                <w:rFonts w:hint="eastAsia" w:ascii="Times New Roman" w:hAnsi="Times New Roman" w:cs="Times New Roman"/>
                <w:szCs w:val="21"/>
              </w:rPr>
              <w:t>《关于培育建设国际消费中心城市的指导意见》</w:t>
            </w:r>
          </w:p>
        </w:tc>
        <w:tc>
          <w:tcPr>
            <w:tcW w:w="1440"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9"/>
              <w:jc w:val="center"/>
              <w:rPr>
                <w:rFonts w:ascii="Times New Roman" w:hAnsi="Times New Roman" w:cs="Times New Roman"/>
                <w:szCs w:val="21"/>
              </w:rPr>
            </w:pPr>
            <w:r>
              <w:rPr>
                <w:rFonts w:hint="eastAsia" w:ascii="Times New Roman" w:hAnsi="Times New Roman" w:cs="Times New Roman"/>
                <w:szCs w:val="21"/>
              </w:rPr>
              <w:t>商务部等14个部委</w:t>
            </w:r>
          </w:p>
        </w:tc>
        <w:tc>
          <w:tcPr>
            <w:tcW w:w="3650"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9"/>
              <w:jc w:val="left"/>
              <w:rPr>
                <w:rFonts w:ascii="Times New Roman" w:hAnsi="Times New Roman" w:cs="Times New Roman"/>
                <w:szCs w:val="21"/>
              </w:rPr>
            </w:pPr>
            <w:r>
              <w:rPr>
                <w:rFonts w:hint="eastAsia" w:ascii="Times New Roman" w:hAnsi="Times New Roman" w:cs="Times New Roman"/>
                <w:szCs w:val="21"/>
              </w:rPr>
              <w:t>推动消费融合创新，打造一批商旅文体联动示范项目；促进传统百货店、大型体育场馆、闲置工业厂区向消费体验中心、休闲娱乐中心、文化时尚中心等新型发展载体转变，促进时尚、创意等文化产业新业态发展。</w:t>
            </w:r>
          </w:p>
        </w:tc>
      </w:tr>
      <w:tr>
        <w:tblPrEx>
          <w:tblCellMar>
            <w:top w:w="0" w:type="dxa"/>
            <w:left w:w="108" w:type="dxa"/>
            <w:bottom w:w="0" w:type="dxa"/>
            <w:right w:w="108" w:type="dxa"/>
          </w:tblCellMar>
        </w:tblPrEx>
        <w:tc>
          <w:tcPr>
            <w:tcW w:w="1401"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9"/>
              <w:jc w:val="center"/>
              <w:rPr>
                <w:rFonts w:ascii="Times New Roman" w:hAnsi="Times New Roman" w:cs="Times New Roman"/>
                <w:szCs w:val="21"/>
              </w:rPr>
            </w:pPr>
            <w:r>
              <w:rPr>
                <w:rFonts w:hint="eastAsia" w:ascii="Times New Roman" w:hAnsi="Times New Roman" w:cs="Times New Roman"/>
                <w:szCs w:val="21"/>
              </w:rPr>
              <w:t>2020年2月</w:t>
            </w:r>
          </w:p>
        </w:tc>
        <w:tc>
          <w:tcPr>
            <w:tcW w:w="1870"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9"/>
              <w:jc w:val="center"/>
              <w:rPr>
                <w:rFonts w:ascii="Times New Roman" w:hAnsi="Times New Roman" w:cs="Times New Roman"/>
                <w:szCs w:val="21"/>
              </w:rPr>
            </w:pPr>
            <w:r>
              <w:rPr>
                <w:rFonts w:hint="eastAsia" w:ascii="Times New Roman" w:hAnsi="Times New Roman" w:cs="Times New Roman"/>
                <w:szCs w:val="21"/>
              </w:rPr>
              <w:t>《关于促进消费扩容提质加快形成强大国内市场的实施意见》</w:t>
            </w:r>
          </w:p>
        </w:tc>
        <w:tc>
          <w:tcPr>
            <w:tcW w:w="1440"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9"/>
              <w:jc w:val="center"/>
              <w:rPr>
                <w:rFonts w:ascii="Times New Roman" w:hAnsi="Times New Roman" w:cs="Times New Roman"/>
                <w:szCs w:val="21"/>
              </w:rPr>
            </w:pPr>
            <w:r>
              <w:rPr>
                <w:rFonts w:hint="eastAsia" w:ascii="Times New Roman" w:hAnsi="Times New Roman" w:cs="Times New Roman"/>
                <w:szCs w:val="21"/>
              </w:rPr>
              <w:t>经国务院、国家发展改革委、中宣部、财政部、商务部等23个部门</w:t>
            </w:r>
          </w:p>
        </w:tc>
        <w:tc>
          <w:tcPr>
            <w:tcW w:w="3650"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9"/>
              <w:jc w:val="left"/>
              <w:rPr>
                <w:rFonts w:ascii="Times New Roman" w:hAnsi="Times New Roman" w:cs="Times New Roman"/>
                <w:szCs w:val="21"/>
              </w:rPr>
            </w:pPr>
            <w:r>
              <w:rPr>
                <w:rFonts w:hint="eastAsia" w:ascii="Times New Roman" w:hAnsi="Times New Roman" w:cs="Times New Roman"/>
                <w:szCs w:val="21"/>
              </w:rPr>
              <w:t>重点推进文旅休闲消费提质升级，丰富特色文化旅游产品，改善入境旅游与购物环境，创新文化旅游宣传推广模式</w:t>
            </w:r>
          </w:p>
        </w:tc>
      </w:tr>
    </w:tbl>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近年来各项国家政策的出台为文化和旅游产业的发展创造了宽松的政策环境和良好的政策机遇。文化和旅游的发展离不开政策的支持和鼓励，因此，只有充分把握机遇，紧跟国家的发展导向，才能在发展的大潮中找到指引前路的明灯。</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自治区层面在全面贯彻国家政策的前提下指出，2020年工作要点中要落实党中央、国务院关于文化和旅游工作的部署要求，以供给侧结构性改革为主线，坚持“宜融则融、能融尽融，以文促旅、以旅彰文”的发展理念，优化产品供给、提升服务品质，加快推动文化和旅游高质量发展，不断实现人民对美好生活的向往。自治区文化和旅游厅要以高质量发展为目标，以融合发展为主线，以改革创新为动力，以党的建设为保障，紧紧围绕提供优秀文化产品、优质旅游产品这一中心环节，扣住全面建成小康社会目标任务，牢牢守住政治底线和安全底线，不断提升治理体系和治理能力现代化水平，努力推动文化和旅游改革发展再上新台阶。</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鄂尔多斯市政府2020年工作报告中指出，紧紧抓住黄河流域生态保护和高质量发展国家战略，以创建国家可持续发展议程创新示范区为总抓手，全面提升全市生态环境保护治理和高质量发展水平，实现美丽与发展双赢目标。面对疫情给文化和旅游业发展带来的巨大冲击，2020年3月，鄂尔多斯市文化和旅游局印发《支持文旅企业健康发展的十条措施》，全面落实国家、自治区及我市统筹疫情防控和恢复经济社会发展秩序的决策部署，全力帮助文旅企业纾困解难，推动鄂尔多斯市文旅健康发展。</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伊金霍洛旗在贯彻落实国家、自治区以及鄂尔多斯市的政策条件下，在2020年</w:t>
      </w:r>
      <w:r>
        <w:rPr>
          <w:rFonts w:hint="eastAsia" w:ascii="Times New Roman" w:hAnsi="Times New Roman" w:cs="Times New Roman"/>
          <w:sz w:val="24"/>
          <w:lang w:eastAsia="zh-CN"/>
        </w:rPr>
        <w:t>政府工作报告</w:t>
      </w:r>
      <w:r>
        <w:rPr>
          <w:rFonts w:hint="eastAsia" w:ascii="Times New Roman" w:hAnsi="Times New Roman" w:cs="Times New Roman"/>
          <w:sz w:val="24"/>
        </w:rPr>
        <w:t>中指出，要以创建自治区全域旅游示范区和民族文化体验旅游目的地为目标，深入挖掘祭祀文化、草原文化、民俗文化内涵，提升“食、宿、行、游、购、娱”全要素品质，推动现代服务业提档升级；并且更加注重满足精神文化需要，推进数字图书馆、文化馆建设，启动乌兰牧骑演艺中心，打造一批优秀文艺作品，加强非物质文化遗产的传承和保护，为群众提供便捷、优质的文化服务。</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综上所述，伊金霍洛旗文化和旅游业的发展面临着良好的政策引导和发展机遇，进一步把握政策机遇，以文旅融合和旅游高质量发展为目标，通过深挖伊金霍洛旗的文化和旅游资源打造一批高质量的旅游景区、景点，同时将文化遗产的保护和传承提到重要位置，是伊金霍洛旗文化和旅游未来的发展方向。</w:t>
      </w:r>
    </w:p>
    <w:p>
      <w:pPr>
        <w:pStyle w:val="5"/>
        <w:ind w:firstLine="482"/>
        <w:rPr>
          <w:rFonts w:ascii="Times New Roman" w:hAnsi="Times New Roman" w:cs="Times New Roman"/>
        </w:rPr>
      </w:pPr>
      <w:r>
        <w:rPr>
          <w:rFonts w:hint="eastAsia" w:ascii="Times New Roman" w:hAnsi="Times New Roman" w:cs="Times New Roman"/>
        </w:rPr>
        <w:t>2.市场机遇</w:t>
      </w:r>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随着全面建成小康社会深入推进，城乡居民收入稳步增长，我国居民消费结构已经进入快速升级时期，并且随着人民群众收入水平大幅提升以及带薪休假制度逐步落实，游客可支配收入和闲暇时间的增加为伊金霍洛旗提供了潜力巨大的旅游消费市场。</w:t>
      </w:r>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伊金霍洛旗高速交通配套体系不断完善，大大拓展了游客出行距离和产业发展空间，加上城市内部交通的发展，公共服务体系的健全，伊金霍洛旗文化和旅游业发展的配套支撑体系不断完善，各种发展大众旅游的条件正在成熟，发展基础逐步稳固，将为全旗文化和旅游行业的发展提供更加稳固的客源市场基础。</w:t>
      </w:r>
    </w:p>
    <w:p>
      <w:pPr>
        <w:pStyle w:val="5"/>
        <w:ind w:firstLine="482"/>
        <w:rPr>
          <w:rFonts w:ascii="Times New Roman" w:hAnsi="Times New Roman" w:cs="Times New Roman"/>
        </w:rPr>
      </w:pPr>
      <w:r>
        <w:rPr>
          <w:rFonts w:hint="eastAsia" w:ascii="Times New Roman" w:hAnsi="Times New Roman" w:cs="Times New Roman"/>
        </w:rPr>
        <w:t>3.产业机遇</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中共中央、国务院印发《关于新时代推进西部大开发形成新格局的指导意见》，从六大方面推出36项举措，在产业扶持、用地指标、金融资本、财政补贴等方面给予西部旅游发展政策倾斜，为伊金霍洛旗文化旅游产业的升级转型提供了政策和发展机遇。其中产业扶持中指出支持西部地区发挥生态、民族民俗、边境风光等优势，深化旅游资源开放、信息共享、行业监管、公共服务、旅游安全、标准化服务等方面国际合作，提升旅游服务水平。依托风景名胜区、边境旅游试验区等，大力发展旅游休闲、健康养生等服务业，打造区域重要支柱产业。积极发展大数据、人工智能和“智能+”产业，大力发展工业互联网。推动“互联网+教育”、“互联网+医疗”、“互联网+旅游”等新业态发展，推进网络提速降费，加快发展跨境电子商务。以建设美丽宜居村庄为目标，加强农村人居环境和综合服务设施建设。在加强保护基础上盘活农村历史文化资源，形成具有地域和民族特色的乡村文化产业和品牌。</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文化旅游业作为惠民生的重要产业，逐渐成为改善民生的重要内容，将推动各级政府更加重视文化旅游业发展，促进文化和旅游产业升级，带动企业、居民等积极参与文化旅游发展，进一步优化文化旅游产业发展环境。</w:t>
      </w:r>
    </w:p>
    <w:p>
      <w:pPr>
        <w:pStyle w:val="4"/>
        <w:ind w:firstLine="480"/>
        <w:rPr>
          <w:rFonts w:ascii="Times New Roman" w:hAnsi="Times New Roman" w:cs="Times New Roman"/>
        </w:rPr>
      </w:pPr>
      <w:bookmarkStart w:id="68" w:name="_Toc16527"/>
      <w:bookmarkStart w:id="69" w:name="_Toc17071"/>
      <w:bookmarkStart w:id="70" w:name="_Toc13732"/>
      <w:bookmarkStart w:id="71" w:name="_Toc24605"/>
      <w:bookmarkStart w:id="72" w:name="_Toc1838"/>
      <w:r>
        <w:rPr>
          <w:rFonts w:hint="eastAsia" w:ascii="Times New Roman" w:hAnsi="Times New Roman" w:cs="Times New Roman"/>
        </w:rPr>
        <w:t>（二）面临挑战</w:t>
      </w:r>
      <w:bookmarkEnd w:id="68"/>
      <w:bookmarkEnd w:id="69"/>
      <w:bookmarkEnd w:id="70"/>
      <w:bookmarkEnd w:id="71"/>
      <w:bookmarkEnd w:id="72"/>
    </w:p>
    <w:p>
      <w:pPr>
        <w:pStyle w:val="5"/>
        <w:ind w:firstLine="482"/>
        <w:rPr>
          <w:rFonts w:ascii="Times New Roman" w:hAnsi="Times New Roman" w:cs="Times New Roman" w:eastAsiaTheme="minorEastAsia"/>
        </w:rPr>
      </w:pPr>
      <w:r>
        <w:rPr>
          <w:rFonts w:hint="eastAsia" w:ascii="Times New Roman" w:hAnsi="Times New Roman" w:cs="Times New Roman" w:eastAsiaTheme="minorEastAsia"/>
        </w:rPr>
        <w:t>1.全球经济局势严峻</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新冠肺炎疫情的全球大流行在需求侧和供给侧同时对全球经济造成巨大冲击。以人的移动和一定程度</w:t>
      </w:r>
      <w:r>
        <w:rPr>
          <w:rFonts w:hint="eastAsia" w:ascii="Times New Roman" w:hAnsi="Times New Roman" w:cs="Times New Roman"/>
          <w:sz w:val="24"/>
          <w:lang w:eastAsia="zh-CN"/>
        </w:rPr>
        <w:t>地聚集</w:t>
      </w:r>
      <w:r>
        <w:rPr>
          <w:rFonts w:hint="eastAsia" w:ascii="Times New Roman" w:hAnsi="Times New Roman" w:cs="Times New Roman"/>
          <w:sz w:val="24"/>
        </w:rPr>
        <w:t>为特征的旅游业，则面临近代旅游业诞生以来最为严重的一次冲击。就我国而言，旅游业也面临巨大挑战。全球的经济衰退以及收入降低引发旅游业复苏乏力，旅游行业中，大多数企业是中小型企业，如餐饮、住宿、旅行社、航空、旅游景区等，抗风险能力弱，容易受到大经济环境的冲击，但是疫情并不会改变旅游业长期向好的趋势。旅游行业限于时间、空间的约束性，业务损失很难通过延时方式来弥补。疫情结束后，市场会有一个心理缓冲期，旅游需求难以快速爆发性增长，且为了巩固疫情防控成果，市场启动问题仍需被谨慎对待。政府要引导企业树立底线思维、积极思维，密切关注中央应对疫情工作领导小组及联防联控机制新闻发布会相关消息，适应疫情对人们消费心理的影响，增加相关检测设施与防疫举措，并对员工进行相关知识培训，为积极应对挑战寻求发展思路。</w:t>
      </w:r>
    </w:p>
    <w:p>
      <w:pPr>
        <w:pStyle w:val="5"/>
        <w:ind w:firstLine="482"/>
        <w:rPr>
          <w:rFonts w:ascii="Times New Roman" w:hAnsi="Times New Roman" w:cs="Times New Roman" w:eastAsiaTheme="minorEastAsia"/>
        </w:rPr>
      </w:pPr>
      <w:r>
        <w:rPr>
          <w:rFonts w:hint="eastAsia" w:ascii="Times New Roman" w:hAnsi="Times New Roman" w:cs="Times New Roman" w:eastAsiaTheme="minorEastAsia"/>
        </w:rPr>
        <w:t>2.文化旅游需求升级挑战</w:t>
      </w:r>
    </w:p>
    <w:p>
      <w:pPr>
        <w:spacing w:line="360" w:lineRule="auto"/>
        <w:ind w:firstLine="480" w:firstLineChars="200"/>
        <w:rPr>
          <w:rFonts w:ascii="Times New Roman" w:hAnsi="Times New Roman" w:cs="Times New Roman"/>
          <w:b/>
          <w:bCs/>
          <w:sz w:val="24"/>
        </w:rPr>
      </w:pPr>
      <w:r>
        <w:rPr>
          <w:rFonts w:hint="eastAsia" w:ascii="Times New Roman" w:hAnsi="Times New Roman" w:cs="Times New Roman"/>
          <w:sz w:val="24"/>
        </w:rPr>
        <w:t>需求升级带来的产业体系升级挑战。随着旅游市场全面化、需求品质化、游客需求休闲体验常态化等趋势的转变，旅游者对旅游产品和旅游服务的质量要求进一步提高，面对旅游需求的转变，简单的旅游模式、传统的旅游业态、粗糙的旅游服务和不完善的配套设施已经难以满足游客新的消费需求。因此，积极创新旅游产品、升级旅游产业体系、提高旅游服务质量是应对需求转变挑战的重要途径之一。</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休闲活动生活化带来的矛盾升级挑战。伴随旅游休闲活动的常态化及生活化，游客在与目的地居民共享生活空间的同时，可能对目的地居民造成不便或者困扰，如目的地居民生活空间的侵占、交通拥挤、生活资源占用、环境破坏等，从而导致二者之间的摩擦，因此，需时刻保持警惕，协调各利益相关者之间的利益，共创良好的文化旅游发展大环境。</w:t>
      </w:r>
    </w:p>
    <w:p>
      <w:pPr>
        <w:pStyle w:val="5"/>
        <w:ind w:firstLine="482"/>
        <w:rPr>
          <w:rFonts w:ascii="Times New Roman" w:hAnsi="Times New Roman" w:cs="Times New Roman" w:eastAsiaTheme="minorEastAsia"/>
        </w:rPr>
      </w:pPr>
      <w:r>
        <w:rPr>
          <w:rFonts w:hint="eastAsia" w:ascii="Times New Roman" w:hAnsi="Times New Roman" w:cs="Times New Roman" w:eastAsiaTheme="minorEastAsia"/>
        </w:rPr>
        <w:t>3.公共安全挑战</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在新冠肺炎疫情的“大考”中，群众的公共安全意识大大提升，对于安全的诉求也越来越强烈。由于旅游的异地性往往会导致人群的移动和聚集，如何在发展文化和旅游业的同时保障公共安全将会是今后文化和旅游发展的高度关注点。以旅游为目的的流动已经成为目前中国人口流动的重要组成部分，这种流动性背后所带来的社会治理效应和管控治理难题日渐成为常态。因此，亟需构建基于突发公共卫生事件的现代旅游治理体系，多方共建，实现文旅安全健康发展。</w:t>
      </w:r>
    </w:p>
    <w:p>
      <w:pPr>
        <w:pStyle w:val="5"/>
        <w:numPr>
          <w:ilvl w:val="0"/>
          <w:numId w:val="1"/>
        </w:numPr>
        <w:ind w:firstLine="482"/>
        <w:rPr>
          <w:rFonts w:ascii="Times New Roman" w:hAnsi="Times New Roman" w:cs="Times New Roman" w:eastAsiaTheme="minorEastAsia"/>
        </w:rPr>
      </w:pPr>
      <w:r>
        <w:rPr>
          <w:rFonts w:hint="eastAsia" w:ascii="Times New Roman" w:hAnsi="Times New Roman" w:cs="Times New Roman" w:eastAsiaTheme="minorEastAsia"/>
        </w:rPr>
        <w:t>区域竞争挑战</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国内各种旅游新兴业态层出不穷，旅游业竞争愈演愈烈，给伊金霍洛旗旅游业态创新增加了困难；目前，“游在伊金霍洛旗、吃在康巴什、住在东胜”几乎成为一种市场趋向，特别是在特色小吃、住宿方面与康巴什、东胜的差距较大，区域竞争较大；临近响沙湾景区，受响沙湾阴影效应影响，客源和市场竞争较大；受周边呼和浩特、榆林、西安等旅游城市的影响，对伊金霍洛旗旅游客源市场的扩展以及旅游产业体系的升级提出了较高的要求。</w:t>
      </w:r>
    </w:p>
    <w:p>
      <w:pPr>
        <w:rPr>
          <w:rFonts w:ascii="Times New Roman" w:hAnsi="Times New Roman" w:cs="Times New Roman"/>
        </w:rPr>
      </w:pPr>
    </w:p>
    <w:p>
      <w:pPr>
        <w:rPr>
          <w:rFonts w:ascii="Times New Roman" w:hAnsi="Times New Roman" w:cs="Times New Roman"/>
          <w:sz w:val="24"/>
        </w:rPr>
      </w:pPr>
      <w:r>
        <w:rPr>
          <w:rFonts w:hint="eastAsia" w:ascii="Times New Roman" w:hAnsi="Times New Roman" w:cs="Times New Roman"/>
          <w:sz w:val="24"/>
        </w:rPr>
        <w:br w:type="page"/>
      </w:r>
    </w:p>
    <w:p>
      <w:pPr>
        <w:pStyle w:val="2"/>
        <w:ind w:firstLine="321" w:firstLineChars="100"/>
        <w:rPr>
          <w:rFonts w:ascii="Times New Roman" w:hAnsi="Times New Roman" w:cs="Times New Roman" w:eastAsiaTheme="minorEastAsia"/>
        </w:rPr>
      </w:pPr>
      <w:bookmarkStart w:id="73" w:name="_Toc31308"/>
      <w:bookmarkStart w:id="74" w:name="_Toc4040"/>
      <w:r>
        <w:rPr>
          <w:rFonts w:hint="eastAsia" w:ascii="Times New Roman" w:hAnsi="Times New Roman" w:cs="Times New Roman" w:eastAsiaTheme="minorEastAsia"/>
        </w:rPr>
        <w:t>第二章 鸿业远图，明确“十四五”文旅发展目标</w:t>
      </w:r>
      <w:bookmarkEnd w:id="73"/>
      <w:bookmarkEnd w:id="74"/>
    </w:p>
    <w:p>
      <w:pPr>
        <w:pStyle w:val="3"/>
        <w:ind w:firstLine="560" w:firstLineChars="200"/>
        <w:rPr>
          <w:rFonts w:ascii="Times New Roman" w:hAnsi="Times New Roman" w:cs="Times New Roman"/>
        </w:rPr>
      </w:pPr>
      <w:bookmarkStart w:id="75" w:name="_Toc15255"/>
      <w:r>
        <w:rPr>
          <w:rFonts w:hint="eastAsia" w:ascii="Times New Roman" w:hAnsi="Times New Roman" w:cs="Times New Roman"/>
        </w:rPr>
        <w:t>一、指导思想</w:t>
      </w:r>
      <w:bookmarkEnd w:id="75"/>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高举中国特色社会主义伟大旗帜，坚持以习近平新时代中国特色社会主义思想为指导，</w:t>
      </w:r>
      <w:r>
        <w:rPr>
          <w:rFonts w:hint="eastAsia" w:ascii="Times New Roman" w:hAnsi="Times New Roman" w:cs="Times New Roman"/>
          <w:color w:val="auto"/>
          <w:sz w:val="24"/>
          <w:highlight w:val="none"/>
        </w:rPr>
        <w:t>深入贯彻党的</w:t>
      </w:r>
      <w:r>
        <w:rPr>
          <w:rFonts w:hint="eastAsia" w:ascii="Times New Roman" w:hAnsi="Times New Roman" w:cs="Times New Roman"/>
          <w:color w:val="auto"/>
          <w:sz w:val="24"/>
          <w:highlight w:val="none"/>
          <w:lang w:eastAsia="zh-CN"/>
        </w:rPr>
        <w:t>二十大</w:t>
      </w:r>
      <w:r>
        <w:rPr>
          <w:rFonts w:hint="eastAsia" w:ascii="Times New Roman" w:hAnsi="Times New Roman" w:cs="Times New Roman"/>
          <w:color w:val="auto"/>
          <w:sz w:val="24"/>
          <w:highlight w:val="none"/>
        </w:rPr>
        <w:t>精神</w:t>
      </w:r>
      <w:r>
        <w:rPr>
          <w:rFonts w:hint="eastAsia" w:ascii="Times New Roman" w:hAnsi="Times New Roman" w:cs="Times New Roman"/>
          <w:sz w:val="24"/>
        </w:rPr>
        <w:t>，全面落实习近平总书记对内蒙古重要讲话重要指示批示精神，完整、准确、全面贯彻新发展理念，以推动高质量发展为主题，以深化供给侧结构性改革为主线，以满足人民日益增长的美好生活需要为根本目的，立足“两个屏障”“两个基地”和“一个桥头堡”的战略定位，坚定不移走以生态优先、绿色发展为导向的高质量发展新路子</w:t>
      </w:r>
      <w:r>
        <w:rPr>
          <w:rFonts w:hint="eastAsia" w:ascii="Times New Roman" w:hAnsi="Times New Roman" w:cs="Times New Roman"/>
          <w:sz w:val="24"/>
          <w:lang w:eastAsia="zh-CN"/>
        </w:rPr>
        <w:t>，</w:t>
      </w:r>
      <w:r>
        <w:rPr>
          <w:rFonts w:hint="eastAsia" w:ascii="Times New Roman" w:hAnsi="Times New Roman" w:cs="Times New Roman"/>
          <w:sz w:val="24"/>
        </w:rPr>
        <w:t>进一步优化文化旅游空间布局，创新文化旅游发展业态，强化文化旅游项目建设，完善文化旅游公共设施，推动文化旅游产业融合，创新文化旅游营销手段，开拓文化旅游发展新思路、新方向，把伊金霍洛旗打造成为国内知名全域生态文化旅游目的地。</w:t>
      </w:r>
    </w:p>
    <w:p>
      <w:pPr>
        <w:pStyle w:val="3"/>
        <w:ind w:firstLine="560" w:firstLineChars="200"/>
        <w:rPr>
          <w:rFonts w:ascii="Times New Roman" w:hAnsi="Times New Roman" w:cs="Times New Roman"/>
        </w:rPr>
      </w:pPr>
      <w:bookmarkStart w:id="76" w:name="_Toc16290"/>
      <w:r>
        <w:rPr>
          <w:rFonts w:hint="eastAsia" w:ascii="Times New Roman" w:hAnsi="Times New Roman" w:cs="Times New Roman"/>
        </w:rPr>
        <w:t>二、基本原则</w:t>
      </w:r>
      <w:bookmarkEnd w:id="76"/>
    </w:p>
    <w:p>
      <w:pPr>
        <w:pStyle w:val="4"/>
        <w:ind w:firstLine="480"/>
        <w:rPr>
          <w:rFonts w:ascii="Times New Roman" w:hAnsi="Times New Roman" w:cs="Times New Roman"/>
        </w:rPr>
      </w:pPr>
      <w:bookmarkStart w:id="77" w:name="_Toc30400"/>
      <w:bookmarkStart w:id="78" w:name="_Toc15024"/>
      <w:bookmarkStart w:id="79" w:name="_Toc9025"/>
      <w:bookmarkStart w:id="80" w:name="_Toc32581"/>
      <w:bookmarkStart w:id="81" w:name="_Toc2498"/>
      <w:r>
        <w:rPr>
          <w:rFonts w:hint="eastAsia" w:ascii="Times New Roman" w:hAnsi="Times New Roman" w:cs="Times New Roman"/>
        </w:rPr>
        <w:t>（一）文旅融合原则</w:t>
      </w:r>
      <w:bookmarkEnd w:id="77"/>
      <w:bookmarkEnd w:id="78"/>
      <w:bookmarkEnd w:id="79"/>
      <w:bookmarkEnd w:id="80"/>
      <w:bookmarkEnd w:id="81"/>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文旅融合是文化和旅游发展客观需要和必然趋势，文化是旅游的灵魂，旅游是文化的载体；文化与旅游融合，文化可以走向“远方”，旅游也会更有“诗意”。要遵循新的发展理念和“宜融则融，能融尽融，以文促旅，以旅彰文”的工作思路，积极探索文旅融合发展新途径，建立文旅融合发展新格局。</w:t>
      </w:r>
    </w:p>
    <w:p>
      <w:pPr>
        <w:pStyle w:val="4"/>
        <w:ind w:firstLine="480"/>
        <w:rPr>
          <w:rFonts w:ascii="Times New Roman" w:hAnsi="Times New Roman" w:cs="Times New Roman"/>
        </w:rPr>
      </w:pPr>
      <w:bookmarkStart w:id="82" w:name="_Toc1663"/>
      <w:bookmarkStart w:id="83" w:name="_Toc19506"/>
      <w:bookmarkStart w:id="84" w:name="_Toc22313"/>
      <w:bookmarkStart w:id="85" w:name="_Toc31145"/>
      <w:bookmarkStart w:id="86" w:name="_Toc26529"/>
      <w:r>
        <w:rPr>
          <w:rFonts w:hint="eastAsia" w:ascii="Times New Roman" w:hAnsi="Times New Roman" w:cs="Times New Roman"/>
        </w:rPr>
        <w:t>（二）生态优先原则</w:t>
      </w:r>
      <w:bookmarkEnd w:id="82"/>
      <w:bookmarkEnd w:id="83"/>
      <w:bookmarkEnd w:id="84"/>
      <w:bookmarkEnd w:id="85"/>
      <w:bookmarkEnd w:id="86"/>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践行绿水青山就是金山银山的理念，注重开发与保护并举，统筹考虑资源环境承载能力和发展潜力，加强对生态环境和特色风貌的保护，强化有序开发、合理布局，避免急功近利、盲目发展。 </w:t>
      </w:r>
    </w:p>
    <w:p>
      <w:pPr>
        <w:pStyle w:val="4"/>
        <w:ind w:firstLine="480"/>
        <w:rPr>
          <w:rFonts w:ascii="Times New Roman" w:hAnsi="Times New Roman" w:cs="Times New Roman"/>
        </w:rPr>
      </w:pPr>
      <w:bookmarkStart w:id="87" w:name="_Toc9227"/>
      <w:bookmarkStart w:id="88" w:name="_Toc12101"/>
      <w:bookmarkStart w:id="89" w:name="_Toc8267"/>
      <w:bookmarkStart w:id="90" w:name="_Toc23476"/>
      <w:bookmarkStart w:id="91" w:name="_Toc11428"/>
      <w:bookmarkStart w:id="92" w:name="_Toc22603"/>
      <w:r>
        <w:rPr>
          <w:rFonts w:hint="eastAsia" w:ascii="Times New Roman" w:hAnsi="Times New Roman" w:cs="Times New Roman"/>
        </w:rPr>
        <w:t>（三）因地制宜原则</w:t>
      </w:r>
      <w:bookmarkEnd w:id="87"/>
      <w:bookmarkEnd w:id="88"/>
      <w:bookmarkEnd w:id="89"/>
      <w:bookmarkEnd w:id="90"/>
      <w:bookmarkEnd w:id="91"/>
      <w:bookmarkEnd w:id="92"/>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根据区域特点和资源禀赋，以市场为导向，因地制宜，科学规划，积极开发特色化、差异化、多样化的文化旅游产品，防止大拆大建、千村一面和城市化翻版、简单化复制，避免低水平同质化竞争。 </w:t>
      </w:r>
    </w:p>
    <w:p>
      <w:pPr>
        <w:pStyle w:val="4"/>
        <w:ind w:firstLine="480"/>
        <w:rPr>
          <w:rFonts w:ascii="Times New Roman" w:hAnsi="Times New Roman" w:cs="Times New Roman"/>
        </w:rPr>
      </w:pPr>
      <w:bookmarkStart w:id="93" w:name="_Toc24030"/>
      <w:bookmarkStart w:id="94" w:name="_Toc19041"/>
      <w:bookmarkStart w:id="95" w:name="_Toc4287"/>
      <w:bookmarkStart w:id="96" w:name="_Toc23306"/>
      <w:bookmarkStart w:id="97" w:name="_Toc28649"/>
      <w:r>
        <w:rPr>
          <w:rFonts w:hint="eastAsia" w:ascii="Times New Roman" w:hAnsi="Times New Roman" w:cs="Times New Roman"/>
        </w:rPr>
        <w:t>（四）全域统筹原则</w:t>
      </w:r>
      <w:bookmarkEnd w:id="93"/>
      <w:bookmarkEnd w:id="94"/>
      <w:bookmarkEnd w:id="95"/>
      <w:bookmarkEnd w:id="96"/>
      <w:bookmarkEnd w:id="97"/>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整合资源，部门联动，统筹推进，加快文化旅游与农牧业、教育、科技、体育、健康、养老、文化创意、文物保护等领域深度融合，培育文化旅游新产品新业态新模式，推进一、二、三产业融合发展，打造“全景伊金霍洛”。</w:t>
      </w:r>
    </w:p>
    <w:p>
      <w:pPr>
        <w:pStyle w:val="4"/>
        <w:ind w:firstLine="480"/>
        <w:rPr>
          <w:rFonts w:ascii="Times New Roman" w:hAnsi="Times New Roman" w:cs="Times New Roman"/>
        </w:rPr>
      </w:pPr>
      <w:bookmarkStart w:id="98" w:name="_Toc17307"/>
      <w:bookmarkStart w:id="99" w:name="_Toc30652"/>
      <w:bookmarkStart w:id="100" w:name="_Toc20171"/>
      <w:bookmarkStart w:id="101" w:name="_Toc17759"/>
      <w:bookmarkStart w:id="102" w:name="_Toc29292"/>
      <w:r>
        <w:rPr>
          <w:rFonts w:hint="eastAsia" w:ascii="Times New Roman" w:hAnsi="Times New Roman" w:cs="Times New Roman"/>
        </w:rPr>
        <w:t>（五）市场导向原则</w:t>
      </w:r>
      <w:bookmarkEnd w:id="98"/>
      <w:bookmarkEnd w:id="99"/>
      <w:bookmarkEnd w:id="100"/>
      <w:bookmarkEnd w:id="101"/>
      <w:bookmarkEnd w:id="102"/>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通过分析市场主体与潜在游客的行为特征，以市场需求为导向，坚持以游客为中心的产品建设理念，把握市场现状和发展趋势，深入研究游客需求，适度超前，引导消费，促进文化旅游产品体系的良性发展和有效提升。</w:t>
      </w:r>
    </w:p>
    <w:p>
      <w:pPr>
        <w:pStyle w:val="4"/>
        <w:ind w:firstLine="480"/>
        <w:rPr>
          <w:rFonts w:ascii="Times New Roman" w:hAnsi="Times New Roman" w:cs="Times New Roman"/>
        </w:rPr>
      </w:pPr>
      <w:bookmarkStart w:id="103" w:name="_Toc31511"/>
      <w:bookmarkStart w:id="104" w:name="_Toc24487"/>
      <w:bookmarkStart w:id="105" w:name="_Toc28945"/>
      <w:bookmarkStart w:id="106" w:name="_Toc30582"/>
      <w:bookmarkStart w:id="107" w:name="_Toc21298"/>
      <w:r>
        <w:rPr>
          <w:rFonts w:hint="eastAsia" w:ascii="Times New Roman" w:hAnsi="Times New Roman" w:cs="Times New Roman"/>
        </w:rPr>
        <w:t>（六）科技创新原则</w:t>
      </w:r>
      <w:bookmarkEnd w:id="103"/>
      <w:bookmarkEnd w:id="104"/>
      <w:bookmarkEnd w:id="105"/>
      <w:bookmarkEnd w:id="106"/>
      <w:bookmarkEnd w:id="107"/>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信息技术革命将催生全新的智慧景区和智慧服务，新技术也为文化产业创造了层出不穷的新玩法，催生更多的文化消费场景，刺激文化消费。</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十四五”必将是智慧旅游发展的五年，文化旅游业随着信息技术的升级将步入新的发展模式。“十四五”文化旅游发展期间，将先进信息技术运用到文化旅游发展中，以科技创新为基础，覆盖产业规划到开发的全过程，从而更有效的符合时代诉求。</w:t>
      </w:r>
    </w:p>
    <w:p>
      <w:pPr>
        <w:pStyle w:val="3"/>
        <w:ind w:firstLine="560" w:firstLineChars="200"/>
        <w:rPr>
          <w:rFonts w:ascii="Times New Roman" w:hAnsi="Times New Roman" w:cs="Times New Roman"/>
        </w:rPr>
      </w:pPr>
      <w:bookmarkStart w:id="108" w:name="_Toc24167"/>
      <w:r>
        <w:rPr>
          <w:rFonts w:hint="eastAsia" w:ascii="Times New Roman" w:hAnsi="Times New Roman" w:cs="Times New Roman"/>
        </w:rPr>
        <w:t>三、目标定位</w:t>
      </w:r>
      <w:bookmarkEnd w:id="108"/>
    </w:p>
    <w:p>
      <w:pPr>
        <w:pStyle w:val="4"/>
        <w:ind w:firstLine="480"/>
        <w:rPr>
          <w:rFonts w:ascii="Times New Roman" w:hAnsi="Times New Roman" w:cs="Times New Roman"/>
        </w:rPr>
      </w:pPr>
      <w:bookmarkStart w:id="109" w:name="_Toc18298"/>
      <w:bookmarkStart w:id="110" w:name="_Toc25863"/>
      <w:bookmarkStart w:id="111" w:name="_Toc11531"/>
      <w:bookmarkStart w:id="112" w:name="_Toc23160"/>
      <w:bookmarkStart w:id="113" w:name="_Toc10648"/>
      <w:r>
        <w:rPr>
          <w:rFonts w:hint="eastAsia" w:ascii="Times New Roman" w:hAnsi="Times New Roman" w:cs="Times New Roman"/>
        </w:rPr>
        <w:t>（一）总体目标</w:t>
      </w:r>
      <w:bookmarkEnd w:id="109"/>
      <w:bookmarkEnd w:id="110"/>
      <w:bookmarkEnd w:id="111"/>
      <w:bookmarkEnd w:id="112"/>
      <w:bookmarkEnd w:id="113"/>
    </w:p>
    <w:p>
      <w:pPr>
        <w:spacing w:line="360" w:lineRule="auto"/>
        <w:ind w:firstLine="787" w:firstLineChars="196"/>
        <w:jc w:val="center"/>
        <w:rPr>
          <w:rFonts w:ascii="Times New Roman" w:hAnsi="Times New Roman" w:cs="Times New Roman"/>
          <w:b/>
          <w:bCs/>
          <w:sz w:val="40"/>
        </w:rPr>
      </w:pPr>
      <w:bookmarkStart w:id="114" w:name="_Toc29244"/>
    </w:p>
    <w:p>
      <w:pPr>
        <w:spacing w:line="360" w:lineRule="auto"/>
        <w:jc w:val="center"/>
        <w:rPr>
          <w:rFonts w:ascii="Times New Roman" w:hAnsi="Times New Roman" w:cs="Times New Roman"/>
          <w:b/>
          <w:bCs/>
          <w:sz w:val="40"/>
        </w:rPr>
      </w:pPr>
      <w:r>
        <w:rPr>
          <w:rFonts w:hint="eastAsia" w:ascii="Times New Roman" w:hAnsi="Times New Roman" w:cs="Times New Roman"/>
          <w:b/>
          <w:bCs/>
          <w:sz w:val="40"/>
        </w:rPr>
        <w:t>国内知名全域生态文化旅游目的地</w:t>
      </w:r>
      <w:bookmarkEnd w:id="114"/>
    </w:p>
    <w:p>
      <w:pPr>
        <w:spacing w:line="360" w:lineRule="auto"/>
        <w:ind w:firstLine="470" w:firstLineChars="196"/>
        <w:rPr>
          <w:rFonts w:ascii="Times New Roman" w:hAnsi="Times New Roman" w:cs="Times New Roman"/>
          <w:sz w:val="24"/>
        </w:rPr>
      </w:pPr>
    </w:p>
    <w:p>
      <w:pPr>
        <w:spacing w:line="360" w:lineRule="auto"/>
        <w:ind w:firstLine="470" w:firstLineChars="196"/>
        <w:rPr>
          <w:rFonts w:ascii="Times New Roman" w:hAnsi="Times New Roman" w:cs="Times New Roman"/>
          <w:sz w:val="24"/>
        </w:rPr>
      </w:pPr>
      <w:r>
        <w:rPr>
          <w:rFonts w:hint="eastAsia" w:ascii="Times New Roman" w:hAnsi="Times New Roman" w:cs="Times New Roman"/>
          <w:sz w:val="24"/>
        </w:rPr>
        <w:t>积极推进伊金霍洛旗文化旅游业由观光向休闲度假转变，由数量向质量转变，由粗放向集约转变，将伊金霍洛旗建成文化特色突出、产业结构合理、文化旅游产品丰富、服务设施完善、服务质量优良、市场安全有序的国内知名全域生态文化旅游目的地。</w:t>
      </w:r>
    </w:p>
    <w:p>
      <w:pPr>
        <w:pStyle w:val="4"/>
        <w:ind w:firstLine="480"/>
        <w:rPr>
          <w:rFonts w:ascii="Times New Roman" w:hAnsi="Times New Roman" w:cs="Times New Roman"/>
        </w:rPr>
      </w:pPr>
      <w:bookmarkStart w:id="115" w:name="_Toc1377"/>
      <w:bookmarkStart w:id="116" w:name="_Toc11267"/>
      <w:bookmarkStart w:id="117" w:name="_Toc17280"/>
      <w:bookmarkStart w:id="118" w:name="_Toc9447"/>
      <w:bookmarkStart w:id="119" w:name="_Toc3672"/>
      <w:r>
        <w:rPr>
          <w:rFonts w:hint="eastAsia" w:ascii="Times New Roman" w:hAnsi="Times New Roman" w:cs="Times New Roman"/>
        </w:rPr>
        <w:t>（二）经济目标</w:t>
      </w:r>
      <w:bookmarkEnd w:id="115"/>
      <w:bookmarkEnd w:id="116"/>
      <w:bookmarkEnd w:id="117"/>
      <w:bookmarkEnd w:id="118"/>
      <w:bookmarkEnd w:id="119"/>
    </w:p>
    <w:p>
      <w:pPr>
        <w:spacing w:line="360" w:lineRule="auto"/>
        <w:ind w:firstLine="470" w:firstLineChars="196"/>
        <w:rPr>
          <w:rFonts w:ascii="Times New Roman" w:hAnsi="Times New Roman" w:cs="Times New Roman"/>
          <w:sz w:val="24"/>
        </w:rPr>
      </w:pPr>
      <w:r>
        <w:rPr>
          <w:rFonts w:hint="eastAsia" w:ascii="Times New Roman" w:hAnsi="Times New Roman" w:cs="Times New Roman"/>
          <w:sz w:val="24"/>
        </w:rPr>
        <w:t xml:space="preserve">  “十三五”期间，全旗累计接待旅游者人数达到1827.63万人次，年均增长10.3%；累计文化旅游业总收入202.93亿元，年均增长7.18%。“十四五”期间，力争全旗接待国内外旅游者总量累计突破2140万人次，年均增长12%以上；文化旅游业总收入累计突破213亿元，年均增长12%以上。</w:t>
      </w:r>
    </w:p>
    <w:p>
      <w:pPr>
        <w:pStyle w:val="9"/>
        <w:spacing w:line="360" w:lineRule="auto"/>
        <w:ind w:firstLine="2108" w:firstLineChars="1000"/>
        <w:rPr>
          <w:rFonts w:ascii="Times New Roman" w:hAnsi="Times New Roman" w:cs="Times New Roman"/>
        </w:rPr>
      </w:pPr>
      <w:r>
        <w:rPr>
          <w:rFonts w:hint="eastAsia" w:ascii="Times New Roman" w:hAnsi="Times New Roman" w:cs="Times New Roman"/>
          <w:b/>
          <w:bCs/>
        </w:rPr>
        <w:t>表2-1  伊金霍洛旗“十四五”文化旅游经济目标</w:t>
      </w:r>
      <w:r>
        <w:rPr>
          <w:rFonts w:hint="eastAsia" w:ascii="Times New Roman" w:hAnsi="Times New Roman" w:cs="Times New Roman"/>
        </w:rPr>
        <w:t xml:space="preserve"> </w:t>
      </w:r>
    </w:p>
    <w:tbl>
      <w:tblPr>
        <w:tblStyle w:val="17"/>
        <w:tblW w:w="4998" w:type="pct"/>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autofit"/>
        <w:tblCellMar>
          <w:top w:w="0" w:type="dxa"/>
          <w:left w:w="0" w:type="dxa"/>
          <w:bottom w:w="0" w:type="dxa"/>
          <w:right w:w="0" w:type="dxa"/>
        </w:tblCellMar>
      </w:tblPr>
      <w:tblGrid>
        <w:gridCol w:w="4741"/>
        <w:gridCol w:w="1414"/>
        <w:gridCol w:w="2364"/>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jc w:val="center"/>
        </w:trPr>
        <w:tc>
          <w:tcPr>
            <w:tcW w:w="2782" w:type="pct"/>
            <w:vMerge w:val="restart"/>
            <w:tcBorders>
              <w:top w:val="single" w:color="FFFFFF" w:sz="18" w:space="0"/>
              <w:left w:val="single" w:color="4F81BD" w:sz="8" w:space="0"/>
              <w:bottom w:val="single" w:color="4F81BD" w:sz="8" w:space="0"/>
              <w:right w:val="single" w:color="4F81BD" w:sz="8" w:space="0"/>
              <w:tl2br w:val="nil"/>
              <w:tr2bl w:val="nil"/>
            </w:tcBorders>
            <w:shd w:val="clear" w:color="auto" w:fill="B8CCE4"/>
            <w:tcMar>
              <w:left w:w="108" w:type="dxa"/>
              <w:right w:w="108" w:type="dxa"/>
            </w:tcMar>
            <w:vAlign w:val="center"/>
          </w:tcPr>
          <w:p>
            <w:pPr>
              <w:spacing w:line="360" w:lineRule="auto"/>
              <w:jc w:val="center"/>
              <w:rPr>
                <w:rFonts w:ascii="Times New Roman" w:hAnsi="Times New Roman" w:cs="Times New Roman"/>
              </w:rPr>
            </w:pPr>
            <w:r>
              <w:rPr>
                <w:rFonts w:hint="eastAsia" w:ascii="Times New Roman" w:hAnsi="Times New Roman" w:cs="Times New Roman"/>
              </w:rPr>
              <w:t>经济目标</w:t>
            </w:r>
          </w:p>
        </w:tc>
        <w:tc>
          <w:tcPr>
            <w:tcW w:w="2217" w:type="pct"/>
            <w:gridSpan w:val="2"/>
            <w:tcBorders>
              <w:top w:val="single" w:color="FFFFFF" w:sz="18" w:space="0"/>
              <w:left w:val="single" w:color="4F81BD" w:sz="8" w:space="0"/>
              <w:bottom w:val="single" w:color="4F81BD" w:sz="8" w:space="0"/>
              <w:right w:val="single" w:color="4F81BD" w:sz="8" w:space="0"/>
              <w:tl2br w:val="nil"/>
              <w:tr2bl w:val="nil"/>
            </w:tcBorders>
            <w:shd w:val="clear" w:color="auto" w:fill="B8CCE4"/>
            <w:tcMar>
              <w:left w:w="108" w:type="dxa"/>
              <w:right w:w="108" w:type="dxa"/>
            </w:tcMar>
            <w:vAlign w:val="center"/>
          </w:tcPr>
          <w:p>
            <w:pPr>
              <w:spacing w:line="360" w:lineRule="auto"/>
              <w:jc w:val="center"/>
              <w:rPr>
                <w:rFonts w:ascii="Times New Roman" w:hAnsi="Times New Roman" w:cs="Times New Roman"/>
              </w:rPr>
            </w:pPr>
            <w:r>
              <w:rPr>
                <w:rFonts w:hint="eastAsia" w:ascii="Times New Roman" w:hAnsi="Times New Roman" w:cs="Times New Roman"/>
              </w:rPr>
              <w:t>十四五发展目标</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jc w:val="center"/>
        </w:trPr>
        <w:tc>
          <w:tcPr>
            <w:tcW w:w="2782" w:type="pct"/>
            <w:vMerge w:val="continue"/>
            <w:tcBorders>
              <w:top w:val="single" w:color="4F81BD" w:sz="8" w:space="0"/>
              <w:left w:val="single" w:color="4F81BD" w:sz="8" w:space="0"/>
              <w:bottom w:val="single" w:color="4F81BD" w:sz="8" w:space="0"/>
              <w:right w:val="single" w:color="4F81BD" w:sz="8" w:space="0"/>
              <w:tl2br w:val="nil"/>
              <w:tr2bl w:val="nil"/>
            </w:tcBorders>
            <w:shd w:val="clear" w:color="auto" w:fill="FFFFFF"/>
            <w:tcMar>
              <w:left w:w="108" w:type="dxa"/>
              <w:right w:w="108" w:type="dxa"/>
            </w:tcMar>
            <w:vAlign w:val="center"/>
          </w:tcPr>
          <w:p>
            <w:pPr>
              <w:spacing w:line="360" w:lineRule="auto"/>
              <w:jc w:val="center"/>
              <w:rPr>
                <w:rFonts w:ascii="Times New Roman" w:hAnsi="Times New Roman" w:cs="Times New Roman"/>
              </w:rPr>
            </w:pPr>
          </w:p>
        </w:tc>
        <w:tc>
          <w:tcPr>
            <w:tcW w:w="830" w:type="pct"/>
            <w:tcBorders>
              <w:top w:val="single" w:color="4F81BD" w:sz="8" w:space="0"/>
              <w:left w:val="single" w:color="4F81BD" w:sz="8" w:space="0"/>
              <w:bottom w:val="single" w:color="4F81BD" w:sz="8" w:space="0"/>
              <w:right w:val="single" w:color="4F81BD" w:sz="8" w:space="0"/>
              <w:tl2br w:val="nil"/>
              <w:tr2bl w:val="nil"/>
            </w:tcBorders>
            <w:shd w:val="clear" w:color="auto" w:fill="FFFFFF"/>
            <w:tcMar>
              <w:left w:w="108" w:type="dxa"/>
              <w:right w:w="108" w:type="dxa"/>
            </w:tcMar>
            <w:vAlign w:val="center"/>
          </w:tcPr>
          <w:p>
            <w:pPr>
              <w:spacing w:line="360" w:lineRule="auto"/>
              <w:jc w:val="center"/>
              <w:rPr>
                <w:rFonts w:ascii="Times New Roman" w:hAnsi="Times New Roman" w:cs="Times New Roman"/>
              </w:rPr>
            </w:pPr>
            <w:r>
              <w:rPr>
                <w:rFonts w:hint="eastAsia" w:ascii="Times New Roman" w:hAnsi="Times New Roman" w:cs="Times New Roman"/>
              </w:rPr>
              <w:t>指标</w:t>
            </w:r>
          </w:p>
        </w:tc>
        <w:tc>
          <w:tcPr>
            <w:tcW w:w="1387" w:type="pct"/>
            <w:tcBorders>
              <w:top w:val="single" w:color="4F81BD" w:sz="8" w:space="0"/>
              <w:left w:val="single" w:color="4F81BD" w:sz="8" w:space="0"/>
              <w:bottom w:val="single" w:color="4F81BD" w:sz="8" w:space="0"/>
              <w:right w:val="single" w:color="4F81BD" w:sz="8" w:space="0"/>
              <w:tl2br w:val="nil"/>
              <w:tr2bl w:val="nil"/>
            </w:tcBorders>
            <w:shd w:val="clear" w:color="auto" w:fill="FFFFFF"/>
            <w:tcMar>
              <w:left w:w="108" w:type="dxa"/>
              <w:right w:w="108" w:type="dxa"/>
            </w:tcMar>
            <w:vAlign w:val="center"/>
          </w:tcPr>
          <w:p>
            <w:pPr>
              <w:spacing w:line="360" w:lineRule="auto"/>
              <w:jc w:val="center"/>
              <w:rPr>
                <w:rFonts w:ascii="Times New Roman" w:hAnsi="Times New Roman" w:cs="Times New Roman"/>
              </w:rPr>
            </w:pPr>
            <w:r>
              <w:rPr>
                <w:rFonts w:hint="eastAsia" w:ascii="Times New Roman" w:hAnsi="Times New Roman" w:cs="Times New Roman"/>
              </w:rPr>
              <w:t>年均增速（%）</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jc w:val="center"/>
        </w:trPr>
        <w:tc>
          <w:tcPr>
            <w:tcW w:w="2782" w:type="pct"/>
            <w:tcBorders>
              <w:top w:val="single" w:color="4F81BD" w:sz="8" w:space="0"/>
              <w:left w:val="single" w:color="4F81BD" w:sz="8" w:space="0"/>
              <w:bottom w:val="single" w:color="4F81BD" w:sz="8" w:space="0"/>
              <w:right w:val="single" w:color="4F81BD" w:sz="8" w:space="0"/>
              <w:tl2br w:val="nil"/>
              <w:tr2bl w:val="nil"/>
            </w:tcBorders>
            <w:shd w:val="clear" w:color="auto" w:fill="B8CCE4"/>
            <w:tcMar>
              <w:left w:w="108" w:type="dxa"/>
              <w:right w:w="108" w:type="dxa"/>
            </w:tcMar>
            <w:vAlign w:val="center"/>
          </w:tcPr>
          <w:p>
            <w:pPr>
              <w:spacing w:line="360" w:lineRule="auto"/>
              <w:jc w:val="center"/>
              <w:rPr>
                <w:rFonts w:ascii="Times New Roman" w:hAnsi="Times New Roman" w:cs="Times New Roman"/>
              </w:rPr>
            </w:pPr>
            <w:r>
              <w:rPr>
                <w:rFonts w:hint="eastAsia" w:ascii="Times New Roman" w:hAnsi="Times New Roman" w:cs="Times New Roman"/>
              </w:rPr>
              <w:t>文化旅游业总收入（亿元）</w:t>
            </w:r>
          </w:p>
        </w:tc>
        <w:tc>
          <w:tcPr>
            <w:tcW w:w="830" w:type="pct"/>
            <w:tcBorders>
              <w:top w:val="single" w:color="4F81BD" w:sz="8" w:space="0"/>
              <w:left w:val="single" w:color="4F81BD" w:sz="8" w:space="0"/>
              <w:bottom w:val="single" w:color="4F81BD" w:sz="8" w:space="0"/>
              <w:right w:val="single" w:color="4F81BD" w:sz="8" w:space="0"/>
              <w:tl2br w:val="nil"/>
              <w:tr2bl w:val="nil"/>
            </w:tcBorders>
            <w:shd w:val="clear" w:color="auto" w:fill="B8CCE4"/>
            <w:tcMar>
              <w:left w:w="108" w:type="dxa"/>
              <w:right w:w="108" w:type="dxa"/>
            </w:tcMar>
            <w:vAlign w:val="center"/>
          </w:tcPr>
          <w:p>
            <w:pPr>
              <w:spacing w:line="360" w:lineRule="auto"/>
              <w:jc w:val="center"/>
              <w:rPr>
                <w:rFonts w:ascii="Times New Roman" w:hAnsi="Times New Roman" w:cs="Times New Roman"/>
              </w:rPr>
            </w:pPr>
            <w:r>
              <w:rPr>
                <w:rFonts w:hint="eastAsia" w:ascii="Times New Roman" w:hAnsi="Times New Roman" w:cs="Times New Roman"/>
              </w:rPr>
              <w:t>213</w:t>
            </w:r>
          </w:p>
        </w:tc>
        <w:tc>
          <w:tcPr>
            <w:tcW w:w="1387" w:type="pct"/>
            <w:tcBorders>
              <w:top w:val="single" w:color="4F81BD" w:sz="8" w:space="0"/>
              <w:left w:val="single" w:color="4F81BD" w:sz="8" w:space="0"/>
              <w:bottom w:val="single" w:color="4F81BD" w:sz="8" w:space="0"/>
              <w:right w:val="single" w:color="4F81BD" w:sz="8" w:space="0"/>
              <w:tl2br w:val="nil"/>
              <w:tr2bl w:val="nil"/>
            </w:tcBorders>
            <w:shd w:val="clear" w:color="auto" w:fill="B8CCE4"/>
            <w:tcMar>
              <w:left w:w="108" w:type="dxa"/>
              <w:right w:w="108" w:type="dxa"/>
            </w:tcMar>
            <w:vAlign w:val="center"/>
          </w:tcPr>
          <w:p>
            <w:pPr>
              <w:spacing w:line="360" w:lineRule="auto"/>
              <w:jc w:val="center"/>
              <w:rPr>
                <w:rFonts w:ascii="Times New Roman" w:hAnsi="Times New Roman" w:cs="Times New Roman"/>
              </w:rPr>
            </w:pPr>
            <w:r>
              <w:rPr>
                <w:rFonts w:hint="eastAsia" w:ascii="Times New Roman" w:hAnsi="Times New Roman" w:cs="Times New Roman"/>
              </w:rPr>
              <w:t>12</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jc w:val="center"/>
        </w:trPr>
        <w:tc>
          <w:tcPr>
            <w:tcW w:w="2782" w:type="pct"/>
            <w:tcBorders>
              <w:top w:val="single" w:color="4F81BD" w:sz="8" w:space="0"/>
              <w:left w:val="single" w:color="4F81BD" w:sz="8" w:space="0"/>
              <w:bottom w:val="single" w:color="4F81BD" w:sz="8" w:space="0"/>
              <w:right w:val="single" w:color="4F81BD" w:sz="8" w:space="0"/>
              <w:tl2br w:val="nil"/>
              <w:tr2bl w:val="nil"/>
            </w:tcBorders>
            <w:shd w:val="clear" w:color="auto" w:fill="FFFFFF"/>
            <w:tcMar>
              <w:left w:w="108" w:type="dxa"/>
              <w:right w:w="108" w:type="dxa"/>
            </w:tcMar>
            <w:vAlign w:val="center"/>
          </w:tcPr>
          <w:p>
            <w:pPr>
              <w:spacing w:line="360" w:lineRule="auto"/>
              <w:jc w:val="center"/>
              <w:rPr>
                <w:rFonts w:ascii="Times New Roman" w:hAnsi="Times New Roman" w:cs="Times New Roman"/>
              </w:rPr>
            </w:pPr>
            <w:r>
              <w:rPr>
                <w:rFonts w:hint="eastAsia" w:ascii="Times New Roman" w:hAnsi="Times New Roman" w:cs="Times New Roman"/>
              </w:rPr>
              <w:t>接待国内外旅游者（亿人次）</w:t>
            </w:r>
          </w:p>
        </w:tc>
        <w:tc>
          <w:tcPr>
            <w:tcW w:w="830" w:type="pct"/>
            <w:tcBorders>
              <w:top w:val="single" w:color="4F81BD" w:sz="8" w:space="0"/>
              <w:left w:val="single" w:color="4F81BD" w:sz="8" w:space="0"/>
              <w:bottom w:val="single" w:color="4F81BD" w:sz="8" w:space="0"/>
              <w:right w:val="single" w:color="4F81BD" w:sz="8" w:space="0"/>
              <w:tl2br w:val="nil"/>
              <w:tr2bl w:val="nil"/>
            </w:tcBorders>
            <w:shd w:val="clear" w:color="auto" w:fill="FFFFFF"/>
            <w:tcMar>
              <w:left w:w="108" w:type="dxa"/>
              <w:right w:w="108" w:type="dxa"/>
            </w:tcMar>
            <w:vAlign w:val="center"/>
          </w:tcPr>
          <w:p>
            <w:pPr>
              <w:spacing w:line="360" w:lineRule="auto"/>
              <w:jc w:val="center"/>
              <w:rPr>
                <w:rFonts w:ascii="Times New Roman" w:hAnsi="Times New Roman" w:cs="Times New Roman"/>
              </w:rPr>
            </w:pPr>
            <w:r>
              <w:rPr>
                <w:rFonts w:hint="eastAsia" w:ascii="Times New Roman" w:hAnsi="Times New Roman" w:cs="Times New Roman"/>
              </w:rPr>
              <w:t>2140</w:t>
            </w:r>
          </w:p>
        </w:tc>
        <w:tc>
          <w:tcPr>
            <w:tcW w:w="1387" w:type="pct"/>
            <w:tcBorders>
              <w:top w:val="single" w:color="4F81BD" w:sz="8" w:space="0"/>
              <w:left w:val="single" w:color="4F81BD" w:sz="8" w:space="0"/>
              <w:bottom w:val="single" w:color="4F81BD" w:sz="8" w:space="0"/>
              <w:right w:val="single" w:color="4F81BD" w:sz="8" w:space="0"/>
              <w:tl2br w:val="nil"/>
              <w:tr2bl w:val="nil"/>
            </w:tcBorders>
            <w:shd w:val="clear" w:color="auto" w:fill="FFFFFF"/>
            <w:tcMar>
              <w:left w:w="108" w:type="dxa"/>
              <w:right w:w="108" w:type="dxa"/>
            </w:tcMar>
            <w:vAlign w:val="center"/>
          </w:tcPr>
          <w:p>
            <w:pPr>
              <w:spacing w:line="360" w:lineRule="auto"/>
              <w:jc w:val="center"/>
              <w:rPr>
                <w:rFonts w:ascii="Times New Roman" w:hAnsi="Times New Roman" w:cs="Times New Roman"/>
              </w:rPr>
            </w:pPr>
            <w:r>
              <w:rPr>
                <w:rFonts w:hint="eastAsia" w:ascii="Times New Roman" w:hAnsi="Times New Roman" w:cs="Times New Roman"/>
              </w:rPr>
              <w:t>12</w:t>
            </w:r>
          </w:p>
        </w:tc>
      </w:tr>
    </w:tbl>
    <w:p>
      <w:pPr>
        <w:pStyle w:val="9"/>
        <w:spacing w:line="360" w:lineRule="auto"/>
        <w:ind w:firstLine="2100" w:firstLineChars="1000"/>
        <w:rPr>
          <w:rFonts w:ascii="Times New Roman" w:hAnsi="Times New Roman" w:cs="Times New Roman"/>
        </w:rPr>
      </w:pPr>
    </w:p>
    <w:p>
      <w:pPr>
        <w:pStyle w:val="4"/>
        <w:ind w:firstLine="480"/>
        <w:rPr>
          <w:rFonts w:ascii="Times New Roman" w:hAnsi="Times New Roman" w:cs="Times New Roman"/>
        </w:rPr>
      </w:pPr>
      <w:bookmarkStart w:id="120" w:name="_Toc13169"/>
      <w:bookmarkStart w:id="121" w:name="_Toc200"/>
      <w:bookmarkStart w:id="122" w:name="_Toc10117"/>
      <w:bookmarkStart w:id="123" w:name="_Toc3532"/>
      <w:bookmarkStart w:id="124" w:name="_Toc24280"/>
      <w:r>
        <w:rPr>
          <w:rFonts w:hint="eastAsia" w:ascii="Times New Roman" w:hAnsi="Times New Roman" w:cs="Times New Roman"/>
        </w:rPr>
        <w:t>（三）产业目标</w:t>
      </w:r>
      <w:bookmarkEnd w:id="120"/>
      <w:bookmarkEnd w:id="121"/>
      <w:bookmarkEnd w:id="122"/>
      <w:bookmarkEnd w:id="123"/>
      <w:bookmarkEnd w:id="124"/>
    </w:p>
    <w:p>
      <w:pPr>
        <w:spacing w:line="360" w:lineRule="auto"/>
        <w:ind w:firstLine="470" w:firstLineChars="196"/>
        <w:rPr>
          <w:rFonts w:ascii="Times New Roman" w:hAnsi="Times New Roman" w:cs="Times New Roman"/>
          <w:sz w:val="24"/>
        </w:rPr>
      </w:pPr>
      <w:r>
        <w:rPr>
          <w:rFonts w:hint="eastAsia" w:ascii="Times New Roman" w:hAnsi="Times New Roman" w:cs="Times New Roman"/>
          <w:sz w:val="24"/>
        </w:rPr>
        <w:t>“十四五”期间，新增创建国家全域旅游示范区1个，推动</w:t>
      </w:r>
      <w:r>
        <w:rPr>
          <w:rFonts w:hint="eastAsia" w:ascii="Times New Roman" w:hAnsi="Times New Roman" w:cs="Times New Roman"/>
          <w:sz w:val="24"/>
          <w:lang w:eastAsia="zh-CN"/>
        </w:rPr>
        <w:t>鄂尔多斯文化产业园</w:t>
      </w:r>
      <w:r>
        <w:rPr>
          <w:rFonts w:hint="eastAsia" w:ascii="Times New Roman" w:hAnsi="Times New Roman" w:cs="Times New Roman"/>
          <w:sz w:val="24"/>
        </w:rPr>
        <w:t>创建</w:t>
      </w:r>
      <w:r>
        <w:rPr>
          <w:rFonts w:hint="eastAsia" w:ascii="Times New Roman" w:hAnsi="Times New Roman" w:cs="Times New Roman"/>
          <w:sz w:val="24"/>
          <w:lang w:eastAsia="zh-CN"/>
        </w:rPr>
        <w:t>国家5A级旅游景区</w:t>
      </w:r>
      <w:r>
        <w:rPr>
          <w:rFonts w:hint="eastAsia" w:ascii="Times New Roman" w:hAnsi="Times New Roman" w:cs="Times New Roman"/>
          <w:sz w:val="24"/>
        </w:rPr>
        <w:t>，或创建一个国家级度假区；推动红海子湿地旅游区、伊景园城市沙山旅游区创建国家4A级旅游景区，国家4A级旅游景区总数量达到5个；推动郡王府、温沙水湾、陶亥召、创建国家3A级旅游景区，国家3A级旅游景区总数量达到5个。大力发展乡村旅游，全旗力争建成3个优质乡村旅游重点村，星级农牧业旅游接待户数量达到30个。创建1家金叶级绿色饭店，2家自治区A级旅行社，市级民宿2家，三星级酒店现有1家，新评三星级以上</w:t>
      </w:r>
      <w:r>
        <w:rPr>
          <w:rFonts w:hint="eastAsia" w:ascii="Times New Roman" w:hAnsi="Times New Roman" w:cs="Times New Roman"/>
          <w:sz w:val="24"/>
          <w:lang w:val="en-US" w:eastAsia="zh-CN"/>
        </w:rPr>
        <w:t>5</w:t>
      </w:r>
      <w:r>
        <w:rPr>
          <w:rFonts w:hint="eastAsia" w:ascii="Times New Roman" w:hAnsi="Times New Roman" w:cs="Times New Roman"/>
          <w:sz w:val="24"/>
        </w:rPr>
        <w:t>家。非物质文化遗产代表性项目，国家级现有数量2项，新增1项；自治区级现有4项，新增3项，总数量6项；市级现有15项，新增10项，总数量22项，旗级现有</w:t>
      </w:r>
      <w:r>
        <w:rPr>
          <w:rFonts w:hint="eastAsia" w:ascii="Times New Roman" w:hAnsi="Times New Roman" w:cs="Times New Roman"/>
          <w:sz w:val="24"/>
          <w:lang w:val="en-US" w:eastAsia="zh-CN"/>
        </w:rPr>
        <w:t>34</w:t>
      </w:r>
      <w:r>
        <w:rPr>
          <w:rFonts w:hint="eastAsia" w:ascii="Times New Roman" w:hAnsi="Times New Roman" w:cs="Times New Roman"/>
          <w:sz w:val="24"/>
        </w:rPr>
        <w:t>项，新增30项，总数</w:t>
      </w:r>
      <w:r>
        <w:rPr>
          <w:rFonts w:hint="eastAsia" w:ascii="Times New Roman" w:hAnsi="Times New Roman" w:cs="Times New Roman"/>
          <w:sz w:val="24"/>
          <w:lang w:val="en-US" w:eastAsia="zh-CN"/>
        </w:rPr>
        <w:t>54</w:t>
      </w:r>
      <w:r>
        <w:rPr>
          <w:rFonts w:hint="eastAsia" w:ascii="Times New Roman" w:hAnsi="Times New Roman" w:cs="Times New Roman"/>
          <w:sz w:val="24"/>
        </w:rPr>
        <w:t>项。</w:t>
      </w:r>
    </w:p>
    <w:p>
      <w:pPr>
        <w:pStyle w:val="9"/>
        <w:spacing w:line="360" w:lineRule="auto"/>
        <w:ind w:firstLine="480" w:firstLineChars="200"/>
        <w:rPr>
          <w:rFonts w:ascii="Times New Roman" w:hAnsi="Times New Roman" w:cs="Times New Roman"/>
          <w:sz w:val="24"/>
        </w:rPr>
      </w:pPr>
    </w:p>
    <w:p>
      <w:pPr>
        <w:pStyle w:val="9"/>
        <w:spacing w:line="360" w:lineRule="auto"/>
        <w:ind w:firstLine="1687" w:firstLineChars="800"/>
        <w:rPr>
          <w:rFonts w:ascii="Times New Roman" w:hAnsi="Times New Roman" w:cs="Times New Roman"/>
        </w:rPr>
      </w:pPr>
      <w:r>
        <w:rPr>
          <w:rFonts w:hint="eastAsia" w:ascii="Times New Roman" w:hAnsi="Times New Roman" w:cs="Times New Roman"/>
          <w:b/>
          <w:bCs/>
        </w:rPr>
        <w:t>表2-2 伊金霍洛旗“十四五”产业发展目标</w:t>
      </w:r>
    </w:p>
    <w:tbl>
      <w:tblPr>
        <w:tblStyle w:val="1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76"/>
        <w:gridCol w:w="2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624" w:type="pct"/>
            <w:tcBorders>
              <w:top w:val="single" w:color="4F81BD" w:sz="8" w:space="0"/>
              <w:left w:val="single" w:color="4F81BD" w:sz="8" w:space="0"/>
              <w:bottom w:val="single" w:color="FFFFFF" w:sz="18" w:space="0"/>
              <w:right w:val="single" w:color="4F81BD" w:sz="8" w:space="0"/>
              <w:tl2br w:val="nil"/>
              <w:tr2bl w:val="nil"/>
            </w:tcBorders>
            <w:shd w:val="clear" w:color="auto" w:fill="4F81BD"/>
            <w:vAlign w:val="center"/>
          </w:tcPr>
          <w:p>
            <w:pPr>
              <w:spacing w:line="360" w:lineRule="auto"/>
              <w:jc w:val="center"/>
              <w:rPr>
                <w:rFonts w:ascii="Times New Roman" w:hAnsi="Times New Roman" w:cs="Times New Roman"/>
                <w:color w:val="FFFFFF"/>
              </w:rPr>
            </w:pPr>
            <w:r>
              <w:rPr>
                <w:rFonts w:hint="eastAsia" w:ascii="Times New Roman" w:hAnsi="Times New Roman" w:cs="Times New Roman"/>
                <w:color w:val="FFFFFF"/>
              </w:rPr>
              <w:t>指标名称</w:t>
            </w:r>
          </w:p>
        </w:tc>
        <w:tc>
          <w:tcPr>
            <w:tcW w:w="1375" w:type="pct"/>
            <w:tcBorders>
              <w:top w:val="single" w:color="4F81BD" w:sz="8" w:space="0"/>
              <w:left w:val="single" w:color="4F81BD" w:sz="8" w:space="0"/>
              <w:bottom w:val="single" w:color="FFFFFF" w:sz="18" w:space="0"/>
              <w:right w:val="single" w:color="4F81BD" w:sz="8" w:space="0"/>
              <w:tl2br w:val="nil"/>
              <w:tr2bl w:val="nil"/>
            </w:tcBorders>
            <w:shd w:val="clear" w:color="auto" w:fill="4F81BD"/>
            <w:vAlign w:val="center"/>
          </w:tcPr>
          <w:p>
            <w:pPr>
              <w:spacing w:line="360" w:lineRule="auto"/>
              <w:jc w:val="center"/>
              <w:rPr>
                <w:rFonts w:ascii="Times New Roman" w:hAnsi="Times New Roman" w:cs="Times New Roman"/>
                <w:color w:val="FFFFFF"/>
              </w:rPr>
            </w:pPr>
            <w:r>
              <w:rPr>
                <w:rFonts w:hint="eastAsia" w:ascii="Times New Roman" w:hAnsi="Times New Roman" w:cs="Times New Roman"/>
                <w:color w:val="FFFFFF"/>
              </w:rPr>
              <w:t>总数量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24" w:type="pct"/>
            <w:tcBorders>
              <w:top w:val="single" w:color="FFFFFF" w:sz="18" w:space="0"/>
              <w:left w:val="single" w:color="4F81BD" w:sz="8" w:space="0"/>
              <w:bottom w:val="single" w:color="4F81BD" w:sz="8" w:space="0"/>
              <w:right w:val="single" w:color="4F81BD" w:sz="8" w:space="0"/>
              <w:tl2br w:val="nil"/>
              <w:tr2bl w:val="nil"/>
            </w:tcBorders>
            <w:shd w:val="clear" w:color="auto" w:fill="B8CCE4"/>
            <w:vAlign w:val="center"/>
          </w:tcPr>
          <w:p>
            <w:pPr>
              <w:spacing w:line="360" w:lineRule="auto"/>
              <w:jc w:val="center"/>
              <w:rPr>
                <w:rFonts w:ascii="Times New Roman" w:hAnsi="Times New Roman" w:cs="Times New Roman"/>
                <w:color w:val="000000"/>
              </w:rPr>
            </w:pPr>
            <w:r>
              <w:rPr>
                <w:rFonts w:hint="eastAsia" w:ascii="Times New Roman" w:hAnsi="Times New Roman" w:cs="Times New Roman"/>
                <w:color w:val="000000"/>
              </w:rPr>
              <w:t>国家全域旅游示范区</w:t>
            </w:r>
          </w:p>
        </w:tc>
        <w:tc>
          <w:tcPr>
            <w:tcW w:w="1375" w:type="pct"/>
            <w:tcBorders>
              <w:top w:val="single" w:color="FFFFFF" w:sz="18" w:space="0"/>
              <w:left w:val="single" w:color="4F81BD" w:sz="8" w:space="0"/>
              <w:bottom w:val="single" w:color="4F81BD" w:sz="8" w:space="0"/>
              <w:right w:val="single" w:color="4F81BD" w:sz="8" w:space="0"/>
              <w:tl2br w:val="nil"/>
              <w:tr2bl w:val="nil"/>
            </w:tcBorders>
            <w:shd w:val="clear" w:color="auto" w:fill="B8CCE4"/>
            <w:vAlign w:val="center"/>
          </w:tcPr>
          <w:p>
            <w:pPr>
              <w:spacing w:line="360" w:lineRule="auto"/>
              <w:jc w:val="center"/>
              <w:rPr>
                <w:rFonts w:ascii="Times New Roman" w:hAnsi="Times New Roman" w:cs="Times New Roman"/>
                <w:color w:val="000000"/>
              </w:rPr>
            </w:pPr>
            <w:r>
              <w:rPr>
                <w:rFonts w:hint="eastAsia" w:ascii="Times New Roman" w:hAnsi="Times New Roman" w:cs="Times New Roman"/>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624"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spacing w:line="360" w:lineRule="auto"/>
              <w:jc w:val="center"/>
              <w:rPr>
                <w:rFonts w:ascii="Times New Roman" w:hAnsi="Times New Roman" w:cs="Times New Roman"/>
                <w:color w:val="000000"/>
              </w:rPr>
            </w:pPr>
            <w:r>
              <w:rPr>
                <w:rFonts w:hint="eastAsia" w:ascii="Times New Roman" w:hAnsi="Times New Roman" w:cs="Times New Roman"/>
                <w:color w:val="000000"/>
              </w:rPr>
              <w:t>国家5A级旅游景区</w:t>
            </w:r>
          </w:p>
        </w:tc>
        <w:tc>
          <w:tcPr>
            <w:tcW w:w="1375" w:type="pct"/>
            <w:vMerge w:val="restar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spacing w:line="360" w:lineRule="auto"/>
              <w:jc w:val="center"/>
              <w:rPr>
                <w:rFonts w:ascii="Times New Roman" w:hAnsi="Times New Roman" w:cs="Times New Roman"/>
                <w:color w:val="000000"/>
              </w:rPr>
            </w:pPr>
            <w:r>
              <w:rPr>
                <w:rFonts w:hint="eastAsia" w:ascii="Times New Roman" w:hAnsi="Times New Roman" w:cs="Times New Roman"/>
                <w:color w:val="00000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624" w:type="pct"/>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spacing w:line="360" w:lineRule="auto"/>
              <w:jc w:val="center"/>
              <w:rPr>
                <w:rFonts w:ascii="Times New Roman" w:hAnsi="Times New Roman" w:cs="Times New Roman"/>
                <w:color w:val="000000"/>
              </w:rPr>
            </w:pPr>
            <w:r>
              <w:rPr>
                <w:rFonts w:hint="eastAsia" w:ascii="Times New Roman" w:hAnsi="Times New Roman" w:cs="Times New Roman"/>
                <w:color w:val="000000"/>
              </w:rPr>
              <w:t>国家度假区</w:t>
            </w:r>
          </w:p>
        </w:tc>
        <w:tc>
          <w:tcPr>
            <w:tcW w:w="1375" w:type="pct"/>
            <w:vMerge w:val="continue"/>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spacing w:line="360" w:lineRule="auto"/>
              <w:jc w:val="center"/>
              <w:rPr>
                <w:rFonts w:ascii="Times New Roman" w:hAnsi="Times New Roman"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624"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spacing w:line="360" w:lineRule="auto"/>
              <w:jc w:val="center"/>
              <w:rPr>
                <w:rFonts w:ascii="Times New Roman" w:hAnsi="Times New Roman" w:cs="Times New Roman"/>
                <w:color w:val="000000"/>
              </w:rPr>
            </w:pPr>
            <w:r>
              <w:rPr>
                <w:rFonts w:hint="eastAsia" w:ascii="Times New Roman" w:hAnsi="Times New Roman" w:cs="Times New Roman"/>
                <w:color w:val="000000"/>
              </w:rPr>
              <w:t>国家4A级旅游景区</w:t>
            </w:r>
          </w:p>
        </w:tc>
        <w:tc>
          <w:tcPr>
            <w:tcW w:w="137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spacing w:line="360" w:lineRule="auto"/>
              <w:jc w:val="center"/>
              <w:rPr>
                <w:rFonts w:ascii="Times New Roman" w:hAnsi="Times New Roman" w:cs="Times New Roman"/>
                <w:color w:val="000000"/>
              </w:rPr>
            </w:pPr>
            <w:r>
              <w:rPr>
                <w:rFonts w:hint="eastAsia" w:ascii="Times New Roman" w:hAnsi="Times New Roman" w:cs="Times New Roman"/>
                <w:color w:val="00000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624" w:type="pct"/>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spacing w:line="360" w:lineRule="auto"/>
              <w:jc w:val="center"/>
              <w:rPr>
                <w:rFonts w:ascii="Times New Roman" w:hAnsi="Times New Roman" w:cs="Times New Roman"/>
                <w:color w:val="000000"/>
              </w:rPr>
            </w:pPr>
            <w:r>
              <w:rPr>
                <w:rFonts w:hint="eastAsia" w:ascii="Times New Roman" w:hAnsi="Times New Roman" w:cs="Times New Roman"/>
                <w:color w:val="000000"/>
              </w:rPr>
              <w:t>国家3A级旅游景区</w:t>
            </w:r>
          </w:p>
        </w:tc>
        <w:tc>
          <w:tcPr>
            <w:tcW w:w="1375" w:type="pct"/>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spacing w:line="360" w:lineRule="auto"/>
              <w:jc w:val="center"/>
              <w:rPr>
                <w:rFonts w:ascii="Times New Roman" w:hAnsi="Times New Roman" w:cs="Times New Roman"/>
                <w:color w:val="000000"/>
              </w:rPr>
            </w:pPr>
            <w:r>
              <w:rPr>
                <w:rFonts w:hint="eastAsia" w:ascii="Times New Roman" w:hAnsi="Times New Roman" w:cs="Times New Roman"/>
                <w:color w:val="00000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624"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spacing w:line="360" w:lineRule="auto"/>
              <w:jc w:val="center"/>
              <w:rPr>
                <w:rFonts w:ascii="Times New Roman" w:hAnsi="Times New Roman" w:cs="Times New Roman"/>
                <w:color w:val="000000"/>
              </w:rPr>
            </w:pPr>
            <w:r>
              <w:rPr>
                <w:rFonts w:hint="eastAsia" w:ascii="Times New Roman" w:hAnsi="Times New Roman" w:cs="Times New Roman"/>
                <w:color w:val="000000"/>
              </w:rPr>
              <w:t>乡村旅游重点村</w:t>
            </w:r>
          </w:p>
        </w:tc>
        <w:tc>
          <w:tcPr>
            <w:tcW w:w="137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spacing w:line="360" w:lineRule="auto"/>
              <w:jc w:val="center"/>
              <w:rPr>
                <w:rFonts w:ascii="Times New Roman" w:hAnsi="Times New Roman" w:cs="Times New Roman"/>
                <w:color w:val="000000"/>
              </w:rPr>
            </w:pPr>
            <w:r>
              <w:rPr>
                <w:rFonts w:hint="eastAsia" w:ascii="Times New Roman" w:hAnsi="Times New Roman" w:cs="Times New Roman"/>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624" w:type="pct"/>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spacing w:line="360" w:lineRule="auto"/>
              <w:jc w:val="center"/>
              <w:rPr>
                <w:rFonts w:ascii="Times New Roman" w:hAnsi="Times New Roman" w:cs="Times New Roman"/>
                <w:color w:val="000000"/>
              </w:rPr>
            </w:pPr>
            <w:r>
              <w:rPr>
                <w:rFonts w:hint="eastAsia" w:ascii="Times New Roman" w:hAnsi="Times New Roman" w:cs="Times New Roman"/>
                <w:color w:val="000000"/>
              </w:rPr>
              <w:t>星级农牧业旅游接待户</w:t>
            </w:r>
          </w:p>
        </w:tc>
        <w:tc>
          <w:tcPr>
            <w:tcW w:w="1375" w:type="pct"/>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spacing w:line="360" w:lineRule="auto"/>
              <w:jc w:val="center"/>
              <w:rPr>
                <w:rFonts w:ascii="Times New Roman" w:hAnsi="Times New Roman" w:cs="Times New Roman"/>
                <w:color w:val="000000"/>
              </w:rPr>
            </w:pPr>
            <w:r>
              <w:rPr>
                <w:rFonts w:hint="eastAsia" w:ascii="Times New Roman" w:hAnsi="Times New Roman" w:cs="Times New Roman"/>
                <w:color w:val="00000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624"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spacing w:line="360" w:lineRule="auto"/>
              <w:jc w:val="center"/>
              <w:rPr>
                <w:rFonts w:ascii="Times New Roman" w:hAnsi="Times New Roman" w:cs="Times New Roman"/>
                <w:color w:val="000000"/>
              </w:rPr>
            </w:pPr>
            <w:r>
              <w:rPr>
                <w:rFonts w:hint="eastAsia" w:ascii="Times New Roman" w:hAnsi="Times New Roman" w:cs="Times New Roman"/>
                <w:color w:val="000000"/>
              </w:rPr>
              <w:t>金叶级绿色饭店</w:t>
            </w:r>
          </w:p>
        </w:tc>
        <w:tc>
          <w:tcPr>
            <w:tcW w:w="137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spacing w:line="360" w:lineRule="auto"/>
              <w:jc w:val="center"/>
              <w:rPr>
                <w:rFonts w:ascii="Times New Roman" w:hAnsi="Times New Roman" w:cs="Times New Roman"/>
                <w:color w:val="000000"/>
              </w:rPr>
            </w:pPr>
            <w:r>
              <w:rPr>
                <w:rFonts w:hint="eastAsia" w:ascii="Times New Roman" w:hAnsi="Times New Roman" w:cs="Times New Roman"/>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624" w:type="pct"/>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spacing w:line="360" w:lineRule="auto"/>
              <w:jc w:val="center"/>
              <w:rPr>
                <w:rFonts w:ascii="Times New Roman" w:hAnsi="Times New Roman" w:cs="Times New Roman"/>
                <w:color w:val="000000"/>
              </w:rPr>
            </w:pPr>
            <w:r>
              <w:rPr>
                <w:rFonts w:hint="eastAsia" w:ascii="Times New Roman" w:hAnsi="Times New Roman" w:cs="Times New Roman"/>
                <w:color w:val="000000"/>
              </w:rPr>
              <w:t>自治区A级旅行社</w:t>
            </w:r>
          </w:p>
        </w:tc>
        <w:tc>
          <w:tcPr>
            <w:tcW w:w="1375" w:type="pct"/>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spacing w:line="360" w:lineRule="auto"/>
              <w:jc w:val="center"/>
              <w:rPr>
                <w:rFonts w:ascii="Times New Roman" w:hAnsi="Times New Roman" w:cs="Times New Roman"/>
                <w:color w:val="000000"/>
              </w:rPr>
            </w:pPr>
            <w:r>
              <w:rPr>
                <w:rFonts w:hint="eastAsia" w:ascii="Times New Roman" w:hAnsi="Times New Roman" w:cs="Times New Roman"/>
                <w:color w:val="00000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624"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spacing w:line="360" w:lineRule="auto"/>
              <w:jc w:val="center"/>
              <w:rPr>
                <w:rFonts w:ascii="Times New Roman" w:hAnsi="Times New Roman" w:cs="Times New Roman"/>
                <w:color w:val="000000"/>
              </w:rPr>
            </w:pPr>
            <w:r>
              <w:rPr>
                <w:rFonts w:hint="eastAsia" w:ascii="Times New Roman" w:hAnsi="Times New Roman" w:cs="Times New Roman"/>
                <w:color w:val="000000"/>
              </w:rPr>
              <w:t>3星级以上酒店</w:t>
            </w:r>
          </w:p>
        </w:tc>
        <w:tc>
          <w:tcPr>
            <w:tcW w:w="137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spacing w:line="360" w:lineRule="auto"/>
              <w:jc w:val="center"/>
              <w:rPr>
                <w:rFonts w:hint="eastAsia" w:ascii="Times New Roman" w:hAnsi="Times New Roman" w:cs="Times New Roman" w:eastAsiaTheme="minorEastAsia"/>
                <w:color w:val="000000"/>
                <w:lang w:eastAsia="zh-CN"/>
              </w:rPr>
            </w:pPr>
            <w:r>
              <w:rPr>
                <w:rFonts w:hint="eastAsia" w:ascii="Times New Roman" w:hAnsi="Times New Roman" w:cs="Times New Roman"/>
                <w:color w:val="000000"/>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624" w:type="pct"/>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spacing w:line="360" w:lineRule="auto"/>
              <w:jc w:val="center"/>
              <w:rPr>
                <w:rFonts w:ascii="Times New Roman" w:hAnsi="Times New Roman" w:cs="Times New Roman"/>
                <w:color w:val="000000"/>
              </w:rPr>
            </w:pPr>
            <w:r>
              <w:rPr>
                <w:rFonts w:hint="eastAsia" w:ascii="Times New Roman" w:hAnsi="Times New Roman" w:cs="Times New Roman"/>
                <w:color w:val="000000"/>
              </w:rPr>
              <w:t>市级民宿</w:t>
            </w:r>
          </w:p>
        </w:tc>
        <w:tc>
          <w:tcPr>
            <w:tcW w:w="1375" w:type="pct"/>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spacing w:line="360" w:lineRule="auto"/>
              <w:jc w:val="center"/>
              <w:rPr>
                <w:rFonts w:ascii="Times New Roman" w:hAnsi="Times New Roman" w:cs="Times New Roman"/>
                <w:color w:val="000000"/>
              </w:rPr>
            </w:pPr>
            <w:r>
              <w:rPr>
                <w:rFonts w:hint="eastAsia" w:ascii="Times New Roman" w:hAnsi="Times New Roman" w:cs="Times New Roman"/>
                <w:color w:val="00000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624"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spacing w:line="360" w:lineRule="auto"/>
              <w:jc w:val="center"/>
              <w:rPr>
                <w:rFonts w:ascii="Times New Roman" w:hAnsi="Times New Roman" w:cs="Times New Roman"/>
                <w:color w:val="000000"/>
              </w:rPr>
            </w:pPr>
            <w:r>
              <w:rPr>
                <w:rFonts w:hint="eastAsia" w:ascii="Times New Roman" w:hAnsi="Times New Roman" w:cs="Times New Roman"/>
                <w:color w:val="000000"/>
              </w:rPr>
              <w:t>国家级非物质文化遗产</w:t>
            </w:r>
          </w:p>
        </w:tc>
        <w:tc>
          <w:tcPr>
            <w:tcW w:w="137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spacing w:line="360" w:lineRule="auto"/>
              <w:jc w:val="center"/>
              <w:rPr>
                <w:rFonts w:ascii="Times New Roman" w:hAnsi="Times New Roman" w:cs="Times New Roman"/>
                <w:color w:val="000000"/>
              </w:rPr>
            </w:pPr>
            <w:r>
              <w:rPr>
                <w:rFonts w:hint="eastAsia" w:ascii="Times New Roman" w:hAnsi="Times New Roman" w:cs="Times New Roman"/>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624" w:type="pct"/>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spacing w:line="360" w:lineRule="auto"/>
              <w:jc w:val="center"/>
              <w:rPr>
                <w:rFonts w:ascii="Times New Roman" w:hAnsi="Times New Roman" w:cs="Times New Roman"/>
                <w:color w:val="000000"/>
              </w:rPr>
            </w:pPr>
            <w:r>
              <w:rPr>
                <w:rFonts w:hint="eastAsia" w:ascii="Times New Roman" w:hAnsi="Times New Roman" w:cs="Times New Roman"/>
                <w:color w:val="000000"/>
              </w:rPr>
              <w:t>自治区级非物质文化遗产</w:t>
            </w:r>
          </w:p>
        </w:tc>
        <w:tc>
          <w:tcPr>
            <w:tcW w:w="1375" w:type="pct"/>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spacing w:line="360" w:lineRule="auto"/>
              <w:jc w:val="center"/>
              <w:rPr>
                <w:rFonts w:ascii="Times New Roman" w:hAnsi="Times New Roman" w:cs="Times New Roman"/>
                <w:color w:val="000000"/>
              </w:rPr>
            </w:pPr>
            <w:r>
              <w:rPr>
                <w:rFonts w:hint="eastAsia" w:ascii="Times New Roman" w:hAnsi="Times New Roman" w:cs="Times New Roman"/>
                <w:color w:val="00000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624"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spacing w:line="360" w:lineRule="auto"/>
              <w:jc w:val="center"/>
              <w:rPr>
                <w:rFonts w:ascii="Times New Roman" w:hAnsi="Times New Roman" w:cs="Times New Roman"/>
                <w:color w:val="000000"/>
              </w:rPr>
            </w:pPr>
            <w:r>
              <w:rPr>
                <w:rFonts w:hint="eastAsia" w:ascii="Times New Roman" w:hAnsi="Times New Roman" w:cs="Times New Roman"/>
                <w:color w:val="000000"/>
              </w:rPr>
              <w:t>市级非物质文化遗产</w:t>
            </w:r>
          </w:p>
        </w:tc>
        <w:tc>
          <w:tcPr>
            <w:tcW w:w="1375" w:type="pct"/>
            <w:tcBorders>
              <w:top w:val="single" w:color="4F81BD" w:sz="8" w:space="0"/>
              <w:left w:val="single" w:color="4F81BD" w:sz="8" w:space="0"/>
              <w:bottom w:val="single" w:color="4F81BD" w:sz="8" w:space="0"/>
              <w:right w:val="single" w:color="4F81BD" w:sz="8" w:space="0"/>
              <w:tl2br w:val="nil"/>
              <w:tr2bl w:val="nil"/>
            </w:tcBorders>
            <w:shd w:val="clear" w:color="auto" w:fill="FFFFFF"/>
            <w:vAlign w:val="center"/>
          </w:tcPr>
          <w:p>
            <w:pPr>
              <w:spacing w:line="360" w:lineRule="auto"/>
              <w:jc w:val="center"/>
              <w:rPr>
                <w:rFonts w:ascii="Times New Roman" w:hAnsi="Times New Roman" w:cs="Times New Roman"/>
                <w:color w:val="000000"/>
              </w:rPr>
            </w:pPr>
            <w:r>
              <w:rPr>
                <w:rFonts w:hint="eastAsia" w:ascii="Times New Roman" w:hAnsi="Times New Roman" w:cs="Times New Roman"/>
                <w:color w:val="000000"/>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624" w:type="pct"/>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spacing w:line="360" w:lineRule="auto"/>
              <w:jc w:val="center"/>
              <w:rPr>
                <w:rFonts w:ascii="Times New Roman" w:hAnsi="Times New Roman" w:cs="Times New Roman"/>
                <w:color w:val="000000"/>
              </w:rPr>
            </w:pPr>
            <w:r>
              <w:rPr>
                <w:rFonts w:hint="eastAsia" w:ascii="Times New Roman" w:hAnsi="Times New Roman" w:cs="Times New Roman"/>
                <w:color w:val="000000"/>
              </w:rPr>
              <w:t>旗级非物质文化遗产</w:t>
            </w:r>
          </w:p>
        </w:tc>
        <w:tc>
          <w:tcPr>
            <w:tcW w:w="1375" w:type="pct"/>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spacing w:line="360" w:lineRule="auto"/>
              <w:jc w:val="center"/>
              <w:rPr>
                <w:rFonts w:hint="default" w:ascii="Times New Roman" w:hAnsi="Times New Roman" w:cs="Times New Roman" w:eastAsiaTheme="minorEastAsia"/>
                <w:color w:val="000000"/>
                <w:lang w:val="en-US" w:eastAsia="zh-CN"/>
              </w:rPr>
            </w:pPr>
            <w:r>
              <w:rPr>
                <w:rFonts w:hint="eastAsia" w:ascii="Times New Roman" w:hAnsi="Times New Roman" w:cs="Times New Roman"/>
                <w:color w:val="000000"/>
                <w:lang w:val="en-US" w:eastAsia="zh-CN"/>
              </w:rPr>
              <w:t>54</w:t>
            </w:r>
          </w:p>
        </w:tc>
      </w:tr>
    </w:tbl>
    <w:p>
      <w:pPr>
        <w:pStyle w:val="3"/>
        <w:ind w:firstLine="560" w:firstLineChars="200"/>
        <w:rPr>
          <w:rFonts w:ascii="Times New Roman" w:hAnsi="Times New Roman" w:cs="Times New Roman"/>
        </w:rPr>
      </w:pPr>
      <w:bookmarkStart w:id="125" w:name="_Toc19915"/>
      <w:r>
        <w:rPr>
          <w:rFonts w:hint="eastAsia" w:ascii="Times New Roman" w:hAnsi="Times New Roman" w:cs="Times New Roman"/>
        </w:rPr>
        <w:t>四、发展任务</w:t>
      </w:r>
      <w:bookmarkEnd w:id="125"/>
    </w:p>
    <w:p>
      <w:pPr>
        <w:pStyle w:val="4"/>
        <w:ind w:firstLine="480"/>
        <w:rPr>
          <w:rFonts w:ascii="Times New Roman" w:hAnsi="Times New Roman" w:cs="Times New Roman"/>
        </w:rPr>
      </w:pPr>
      <w:bookmarkStart w:id="126" w:name="_Toc973"/>
      <w:bookmarkStart w:id="127" w:name="_Toc19168"/>
      <w:bookmarkStart w:id="128" w:name="_Toc23048"/>
      <w:bookmarkStart w:id="129" w:name="_Toc5928"/>
      <w:bookmarkStart w:id="130" w:name="_Toc497"/>
      <w:bookmarkStart w:id="131" w:name="_Toc18767"/>
      <w:r>
        <w:rPr>
          <w:rFonts w:hint="eastAsia" w:ascii="Times New Roman" w:hAnsi="Times New Roman" w:cs="Times New Roman"/>
        </w:rPr>
        <w:t>（一）加快文化旅游融合发展</w:t>
      </w:r>
      <w:bookmarkEnd w:id="126"/>
      <w:bookmarkEnd w:id="127"/>
      <w:bookmarkEnd w:id="128"/>
      <w:bookmarkEnd w:id="129"/>
      <w:bookmarkEnd w:id="130"/>
      <w:bookmarkEnd w:id="131"/>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 xml:space="preserve">加快文化旅游融合发展，是以习近平同志为核心的党中央作出的重大决策，也是大势所趋。文化与旅游相生共兴，相辅相成。文化是旅游的灵魂，旅游是文化的载体。随着人们对精神生活的追求不断增长，越来越多的旅游者正跨入深度旅游阶段，文化日益成为支配旅游活动的精神支柱和旅游经济的重要引领。旅游则是文化实现教化功能与娱乐功能的重要载体，是发掘、弘扬、优化、保护和丰富文化的有效途径。以文化为内容、旅游为平台的文化旅游产业呈现出前所未有的生机与活力。促进文化与旅游融合发展，是世界旅游发展的大趋势和旅游先进地区的成功经验。中外许多地方旅游发展的经验表明，旅游与文化融合程度越高，旅游产品就越精粹，旅游吸引力就越强，旅游经济就越发达。因此，大力发展文化旅游，从深度和广度上促进文化旅游相互融合，对实现伊金霍洛旗文化和旅游业的良性互动、共赢发展，具有十分重要的意义。   </w:t>
      </w:r>
    </w:p>
    <w:p>
      <w:pPr>
        <w:pStyle w:val="4"/>
        <w:ind w:firstLine="480"/>
        <w:rPr>
          <w:rFonts w:ascii="Times New Roman" w:hAnsi="Times New Roman" w:cs="Times New Roman"/>
        </w:rPr>
      </w:pPr>
      <w:bookmarkStart w:id="132" w:name="_Toc14996"/>
      <w:bookmarkStart w:id="133" w:name="_Toc30386"/>
      <w:bookmarkStart w:id="134" w:name="_Toc15057"/>
      <w:bookmarkStart w:id="135" w:name="_Toc22270"/>
      <w:bookmarkStart w:id="136" w:name="_Toc14115"/>
      <w:bookmarkStart w:id="137" w:name="_Toc27394"/>
      <w:r>
        <w:rPr>
          <w:rFonts w:hint="eastAsia" w:ascii="Times New Roman" w:hAnsi="Times New Roman" w:cs="Times New Roman"/>
        </w:rPr>
        <w:t>（二）推动文旅产业提档升级</w:t>
      </w:r>
      <w:bookmarkEnd w:id="132"/>
      <w:bookmarkEnd w:id="133"/>
      <w:bookmarkEnd w:id="134"/>
      <w:bookmarkEnd w:id="135"/>
      <w:bookmarkEnd w:id="136"/>
      <w:bookmarkEnd w:id="137"/>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十三五”期间，伊金霍洛旗文化旅游业一批重大文化旅游项目建设完成，已经基本解决“有没有”的问题，“十四五”期间，伊金霍洛旗文化旅游业将从高速增长转向优质发展阶段，转向“好不好”阶段。深度与品质将成为“十四五”期间文化旅游业的关键词。“十四五”期间，伊金霍洛旗要更加注重文旅资源的优化配置，通过高品质文化旅游项目的打造和文化旅游服务质量的提升，推动伊金霍洛旗文化旅游产业提档升级，实现文化旅游高质量发展，迈向优质旅游新时代。</w:t>
      </w:r>
    </w:p>
    <w:p>
      <w:pPr>
        <w:pStyle w:val="4"/>
        <w:ind w:firstLine="480"/>
        <w:rPr>
          <w:rFonts w:ascii="Times New Roman" w:hAnsi="Times New Roman" w:cs="Times New Roman"/>
        </w:rPr>
      </w:pPr>
      <w:bookmarkStart w:id="138" w:name="_Toc28678"/>
      <w:bookmarkStart w:id="139" w:name="_Toc15166"/>
      <w:bookmarkStart w:id="140" w:name="_Toc28781"/>
      <w:bookmarkStart w:id="141" w:name="_Toc15364"/>
      <w:bookmarkStart w:id="142" w:name="_Toc26635"/>
      <w:bookmarkStart w:id="143" w:name="_Toc477"/>
      <w:r>
        <w:rPr>
          <w:rFonts w:hint="eastAsia" w:ascii="Times New Roman" w:hAnsi="Times New Roman" w:cs="Times New Roman"/>
        </w:rPr>
        <w:t>（三）加强文物保护文化传承</w:t>
      </w:r>
      <w:bookmarkEnd w:id="138"/>
      <w:bookmarkEnd w:id="139"/>
      <w:bookmarkEnd w:id="140"/>
      <w:bookmarkEnd w:id="141"/>
      <w:bookmarkEnd w:id="142"/>
      <w:bookmarkEnd w:id="143"/>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在“十三五”文化普查的基础上，对全旗文化旅游资源分布情况和保护情况做进一步梳理，从而进行分类保护、传承振兴、演绎和活化。将伊金霍洛旗独特的文化融入到旅游产品和服务当中，让游客在不断体验、感受和认知不同文化的过程中传播文化，有利于推动伊金霍洛旗文化的交流和价值的实现，扩大文化影响力，增强文化软实力。文化创意和设计服务与旅游产业的融合，有利于实现伊金霍洛旗文旅产业提质升级。做大做强文化产业，实现景点外观和文化内涵的统一，使伊金霍洛旗的文旅产业更具生命力、吸引力和竞争力。</w:t>
      </w:r>
    </w:p>
    <w:p>
      <w:pPr>
        <w:pStyle w:val="4"/>
        <w:ind w:firstLine="480"/>
        <w:rPr>
          <w:rFonts w:ascii="Times New Roman" w:hAnsi="Times New Roman" w:cs="Times New Roman"/>
        </w:rPr>
      </w:pPr>
      <w:bookmarkStart w:id="144" w:name="_Toc26306"/>
      <w:bookmarkStart w:id="145" w:name="_Toc8166"/>
      <w:bookmarkStart w:id="146" w:name="_Toc26223"/>
      <w:bookmarkStart w:id="147" w:name="_Toc8883"/>
      <w:bookmarkStart w:id="148" w:name="_Toc30165"/>
      <w:bookmarkStart w:id="149" w:name="_Toc30848"/>
      <w:r>
        <w:rPr>
          <w:rFonts w:hint="eastAsia" w:ascii="Times New Roman" w:hAnsi="Times New Roman" w:cs="Times New Roman"/>
        </w:rPr>
        <w:t>（四）推动全域旅游纵深发展</w:t>
      </w:r>
      <w:bookmarkEnd w:id="144"/>
      <w:bookmarkEnd w:id="145"/>
      <w:bookmarkEnd w:id="146"/>
      <w:bookmarkEnd w:id="147"/>
      <w:bookmarkEnd w:id="148"/>
      <w:bookmarkEnd w:id="149"/>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全域旅游是指在一定区域内，以旅游业为优势产业，通过对区域内经济社会资源尤其是旅游资源、相关产业、生态环境、公共服务、体制机制、政策法规、文明素质等进行全方位、系统化的优化提升，实现区域资源有机整合、产业融合发展、社会共建共享，以旅游业带动和促进经济社会协调发展的一种新的区域协调发展理念和模式。</w:t>
      </w:r>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伊金霍洛旗是鄂尔多斯市飞机场、高铁站所在地，并有多条高速公路穿旗而过，交通条件便利，拥有国家级5A旅游景区成吉思汗陵旅游区及苏泊罕草原旅游区、</w:t>
      </w:r>
      <w:r>
        <w:rPr>
          <w:rFonts w:hint="eastAsia" w:ascii="Times New Roman" w:hAnsi="Times New Roman" w:cs="Times New Roman"/>
          <w:bCs/>
          <w:sz w:val="24"/>
          <w:lang w:eastAsia="zh-CN"/>
        </w:rPr>
        <w:t>鄂尔多斯文化产业园</w:t>
      </w:r>
      <w:r>
        <w:rPr>
          <w:rFonts w:hint="eastAsia" w:ascii="Times New Roman" w:hAnsi="Times New Roman" w:cs="Times New Roman"/>
          <w:bCs/>
          <w:sz w:val="24"/>
        </w:rPr>
        <w:t>等高品质的旅游资源，城市建设舒朗大气，为发展全域旅游储备了基础和条件。推动伊金霍洛旗全域旅游纵深发展是促进伊金霍洛旗文化旅游业可持续发展和提升竞争力的必然选择。</w:t>
      </w:r>
    </w:p>
    <w:p>
      <w:pPr>
        <w:pStyle w:val="4"/>
        <w:ind w:firstLine="480"/>
        <w:rPr>
          <w:rFonts w:ascii="Times New Roman" w:hAnsi="Times New Roman" w:cs="Times New Roman"/>
        </w:rPr>
      </w:pPr>
      <w:bookmarkStart w:id="150" w:name="_Toc16304"/>
      <w:bookmarkStart w:id="151" w:name="_Toc1967"/>
      <w:bookmarkStart w:id="152" w:name="_Toc24896"/>
      <w:bookmarkStart w:id="153" w:name="_Toc24628"/>
      <w:bookmarkStart w:id="154" w:name="_Toc20463"/>
      <w:bookmarkStart w:id="155" w:name="_Toc17709"/>
      <w:r>
        <w:rPr>
          <w:rFonts w:hint="eastAsia" w:ascii="Times New Roman" w:hAnsi="Times New Roman" w:cs="Times New Roman"/>
        </w:rPr>
        <w:t>（五）增强产业引领带动作用</w:t>
      </w:r>
      <w:bookmarkEnd w:id="150"/>
      <w:bookmarkEnd w:id="151"/>
      <w:bookmarkEnd w:id="152"/>
      <w:bookmarkEnd w:id="153"/>
      <w:bookmarkEnd w:id="154"/>
      <w:bookmarkEnd w:id="155"/>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十四五”期间扩大伊金霍洛旗文化旅游产业，以文化和旅游带动产业集聚，带动相关产业发展，为伊金霍洛旗经济发展注入新动能，以旅游促进住宿业、饭店业、演艺事业、制造业的发展，充分发挥文化和旅游业的带动作用。通过发展文旅业增加伊金霍洛旗就业机会，提升当地居民对自身文化的认同感和自豪感，实现旅游惠民。同时，由于旅游业是公认的关联度高、带动性强、辐射性大的经济产业，扩大文化和旅游业的关联带动作用可以有效分散服务行业的金融风险，更有利于冲散突发事件对某一行业带来的巨大冲击。</w:t>
      </w:r>
    </w:p>
    <w:p>
      <w:pPr>
        <w:pStyle w:val="4"/>
        <w:ind w:firstLine="480"/>
        <w:rPr>
          <w:rFonts w:ascii="Times New Roman" w:hAnsi="Times New Roman" w:cs="Times New Roman"/>
        </w:rPr>
      </w:pPr>
      <w:bookmarkStart w:id="156" w:name="_Toc10022"/>
      <w:r>
        <w:rPr>
          <w:rFonts w:hint="eastAsia" w:ascii="Times New Roman" w:hAnsi="Times New Roman" w:cs="Times New Roman"/>
        </w:rPr>
        <w:t>（六）推进非遗保护与传承</w:t>
      </w:r>
      <w:bookmarkEnd w:id="156"/>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一是加大力度发掘、整理、抢救非物质文化遗产项目。设立旗区“非遗保护工程”专项资金。每年给予非遗名录代表性传承人经费补贴，并不断完善申报、使用和管理办法；二是加快建设阵地体系，完成苏布尔嘎非遗嘎查建设，建成</w:t>
      </w:r>
      <w:r>
        <w:rPr>
          <w:rFonts w:hint="eastAsia" w:ascii="Times New Roman" w:hAnsi="Times New Roman" w:cs="Times New Roman"/>
          <w:bCs/>
          <w:sz w:val="24"/>
          <w:lang w:val="en-US" w:eastAsia="zh-CN"/>
        </w:rPr>
        <w:t>3</w:t>
      </w:r>
      <w:r>
        <w:rPr>
          <w:rFonts w:hint="eastAsia" w:ascii="Times New Roman" w:hAnsi="Times New Roman" w:cs="Times New Roman"/>
          <w:bCs/>
          <w:sz w:val="24"/>
        </w:rPr>
        <w:t>个</w:t>
      </w:r>
      <w:r>
        <w:rPr>
          <w:rFonts w:hint="eastAsia" w:ascii="Times New Roman" w:hAnsi="Times New Roman" w:cs="Times New Roman"/>
          <w:bCs/>
          <w:sz w:val="24"/>
          <w:lang w:eastAsia="zh-CN"/>
        </w:rPr>
        <w:t>规模</w:t>
      </w:r>
      <w:r>
        <w:rPr>
          <w:rFonts w:hint="eastAsia" w:ascii="Times New Roman" w:hAnsi="Times New Roman" w:cs="Times New Roman"/>
          <w:bCs/>
          <w:sz w:val="24"/>
        </w:rPr>
        <w:t>以上非遗传习所，</w:t>
      </w:r>
      <w:r>
        <w:rPr>
          <w:rFonts w:hint="eastAsia" w:ascii="Times New Roman" w:hAnsi="Times New Roman" w:cs="Times New Roman"/>
          <w:bCs/>
          <w:sz w:val="24"/>
          <w:lang w:val="en-US" w:eastAsia="zh-CN"/>
        </w:rPr>
        <w:t>3</w:t>
      </w:r>
      <w:r>
        <w:rPr>
          <w:rFonts w:hint="eastAsia" w:ascii="Times New Roman" w:hAnsi="Times New Roman" w:cs="Times New Roman"/>
          <w:bCs/>
          <w:sz w:val="24"/>
        </w:rPr>
        <w:t>个以上非遗传承示范学校，一个非遗传承示范社区；三是继续推进非遗文化交流，创新非遗传承活化。举办天骄·非遗文化节、精品非遗项目进基层巡展、精品非遗外出交流，积极整合文化、教育等多方资源，推进非遗进课堂、进教材、进校园、进景区，组织传承人进校开展授课辅导活动，支持和鼓励非遗项目代表性传承人开展传习活动等一系列非遗交流活动；四是加强宣传推广。通过多种宣传渠道宣传非遗的内容和意义，普及相关法律法规及科学知识，增强人民群众对非遗保护传承的意识；五是加强队伍建设。充分利用文旅专家工作室的引领功能，对</w:t>
      </w:r>
      <w:r>
        <w:rPr>
          <w:rFonts w:hint="eastAsia" w:ascii="Times New Roman" w:hAnsi="Times New Roman" w:cs="Times New Roman"/>
          <w:bCs/>
          <w:sz w:val="24"/>
          <w:lang w:eastAsia="zh-CN"/>
        </w:rPr>
        <w:t>伊金霍洛旗</w:t>
      </w:r>
      <w:r>
        <w:rPr>
          <w:rFonts w:hint="eastAsia" w:ascii="Times New Roman" w:hAnsi="Times New Roman" w:cs="Times New Roman"/>
          <w:bCs/>
          <w:sz w:val="24"/>
        </w:rPr>
        <w:t>非遗进行专题挖掘和研究，引领在职人员快速成长。进一步加大学习培训力度，助力非遗队伍快速成长。</w:t>
      </w:r>
      <w:r>
        <w:rPr>
          <w:rFonts w:hint="eastAsia" w:ascii="Times New Roman" w:hAnsi="Times New Roman" w:cs="Times New Roman"/>
          <w:b/>
          <w:bCs/>
          <w:sz w:val="28"/>
          <w:szCs w:val="28"/>
        </w:rPr>
        <w:br w:type="page"/>
      </w:r>
    </w:p>
    <w:p>
      <w:pPr>
        <w:pStyle w:val="2"/>
        <w:rPr>
          <w:rFonts w:ascii="Times New Roman" w:hAnsi="Times New Roman" w:cs="Times New Roman" w:eastAsiaTheme="minorEastAsia"/>
        </w:rPr>
      </w:pPr>
      <w:bookmarkStart w:id="157" w:name="_Toc24801"/>
      <w:bookmarkStart w:id="158" w:name="_Toc19969"/>
      <w:r>
        <w:rPr>
          <w:rFonts w:hint="eastAsia" w:ascii="Times New Roman" w:hAnsi="Times New Roman" w:cs="Times New Roman" w:eastAsiaTheme="minorEastAsia"/>
        </w:rPr>
        <w:t>第三章 全域统筹，构建文化旅游空间格局</w:t>
      </w:r>
      <w:bookmarkEnd w:id="157"/>
      <w:bookmarkEnd w:id="158"/>
    </w:p>
    <w:p>
      <w:pPr>
        <w:pStyle w:val="3"/>
        <w:ind w:firstLine="560" w:firstLineChars="200"/>
        <w:rPr>
          <w:rFonts w:ascii="Times New Roman" w:hAnsi="Times New Roman" w:cs="Times New Roman"/>
        </w:rPr>
      </w:pPr>
      <w:bookmarkStart w:id="159" w:name="_Toc26055"/>
      <w:r>
        <w:rPr>
          <w:rFonts w:hint="eastAsia" w:ascii="Times New Roman" w:hAnsi="Times New Roman" w:cs="Times New Roman"/>
        </w:rPr>
        <w:t>一、布局原则</w:t>
      </w:r>
      <w:bookmarkEnd w:id="159"/>
    </w:p>
    <w:p>
      <w:pPr>
        <w:pStyle w:val="4"/>
        <w:ind w:firstLine="480"/>
        <w:rPr>
          <w:rFonts w:ascii="Times New Roman" w:hAnsi="Times New Roman" w:cs="Times New Roman"/>
        </w:rPr>
      </w:pPr>
      <w:bookmarkStart w:id="160" w:name="_Toc7403"/>
      <w:bookmarkStart w:id="161" w:name="_Toc4709"/>
      <w:bookmarkStart w:id="162" w:name="_Toc31106"/>
      <w:bookmarkStart w:id="163" w:name="_Toc26901"/>
      <w:r>
        <w:rPr>
          <w:rFonts w:hint="eastAsia" w:ascii="Times New Roman" w:hAnsi="Times New Roman" w:cs="Times New Roman"/>
        </w:rPr>
        <w:t>（一）因地制宜，资源共享</w:t>
      </w:r>
      <w:bookmarkEnd w:id="160"/>
      <w:bookmarkEnd w:id="161"/>
      <w:bookmarkEnd w:id="162"/>
      <w:bookmarkEnd w:id="163"/>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旅游发展总体布局要根据旅游资源禀赋状况及分布特点，确定各旅游区的优势资源和主打产品，构建功能互补的发展格局。发挥旅游区资源比较优势的同时，注重旅游区之间的功能互补和资源共享，力求同一主题的旅游资源在空间上形成连续、功能上形成互补。以发挥规模效应和组合优势。</w:t>
      </w:r>
    </w:p>
    <w:p>
      <w:pPr>
        <w:pStyle w:val="4"/>
        <w:ind w:firstLine="480"/>
        <w:rPr>
          <w:rFonts w:ascii="Times New Roman" w:hAnsi="Times New Roman" w:cs="Times New Roman"/>
        </w:rPr>
      </w:pPr>
      <w:bookmarkStart w:id="164" w:name="_Toc27899"/>
      <w:bookmarkStart w:id="165" w:name="_Toc17688"/>
      <w:bookmarkStart w:id="166" w:name="_Toc1284"/>
      <w:bookmarkStart w:id="167" w:name="_Toc20560"/>
      <w:r>
        <w:rPr>
          <w:rFonts w:hint="eastAsia" w:ascii="Times New Roman" w:hAnsi="Times New Roman" w:cs="Times New Roman"/>
        </w:rPr>
        <w:t>（二）重点突出，全域统筹</w:t>
      </w:r>
      <w:bookmarkEnd w:id="164"/>
      <w:bookmarkEnd w:id="165"/>
      <w:bookmarkEnd w:id="166"/>
      <w:bookmarkEnd w:id="167"/>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旅游开发在全面展开的基础上突出重点，优者先行，实施重点突破战略。将能够牵动市场、具有全局拉动作用的旅游区确定为重点开发项目，集中财力、物力优先发展，滚动发展，在短时间内以较小的投入获取最大的成效。实施以点带面的发展战略，采取“重点带动一般”的开发策略，充分发挥重点项目的辐射带动作用，推动文化旅游业的全域发展。</w:t>
      </w:r>
    </w:p>
    <w:p>
      <w:pPr>
        <w:pStyle w:val="4"/>
        <w:ind w:firstLine="480"/>
        <w:rPr>
          <w:rFonts w:ascii="Times New Roman" w:hAnsi="Times New Roman" w:cs="Times New Roman"/>
        </w:rPr>
      </w:pPr>
      <w:bookmarkStart w:id="168" w:name="_Toc1220"/>
      <w:bookmarkStart w:id="169" w:name="_Toc27555"/>
      <w:bookmarkStart w:id="170" w:name="_Toc7804"/>
      <w:bookmarkStart w:id="171" w:name="_Toc6963"/>
      <w:r>
        <w:rPr>
          <w:rFonts w:hint="eastAsia" w:ascii="Times New Roman" w:hAnsi="Times New Roman" w:cs="Times New Roman"/>
        </w:rPr>
        <w:t>（三）局部集中，空间连续</w:t>
      </w:r>
      <w:bookmarkEnd w:id="168"/>
      <w:bookmarkEnd w:id="169"/>
      <w:bookmarkEnd w:id="170"/>
      <w:bookmarkEnd w:id="171"/>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伊金霍洛旗文化旅游资源分布表现出明显的相对集中性，因此，旅游产品、旅游景区应注重空间的集中性、连续性，以实现全旗区域内旅游景点</w:t>
      </w:r>
      <w:r>
        <w:rPr>
          <w:rFonts w:hint="eastAsia" w:ascii="Times New Roman" w:hAnsi="Times New Roman" w:cs="Times New Roman"/>
          <w:sz w:val="24"/>
          <w:lang w:eastAsia="zh-CN"/>
        </w:rPr>
        <w:t>（</w:t>
      </w:r>
      <w:r>
        <w:rPr>
          <w:rFonts w:hint="eastAsia" w:ascii="Times New Roman" w:hAnsi="Times New Roman" w:cs="Times New Roman"/>
          <w:sz w:val="24"/>
        </w:rPr>
        <w:t>区</w:t>
      </w:r>
      <w:r>
        <w:rPr>
          <w:rFonts w:hint="eastAsia" w:ascii="Times New Roman" w:hAnsi="Times New Roman" w:cs="Times New Roman"/>
          <w:sz w:val="24"/>
          <w:lang w:eastAsia="zh-CN"/>
        </w:rPr>
        <w:t>）</w:t>
      </w:r>
      <w:r>
        <w:rPr>
          <w:rFonts w:hint="eastAsia" w:ascii="Times New Roman" w:hAnsi="Times New Roman" w:cs="Times New Roman"/>
          <w:sz w:val="24"/>
        </w:rPr>
        <w:t>的有机整合。空间连续性主要表现在两个方面</w:t>
      </w:r>
      <w:r>
        <w:rPr>
          <w:rFonts w:hint="eastAsia" w:ascii="Times New Roman" w:hAnsi="Times New Roman" w:cs="Times New Roman"/>
          <w:sz w:val="24"/>
          <w:lang w:eastAsia="zh-CN"/>
        </w:rPr>
        <w:t>：</w:t>
      </w:r>
      <w:r>
        <w:rPr>
          <w:rFonts w:hint="eastAsia" w:ascii="Times New Roman" w:hAnsi="Times New Roman" w:cs="Times New Roman"/>
          <w:sz w:val="24"/>
        </w:rPr>
        <w:t xml:space="preserve"> 一是各旅游景区、旅游景点之间的交通条件良好，旅游者能“进得去，出得来，散得开”；二是空间布局时充分考虑行政管理的特点，结合行政区进行布局。</w:t>
      </w:r>
    </w:p>
    <w:p>
      <w:pPr>
        <w:pStyle w:val="3"/>
        <w:ind w:firstLine="560" w:firstLineChars="200"/>
        <w:rPr>
          <w:rFonts w:ascii="Times New Roman" w:hAnsi="Times New Roman" w:cs="Times New Roman"/>
        </w:rPr>
      </w:pPr>
      <w:bookmarkStart w:id="172" w:name="_Toc11327"/>
      <w:r>
        <w:rPr>
          <w:rFonts w:hint="eastAsia" w:ascii="Times New Roman" w:hAnsi="Times New Roman" w:cs="Times New Roman"/>
        </w:rPr>
        <w:t>二、空间结构</w:t>
      </w:r>
      <w:bookmarkEnd w:id="172"/>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按照主题化、融合化、可操作原则，结合国内外文化旅游需求变化，以伊金霍洛旗文化旅游资源分布、文化旅游产业现状、交通肌理、城镇格局为基础，从有利于文化旅游产业发展和旅游活动组织的角度出发，确定未来伊金霍洛旗将形成“</w:t>
      </w:r>
      <w:r>
        <w:rPr>
          <w:rFonts w:hint="eastAsia" w:ascii="Times New Roman" w:hAnsi="Times New Roman" w:cs="Times New Roman"/>
          <w:b/>
          <w:sz w:val="24"/>
        </w:rPr>
        <w:t>一心引领，一廊带动、两翼齐飞</w:t>
      </w:r>
      <w:r>
        <w:rPr>
          <w:rFonts w:hint="eastAsia" w:ascii="Times New Roman" w:hAnsi="Times New Roman" w:cs="Times New Roman"/>
          <w:sz w:val="24"/>
        </w:rPr>
        <w:t>”的文化旅游空间格局。</w:t>
      </w:r>
    </w:p>
    <w:p>
      <w:pPr>
        <w:pStyle w:val="4"/>
        <w:ind w:firstLine="480"/>
        <w:rPr>
          <w:rFonts w:ascii="Times New Roman" w:hAnsi="Times New Roman" w:cs="Times New Roman" w:eastAsiaTheme="minorEastAsia"/>
        </w:rPr>
      </w:pPr>
      <w:bookmarkStart w:id="173" w:name="_Toc346"/>
      <w:bookmarkStart w:id="174" w:name="_Toc31644"/>
      <w:bookmarkStart w:id="175" w:name="_Toc22163"/>
      <w:bookmarkStart w:id="176" w:name="_Toc22773"/>
      <w:r>
        <w:rPr>
          <w:rFonts w:hint="eastAsia" w:ascii="Times New Roman" w:hAnsi="Times New Roman" w:cs="Times New Roman" w:eastAsiaTheme="minorEastAsia"/>
        </w:rPr>
        <w:t>一心：鄂尔多斯文化旅游综合集散服务中心</w:t>
      </w:r>
      <w:bookmarkEnd w:id="173"/>
      <w:bookmarkEnd w:id="174"/>
      <w:bookmarkEnd w:id="175"/>
      <w:bookmarkEnd w:id="176"/>
    </w:p>
    <w:p>
      <w:pPr>
        <w:pStyle w:val="4"/>
        <w:ind w:firstLine="480"/>
        <w:rPr>
          <w:rFonts w:ascii="Times New Roman" w:hAnsi="Times New Roman" w:cs="Times New Roman" w:eastAsiaTheme="minorEastAsia"/>
        </w:rPr>
      </w:pPr>
      <w:bookmarkStart w:id="177" w:name="_Toc25928"/>
      <w:bookmarkStart w:id="178" w:name="_Toc24807"/>
      <w:bookmarkStart w:id="179" w:name="_Toc31779"/>
      <w:bookmarkStart w:id="180" w:name="_Toc23118"/>
      <w:r>
        <w:rPr>
          <w:rFonts w:hint="eastAsia" w:ascii="Times New Roman" w:hAnsi="Times New Roman" w:cs="Times New Roman" w:eastAsiaTheme="minorEastAsia"/>
        </w:rPr>
        <w:t>一廊：</w:t>
      </w:r>
      <w:bookmarkEnd w:id="177"/>
      <w:bookmarkEnd w:id="178"/>
      <w:bookmarkEnd w:id="179"/>
      <w:r>
        <w:rPr>
          <w:rFonts w:hint="eastAsia" w:ascii="Times New Roman" w:hAnsi="Times New Roman" w:cs="Times New Roman" w:eastAsiaTheme="minorEastAsia"/>
        </w:rPr>
        <w:t>包茂高速文化旅游廊道</w:t>
      </w:r>
      <w:bookmarkEnd w:id="180"/>
    </w:p>
    <w:p>
      <w:pPr>
        <w:pStyle w:val="4"/>
        <w:ind w:firstLine="480"/>
        <w:rPr>
          <w:rFonts w:ascii="Times New Roman" w:hAnsi="Times New Roman" w:cs="Times New Roman" w:eastAsiaTheme="minorEastAsia"/>
        </w:rPr>
      </w:pPr>
      <w:bookmarkStart w:id="181" w:name="_Toc8374"/>
      <w:bookmarkStart w:id="182" w:name="_Toc26161"/>
      <w:bookmarkStart w:id="183" w:name="_Toc10604"/>
      <w:bookmarkStart w:id="184" w:name="_Toc11527"/>
      <w:r>
        <w:rPr>
          <w:rFonts w:hint="eastAsia" w:ascii="Times New Roman" w:hAnsi="Times New Roman" w:cs="Times New Roman" w:eastAsiaTheme="minorEastAsia"/>
        </w:rPr>
        <w:t>两翼：左翼——</w:t>
      </w:r>
      <w:bookmarkEnd w:id="181"/>
      <w:bookmarkEnd w:id="182"/>
      <w:r>
        <w:rPr>
          <w:rFonts w:hint="eastAsia" w:ascii="Times New Roman" w:hAnsi="Times New Roman" w:cs="Times New Roman" w:eastAsiaTheme="minorEastAsia"/>
        </w:rPr>
        <w:t>现代生态工业旅游翼</w:t>
      </w:r>
      <w:bookmarkEnd w:id="183"/>
      <w:bookmarkEnd w:id="184"/>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 xml:space="preserve">      右翼——草原湖泊生态旅游翼</w:t>
      </w:r>
    </w:p>
    <w:p>
      <w:pPr>
        <w:pStyle w:val="3"/>
        <w:ind w:firstLine="560" w:firstLineChars="200"/>
        <w:rPr>
          <w:rFonts w:ascii="Times New Roman" w:hAnsi="Times New Roman" w:cs="Times New Roman"/>
        </w:rPr>
      </w:pPr>
      <w:bookmarkStart w:id="185" w:name="_Toc10498"/>
      <w:bookmarkStart w:id="186" w:name="_Toc25592"/>
      <w:r>
        <w:rPr>
          <w:rFonts w:hint="eastAsia" w:ascii="Times New Roman" w:hAnsi="Times New Roman" w:cs="Times New Roman"/>
        </w:rPr>
        <w:t>三、片区发展</w:t>
      </w:r>
      <w:bookmarkEnd w:id="185"/>
    </w:p>
    <w:p>
      <w:pPr>
        <w:pStyle w:val="4"/>
        <w:ind w:firstLine="480"/>
        <w:rPr>
          <w:rFonts w:ascii="Times New Roman" w:hAnsi="Times New Roman" w:cs="Times New Roman"/>
        </w:rPr>
      </w:pPr>
      <w:bookmarkStart w:id="187" w:name="_Toc31372"/>
      <w:bookmarkStart w:id="188" w:name="_Toc27832"/>
      <w:bookmarkStart w:id="189" w:name="_Toc12112"/>
      <w:bookmarkStart w:id="190" w:name="_Toc13325"/>
      <w:r>
        <w:rPr>
          <w:rFonts w:hint="eastAsia" w:ascii="Times New Roman" w:hAnsi="Times New Roman" w:cs="Times New Roman"/>
        </w:rPr>
        <w:t>（一）</w:t>
      </w:r>
      <w:bookmarkEnd w:id="186"/>
      <w:r>
        <w:rPr>
          <w:rFonts w:hint="eastAsia" w:ascii="Times New Roman" w:hAnsi="Times New Roman" w:cs="Times New Roman"/>
        </w:rPr>
        <w:t>一心引领</w:t>
      </w:r>
      <w:bookmarkEnd w:id="187"/>
      <w:bookmarkEnd w:id="188"/>
      <w:bookmarkEnd w:id="189"/>
      <w:bookmarkEnd w:id="190"/>
    </w:p>
    <w:p>
      <w:pPr>
        <w:pStyle w:val="5"/>
        <w:ind w:firstLine="482"/>
        <w:rPr>
          <w:rFonts w:ascii="Times New Roman" w:hAnsi="Times New Roman" w:cs="Times New Roman" w:eastAsiaTheme="minorEastAsia"/>
        </w:rPr>
      </w:pPr>
      <w:r>
        <w:rPr>
          <w:rFonts w:hint="eastAsia" w:ascii="Times New Roman" w:hAnsi="Times New Roman" w:cs="Times New Roman" w:eastAsiaTheme="minorEastAsia"/>
        </w:rPr>
        <w:t>一心：鄂尔多斯文化旅游综合集散服务中心</w:t>
      </w:r>
    </w:p>
    <w:p>
      <w:pPr>
        <w:pStyle w:val="9"/>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规划范围：</w:t>
      </w:r>
      <w:r>
        <w:rPr>
          <w:rFonts w:hint="eastAsia" w:ascii="Times New Roman" w:hAnsi="Times New Roman" w:cs="Times New Roman"/>
          <w:sz w:val="24"/>
        </w:rPr>
        <w:t>阿勒腾席热镇</w:t>
      </w:r>
    </w:p>
    <w:p>
      <w:pPr>
        <w:pStyle w:val="9"/>
        <w:spacing w:line="360" w:lineRule="auto"/>
        <w:ind w:firstLine="482" w:firstLineChars="200"/>
        <w:rPr>
          <w:rFonts w:ascii="Times New Roman" w:hAnsi="Times New Roman" w:cs="Times New Roman"/>
          <w:sz w:val="24"/>
        </w:rPr>
      </w:pPr>
      <w:r>
        <w:rPr>
          <w:rFonts w:hint="eastAsia" w:ascii="Times New Roman" w:hAnsi="Times New Roman" w:cs="Times New Roman"/>
          <w:b/>
          <w:sz w:val="24"/>
        </w:rPr>
        <w:t>规划思路：</w:t>
      </w:r>
      <w:r>
        <w:rPr>
          <w:rFonts w:hint="eastAsia" w:ascii="Times New Roman" w:hAnsi="Times New Roman" w:cs="Times New Roman"/>
          <w:sz w:val="24"/>
        </w:rPr>
        <w:t>阿镇是现代化鄂尔多斯市核心城区的重要组成部分和伊金霍洛</w:t>
      </w:r>
      <w:r>
        <w:rPr>
          <w:rFonts w:hint="eastAsia" w:ascii="Times New Roman" w:hAnsi="Times New Roman" w:cs="Times New Roman"/>
          <w:sz w:val="24"/>
          <w:lang w:eastAsia="zh-CN"/>
        </w:rPr>
        <w:t>旗</w:t>
      </w:r>
      <w:r>
        <w:rPr>
          <w:rFonts w:hint="eastAsia" w:ascii="Times New Roman" w:hAnsi="Times New Roman" w:cs="Times New Roman"/>
          <w:sz w:val="24"/>
        </w:rPr>
        <w:t>政府所在地，与康巴什区连成一片，是鄂尔多斯机场、高铁站所在地。阿镇与康巴什区的复合体是鄂尔多斯文化旅游产业发展的政治、文化、交通、信息、管理、服务、商贸、会议、教育中心，也是区域性的游客集散中心，是鄂尔多斯文化旅游产业的心脏。</w:t>
      </w:r>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以阿镇为依托，完善食、住、行、游、购、娱等要素，增加城市休闲新业态，尤其是特色街区、夜间休闲娱乐项目、演艺项目等。加强文化旅游综合服务和集散功能，打造鄂尔多斯文化旅游服务中心、集散中心、都市休闲、文化体验、会展商贸中心。</w:t>
      </w:r>
    </w:p>
    <w:p>
      <w:pPr>
        <w:pStyle w:val="4"/>
        <w:ind w:firstLine="480"/>
        <w:rPr>
          <w:rFonts w:ascii="Times New Roman" w:hAnsi="Times New Roman" w:cs="Times New Roman"/>
        </w:rPr>
      </w:pPr>
      <w:bookmarkStart w:id="191" w:name="_Toc27034"/>
      <w:bookmarkStart w:id="192" w:name="_Toc2071"/>
      <w:bookmarkStart w:id="193" w:name="_Toc12211"/>
      <w:bookmarkStart w:id="194" w:name="_Toc29365"/>
      <w:bookmarkStart w:id="195" w:name="_Toc11643"/>
      <w:r>
        <w:rPr>
          <w:rFonts w:hint="eastAsia" w:ascii="Times New Roman" w:hAnsi="Times New Roman" w:cs="Times New Roman"/>
        </w:rPr>
        <w:t>（二）一廊带动</w:t>
      </w:r>
      <w:bookmarkEnd w:id="191"/>
      <w:bookmarkEnd w:id="192"/>
      <w:bookmarkEnd w:id="193"/>
      <w:bookmarkEnd w:id="194"/>
    </w:p>
    <w:p>
      <w:pPr>
        <w:pStyle w:val="5"/>
        <w:ind w:firstLine="482"/>
        <w:rPr>
          <w:rFonts w:ascii="Times New Roman" w:hAnsi="Times New Roman" w:cs="Times New Roman" w:eastAsiaTheme="minorEastAsia"/>
        </w:rPr>
      </w:pPr>
      <w:r>
        <w:rPr>
          <w:rFonts w:hint="eastAsia" w:ascii="Times New Roman" w:hAnsi="Times New Roman" w:cs="Times New Roman" w:eastAsiaTheme="minorEastAsia"/>
        </w:rPr>
        <w:t>一廊：</w:t>
      </w:r>
      <w:bookmarkEnd w:id="195"/>
      <w:r>
        <w:rPr>
          <w:rFonts w:hint="eastAsia" w:ascii="Times New Roman" w:hAnsi="Times New Roman" w:cs="Times New Roman" w:eastAsiaTheme="minorEastAsia"/>
        </w:rPr>
        <w:t>包茂高速文化旅游廊道</w:t>
      </w:r>
    </w:p>
    <w:p>
      <w:pPr>
        <w:pStyle w:val="9"/>
        <w:spacing w:line="360" w:lineRule="auto"/>
        <w:ind w:firstLine="482" w:firstLineChars="200"/>
        <w:rPr>
          <w:rFonts w:ascii="Times New Roman" w:hAnsi="Times New Roman" w:cs="Times New Roman"/>
          <w:sz w:val="24"/>
        </w:rPr>
      </w:pPr>
      <w:r>
        <w:rPr>
          <w:rFonts w:hint="eastAsia" w:ascii="Times New Roman" w:hAnsi="Times New Roman" w:cs="Times New Roman"/>
          <w:b/>
          <w:sz w:val="24"/>
        </w:rPr>
        <w:t>规划范围</w:t>
      </w:r>
      <w:r>
        <w:rPr>
          <w:rFonts w:hint="eastAsia" w:ascii="Times New Roman" w:hAnsi="Times New Roman" w:cs="Times New Roman"/>
          <w:sz w:val="24"/>
        </w:rPr>
        <w:t>：阿勒腾席热镇、伊金霍洛镇、札萨克镇</w:t>
      </w:r>
    </w:p>
    <w:p>
      <w:pPr>
        <w:pStyle w:val="9"/>
        <w:spacing w:line="360" w:lineRule="auto"/>
        <w:ind w:firstLine="482" w:firstLineChars="200"/>
        <w:rPr>
          <w:rFonts w:ascii="Times New Roman" w:hAnsi="Times New Roman" w:cs="Times New Roman"/>
          <w:sz w:val="24"/>
        </w:rPr>
      </w:pPr>
      <w:r>
        <w:rPr>
          <w:rFonts w:hint="eastAsia" w:ascii="Times New Roman" w:hAnsi="Times New Roman" w:cs="Times New Roman"/>
          <w:b/>
          <w:sz w:val="24"/>
        </w:rPr>
        <w:t>规划思路</w:t>
      </w:r>
      <w:r>
        <w:rPr>
          <w:rFonts w:hint="eastAsia" w:ascii="Times New Roman" w:hAnsi="Times New Roman" w:cs="Times New Roman"/>
          <w:sz w:val="24"/>
        </w:rPr>
        <w:t>：以包茂高速为依托，串联道路两侧的核心旅游资源，旅游景区、旅游产业要素，构建伊金霍洛旗文化旅游发展核心廊道、旅游形象廊道。对文化旅游廊道进行整体规划，分段设计；重点打造关键节点，突出特色，进行差异化建设；统筹规范管理，植入新兴业态。增加休闲度假功能；加强景观设计，完善基础配套设施等。</w:t>
      </w:r>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未来重点是加快推进成吉思汗陵园、成吉思汗陵旅游区、伊金霍洛镇镇区的整合，深入挖掘达尔扈特文化旅游资源，形成大成吉思汗陵旅游景区；加快</w:t>
      </w:r>
      <w:r>
        <w:rPr>
          <w:rFonts w:hint="eastAsia" w:ascii="Times New Roman" w:hAnsi="Times New Roman" w:cs="Times New Roman"/>
          <w:sz w:val="24"/>
          <w:lang w:eastAsia="zh-CN"/>
        </w:rPr>
        <w:t>鄂尔多斯文化产业园</w:t>
      </w:r>
      <w:r>
        <w:rPr>
          <w:rFonts w:hint="eastAsia" w:ascii="Times New Roman" w:hAnsi="Times New Roman" w:cs="Times New Roman"/>
          <w:sz w:val="24"/>
        </w:rPr>
        <w:t>、</w:t>
      </w:r>
      <w:r>
        <w:rPr>
          <w:rFonts w:hint="eastAsia" w:ascii="Times New Roman" w:hAnsi="Times New Roman" w:cs="Times New Roman"/>
          <w:sz w:val="24"/>
          <w:lang w:eastAsia="zh-CN"/>
        </w:rPr>
        <w:t>颐和生态文化博览园</w:t>
      </w:r>
      <w:r>
        <w:rPr>
          <w:rFonts w:hint="eastAsia" w:ascii="Times New Roman" w:hAnsi="Times New Roman" w:cs="Times New Roman"/>
          <w:sz w:val="24"/>
        </w:rPr>
        <w:t>、红海子湿地等旅游区的提档升级。</w:t>
      </w:r>
    </w:p>
    <w:p>
      <w:pPr>
        <w:pStyle w:val="4"/>
        <w:ind w:firstLine="480"/>
        <w:rPr>
          <w:rFonts w:ascii="Times New Roman" w:hAnsi="Times New Roman" w:cs="Times New Roman"/>
        </w:rPr>
      </w:pPr>
      <w:bookmarkStart w:id="196" w:name="_Toc24395"/>
      <w:bookmarkStart w:id="197" w:name="_Toc31712"/>
      <w:bookmarkStart w:id="198" w:name="_Toc18597"/>
      <w:bookmarkStart w:id="199" w:name="_Toc1002"/>
      <w:r>
        <w:rPr>
          <w:rFonts w:hint="eastAsia" w:ascii="Times New Roman" w:hAnsi="Times New Roman" w:cs="Times New Roman"/>
        </w:rPr>
        <w:t>（三）两翼齐飞</w:t>
      </w:r>
      <w:bookmarkEnd w:id="196"/>
      <w:bookmarkEnd w:id="197"/>
      <w:bookmarkEnd w:id="198"/>
      <w:bookmarkEnd w:id="199"/>
    </w:p>
    <w:p>
      <w:pPr>
        <w:pStyle w:val="5"/>
        <w:ind w:firstLine="482"/>
        <w:rPr>
          <w:rFonts w:ascii="Times New Roman" w:hAnsi="Times New Roman" w:cs="Times New Roman" w:eastAsiaTheme="minorEastAsia"/>
        </w:rPr>
      </w:pPr>
      <w:r>
        <w:rPr>
          <w:rFonts w:hint="eastAsia" w:ascii="Times New Roman" w:hAnsi="Times New Roman" w:cs="Times New Roman" w:eastAsiaTheme="minorEastAsia"/>
        </w:rPr>
        <w:t>1.左翼——现代生态工业旅游翼</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规划范围：</w:t>
      </w:r>
      <w:r>
        <w:rPr>
          <w:rFonts w:hint="eastAsia" w:ascii="Times New Roman" w:hAnsi="Times New Roman" w:cs="Times New Roman"/>
          <w:sz w:val="24"/>
        </w:rPr>
        <w:t>纳林陶亥镇、乌兰木伦镇</w:t>
      </w:r>
    </w:p>
    <w:p>
      <w:pPr>
        <w:spacing w:line="360" w:lineRule="auto"/>
        <w:ind w:firstLine="482" w:firstLineChars="200"/>
        <w:rPr>
          <w:rFonts w:ascii="Times New Roman" w:hAnsi="Times New Roman" w:cs="Times New Roman"/>
          <w:sz w:val="24"/>
        </w:rPr>
      </w:pPr>
      <w:r>
        <w:rPr>
          <w:rFonts w:hint="eastAsia" w:ascii="Times New Roman" w:hAnsi="Times New Roman" w:cs="Times New Roman"/>
          <w:b/>
          <w:sz w:val="24"/>
        </w:rPr>
        <w:t>规划思路：</w:t>
      </w:r>
      <w:r>
        <w:rPr>
          <w:rFonts w:hint="eastAsia" w:ascii="Times New Roman" w:hAnsi="Times New Roman" w:cs="Times New Roman"/>
          <w:sz w:val="24"/>
        </w:rPr>
        <w:t>该区域是伊金霍洛的煤炭工业区，有陶亥召庙、战国秦长城文化遗址、朱开沟文化遗址、神华煤化油工程、煤田复垦区、露天矿等旅游资源，主要以现代生态工业旅游资源为特色。在产业技术、生态环保、生产工艺方面都代表着世界先进水平。</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未来发展的重点是以“工业+旅游”为基本方向，以生态和谐、民生和谐、产业和谐为主题，重点打造现代化的工业文化产业园，同时结合当地的文化、生态旅游资源，重点开发能源博览、参观考察、研学教育、会议会展等文化旅游项目。</w:t>
      </w:r>
    </w:p>
    <w:p>
      <w:pPr>
        <w:pStyle w:val="5"/>
        <w:ind w:firstLine="482"/>
        <w:rPr>
          <w:rFonts w:ascii="Times New Roman" w:hAnsi="Times New Roman" w:cs="Times New Roman" w:eastAsiaTheme="minorEastAsia"/>
        </w:rPr>
      </w:pPr>
      <w:r>
        <w:rPr>
          <w:rFonts w:hint="eastAsia" w:ascii="Times New Roman" w:hAnsi="Times New Roman" w:cs="Times New Roman" w:eastAsiaTheme="minorEastAsia"/>
        </w:rPr>
        <w:t>2.右翼——草原湖泊生态旅游翼</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规划范围：</w:t>
      </w:r>
      <w:r>
        <w:rPr>
          <w:rFonts w:hint="eastAsia" w:ascii="Times New Roman" w:hAnsi="Times New Roman" w:cs="Times New Roman"/>
          <w:sz w:val="24"/>
        </w:rPr>
        <w:t>苏布尔嘎镇、红庆河镇</w:t>
      </w:r>
    </w:p>
    <w:p>
      <w:pPr>
        <w:spacing w:line="360" w:lineRule="auto"/>
        <w:ind w:firstLine="482" w:firstLineChars="200"/>
        <w:rPr>
          <w:rFonts w:ascii="Times New Roman" w:hAnsi="Times New Roman" w:cs="Times New Roman"/>
          <w:sz w:val="24"/>
        </w:rPr>
      </w:pPr>
      <w:r>
        <w:rPr>
          <w:rFonts w:hint="eastAsia" w:ascii="Times New Roman" w:hAnsi="Times New Roman" w:cs="Times New Roman"/>
          <w:b/>
          <w:sz w:val="24"/>
        </w:rPr>
        <w:t>规划思路：</w:t>
      </w:r>
      <w:r>
        <w:rPr>
          <w:rFonts w:hint="eastAsia" w:ascii="Times New Roman" w:hAnsi="Times New Roman" w:cs="Times New Roman"/>
          <w:sz w:val="24"/>
        </w:rPr>
        <w:t>本区位于210国道西部，地势起伏较小，草地广布，湖泊星星点点，是鄂尔多斯高原上草原湖泊的集中分布区，也是农牧、羊绒等传统产业分布区。</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未来发展的重点是要以草原湖泊独特的自然景观为依托，在保持自然环境和自然景观原生性的基础上，结合鄂尔多斯独特的民俗风情和非遗文化，重点针对区域市场和自驾游市场，开发和布局富有地方特色的生态观光、休闲娱乐、体育运动、草原度假、非遗体验等文化旅游项目，带动伊金霍洛旗文化旅游产业发展。</w:t>
      </w:r>
    </w:p>
    <w:p>
      <w:pPr>
        <w:pStyle w:val="3"/>
        <w:ind w:firstLine="560" w:firstLineChars="200"/>
        <w:rPr>
          <w:rFonts w:ascii="Times New Roman" w:hAnsi="Times New Roman" w:cs="Times New Roman"/>
        </w:rPr>
      </w:pPr>
      <w:bookmarkStart w:id="200" w:name="_Toc25632"/>
      <w:bookmarkStart w:id="201" w:name="_Toc11255"/>
      <w:r>
        <w:rPr>
          <w:rFonts w:hint="eastAsia" w:ascii="Times New Roman" w:hAnsi="Times New Roman" w:cs="Times New Roman"/>
        </w:rPr>
        <w:t>四、</w:t>
      </w:r>
      <w:bookmarkEnd w:id="200"/>
      <w:r>
        <w:rPr>
          <w:rFonts w:hint="eastAsia" w:ascii="Times New Roman" w:hAnsi="Times New Roman" w:cs="Times New Roman"/>
        </w:rPr>
        <w:t>乡镇分类发展指引</w:t>
      </w:r>
      <w:bookmarkEnd w:id="201"/>
    </w:p>
    <w:p>
      <w:pPr>
        <w:pStyle w:val="4"/>
        <w:ind w:firstLine="480"/>
        <w:rPr>
          <w:rFonts w:ascii="Times New Roman" w:hAnsi="Times New Roman" w:cs="Times New Roman"/>
        </w:rPr>
      </w:pPr>
      <w:bookmarkStart w:id="202" w:name="_Toc24190"/>
      <w:bookmarkStart w:id="203" w:name="_Toc4434"/>
      <w:bookmarkStart w:id="204" w:name="_Toc2084"/>
      <w:bookmarkStart w:id="205" w:name="_Toc8263"/>
      <w:bookmarkStart w:id="206" w:name="_Toc10852"/>
      <w:r>
        <w:rPr>
          <w:rFonts w:hint="eastAsia" w:ascii="Times New Roman" w:hAnsi="Times New Roman" w:cs="Times New Roman"/>
        </w:rPr>
        <w:t>（一）阿勒腾席热镇</w:t>
      </w:r>
      <w:bookmarkEnd w:id="202"/>
      <w:bookmarkEnd w:id="203"/>
      <w:bookmarkEnd w:id="204"/>
      <w:bookmarkEnd w:id="205"/>
      <w:bookmarkEnd w:id="206"/>
    </w:p>
    <w:p>
      <w:pPr>
        <w:spacing w:line="360" w:lineRule="auto"/>
        <w:ind w:firstLine="482" w:firstLineChars="200"/>
        <w:rPr>
          <w:rFonts w:ascii="Times New Roman" w:hAnsi="Times New Roman" w:cs="Times New Roman"/>
          <w:sz w:val="24"/>
        </w:rPr>
      </w:pPr>
      <w:r>
        <w:rPr>
          <w:rFonts w:hint="eastAsia" w:ascii="Times New Roman" w:hAnsi="Times New Roman" w:cs="Times New Roman"/>
          <w:b/>
          <w:sz w:val="24"/>
        </w:rPr>
        <w:t>总体定位：</w:t>
      </w:r>
      <w:r>
        <w:rPr>
          <w:rFonts w:hint="eastAsia" w:ascii="Times New Roman" w:hAnsi="Times New Roman" w:cs="Times New Roman"/>
          <w:sz w:val="24"/>
        </w:rPr>
        <w:t>文化旅游综合集散服务中心</w:t>
      </w:r>
    </w:p>
    <w:p>
      <w:pPr>
        <w:pStyle w:val="9"/>
        <w:spacing w:line="360" w:lineRule="auto"/>
        <w:ind w:firstLine="482" w:firstLineChars="200"/>
        <w:rPr>
          <w:rFonts w:ascii="Times New Roman" w:hAnsi="Times New Roman" w:cs="Times New Roman"/>
          <w:sz w:val="24"/>
        </w:rPr>
      </w:pPr>
      <w:r>
        <w:rPr>
          <w:rFonts w:hint="eastAsia" w:ascii="Times New Roman" w:hAnsi="Times New Roman" w:cs="Times New Roman"/>
          <w:b/>
          <w:sz w:val="24"/>
        </w:rPr>
        <w:t>发展思路：</w:t>
      </w:r>
      <w:r>
        <w:rPr>
          <w:rFonts w:hint="eastAsia" w:ascii="Times New Roman" w:hAnsi="Times New Roman" w:cs="Times New Roman"/>
          <w:sz w:val="24"/>
        </w:rPr>
        <w:t>依托阿镇的行政、交通和区域优势，整合提升现有的文化自然资源、城市休闲设施、旅游公共服务设施，形成伊金霍洛及周边区域文化旅游发展的集散中心、服务中心和休闲娱乐中心，打造全域旅游大发展的中心城镇。</w:t>
      </w:r>
    </w:p>
    <w:p>
      <w:pPr>
        <w:pStyle w:val="9"/>
        <w:spacing w:line="360" w:lineRule="auto"/>
        <w:ind w:firstLine="482" w:firstLineChars="200"/>
        <w:rPr>
          <w:rFonts w:ascii="Times New Roman" w:hAnsi="Times New Roman" w:cs="Times New Roman"/>
          <w:sz w:val="24"/>
        </w:rPr>
      </w:pPr>
      <w:r>
        <w:rPr>
          <w:rFonts w:hint="eastAsia" w:ascii="Times New Roman" w:hAnsi="Times New Roman" w:cs="Times New Roman"/>
          <w:b/>
          <w:sz w:val="24"/>
        </w:rPr>
        <w:t>项目支撑：</w:t>
      </w:r>
      <w:r>
        <w:rPr>
          <w:rFonts w:hint="eastAsia" w:ascii="Times New Roman" w:hAnsi="Times New Roman" w:cs="Times New Roman"/>
          <w:sz w:val="24"/>
          <w:lang w:eastAsia="zh-CN"/>
        </w:rPr>
        <w:t>鄂尔多斯文化产业园</w:t>
      </w:r>
      <w:r>
        <w:rPr>
          <w:rFonts w:hint="eastAsia" w:ascii="Times New Roman" w:hAnsi="Times New Roman" w:cs="Times New Roman"/>
          <w:sz w:val="24"/>
        </w:rPr>
        <w:t>、</w:t>
      </w:r>
      <w:r>
        <w:rPr>
          <w:rFonts w:hint="eastAsia" w:ascii="Times New Roman" w:hAnsi="Times New Roman" w:cs="Times New Roman"/>
          <w:sz w:val="24"/>
          <w:lang w:eastAsia="zh-CN"/>
        </w:rPr>
        <w:t>颐和生态文化博览园</w:t>
      </w:r>
      <w:r>
        <w:rPr>
          <w:rFonts w:hint="eastAsia" w:ascii="Times New Roman" w:hAnsi="Times New Roman" w:cs="Times New Roman"/>
          <w:sz w:val="24"/>
        </w:rPr>
        <w:t>、红海子湿地旅游区、伊景园城市沙山旅游区、郡王府、温沙水湾</w:t>
      </w:r>
    </w:p>
    <w:p>
      <w:pPr>
        <w:pStyle w:val="4"/>
        <w:ind w:firstLine="480"/>
        <w:rPr>
          <w:rFonts w:ascii="Times New Roman" w:hAnsi="Times New Roman" w:cs="Times New Roman"/>
        </w:rPr>
      </w:pPr>
      <w:bookmarkStart w:id="207" w:name="_Toc9572"/>
      <w:bookmarkStart w:id="208" w:name="_Toc25908"/>
      <w:bookmarkStart w:id="209" w:name="_Toc27316"/>
      <w:bookmarkStart w:id="210" w:name="_Toc10608"/>
      <w:bookmarkStart w:id="211" w:name="_Toc30907"/>
      <w:r>
        <w:rPr>
          <w:rFonts w:hint="eastAsia" w:ascii="Times New Roman" w:hAnsi="Times New Roman" w:cs="Times New Roman"/>
        </w:rPr>
        <w:t>（二）伊金霍洛镇</w:t>
      </w:r>
      <w:bookmarkEnd w:id="207"/>
      <w:bookmarkEnd w:id="208"/>
      <w:bookmarkEnd w:id="209"/>
      <w:bookmarkEnd w:id="210"/>
      <w:bookmarkEnd w:id="211"/>
    </w:p>
    <w:p>
      <w:pPr>
        <w:pStyle w:val="9"/>
        <w:spacing w:line="360" w:lineRule="auto"/>
        <w:ind w:firstLine="482" w:firstLineChars="200"/>
        <w:rPr>
          <w:rFonts w:ascii="Times New Roman" w:hAnsi="Times New Roman" w:cs="Times New Roman"/>
          <w:sz w:val="24"/>
        </w:rPr>
      </w:pPr>
      <w:r>
        <w:rPr>
          <w:rFonts w:hint="eastAsia" w:ascii="Times New Roman" w:hAnsi="Times New Roman" w:cs="Times New Roman"/>
          <w:b/>
          <w:sz w:val="24"/>
        </w:rPr>
        <w:t>总体定位：</w:t>
      </w:r>
      <w:r>
        <w:rPr>
          <w:rFonts w:hint="eastAsia" w:ascii="Times New Roman" w:hAnsi="Times New Roman" w:cs="Times New Roman"/>
          <w:sz w:val="24"/>
          <w:lang w:val="en-US" w:eastAsia="zh-CN"/>
        </w:rPr>
        <w:t>民俗体验</w:t>
      </w:r>
      <w:r>
        <w:rPr>
          <w:rFonts w:hint="eastAsia" w:ascii="Times New Roman" w:hAnsi="Times New Roman" w:cs="Times New Roman"/>
          <w:sz w:val="24"/>
        </w:rPr>
        <w:t>小镇</w:t>
      </w:r>
    </w:p>
    <w:p>
      <w:pPr>
        <w:pStyle w:val="9"/>
        <w:spacing w:line="360" w:lineRule="auto"/>
        <w:ind w:firstLine="482" w:firstLineChars="200"/>
        <w:rPr>
          <w:rFonts w:ascii="Times New Roman" w:hAnsi="Times New Roman" w:cs="Times New Roman"/>
          <w:sz w:val="24"/>
        </w:rPr>
      </w:pPr>
      <w:r>
        <w:rPr>
          <w:rFonts w:hint="eastAsia" w:ascii="Times New Roman" w:hAnsi="Times New Roman" w:cs="Times New Roman"/>
          <w:b/>
          <w:sz w:val="24"/>
        </w:rPr>
        <w:t>发展思路：</w:t>
      </w:r>
      <w:r>
        <w:rPr>
          <w:rFonts w:hint="eastAsia" w:ascii="Times New Roman" w:hAnsi="Times New Roman" w:cs="Times New Roman"/>
          <w:sz w:val="24"/>
        </w:rPr>
        <w:t>以成吉思汗文化为主题，成吉思汗陵旅游区为依托，完善旅游接待配套设施，整合周边东草滩等农牧家乐，提升餐饮、住宿、娱乐的服务档次，建设大成吉思汗陵旅游区旅游服务中心和停车场，成为整个区域的游客集散中心；挖掘以达尔扈特为代表的</w:t>
      </w:r>
      <w:r>
        <w:rPr>
          <w:rFonts w:hint="eastAsia" w:ascii="Times New Roman" w:hAnsi="Times New Roman" w:cs="Times New Roman"/>
          <w:sz w:val="24"/>
          <w:lang w:val="en-US" w:eastAsia="zh-CN"/>
        </w:rPr>
        <w:t>民俗</w:t>
      </w:r>
      <w:r>
        <w:rPr>
          <w:rFonts w:hint="eastAsia" w:ascii="Times New Roman" w:hAnsi="Times New Roman" w:cs="Times New Roman"/>
          <w:sz w:val="24"/>
        </w:rPr>
        <w:t>文化，延伸</w:t>
      </w:r>
      <w:r>
        <w:rPr>
          <w:rFonts w:hint="eastAsia" w:ascii="Times New Roman" w:hAnsi="Times New Roman" w:cs="Times New Roman"/>
          <w:sz w:val="24"/>
          <w:lang w:val="en-US" w:eastAsia="zh-CN"/>
        </w:rPr>
        <w:t>民俗</w:t>
      </w:r>
      <w:r>
        <w:rPr>
          <w:rFonts w:hint="eastAsia" w:ascii="Times New Roman" w:hAnsi="Times New Roman" w:cs="Times New Roman"/>
          <w:sz w:val="24"/>
        </w:rPr>
        <w:t>文化展示、体验、研学等旅游业态；完善休闲配套设施，提升全镇公园、广场、图书馆、特色街区等公共服务设施，优化全镇整体环境，形成具有地域特色、民族特点的草原休闲旅游小镇。</w:t>
      </w:r>
    </w:p>
    <w:p>
      <w:pPr>
        <w:pStyle w:val="9"/>
        <w:spacing w:line="360" w:lineRule="auto"/>
        <w:ind w:firstLine="482" w:firstLineChars="200"/>
        <w:rPr>
          <w:rFonts w:ascii="Times New Roman" w:hAnsi="Times New Roman" w:cs="Times New Roman"/>
          <w:sz w:val="24"/>
        </w:rPr>
      </w:pPr>
      <w:r>
        <w:rPr>
          <w:rFonts w:hint="eastAsia" w:ascii="Times New Roman" w:hAnsi="Times New Roman" w:cs="Times New Roman"/>
          <w:b/>
          <w:sz w:val="24"/>
        </w:rPr>
        <w:t>项目支撑：</w:t>
      </w:r>
      <w:r>
        <w:rPr>
          <w:rFonts w:hint="eastAsia" w:ascii="Times New Roman" w:hAnsi="Times New Roman" w:cs="Times New Roman"/>
          <w:sz w:val="24"/>
        </w:rPr>
        <w:t>成吉思汗陵旅游区、布拉格嘎查、龙虎渠村、达尔扈特浩特</w:t>
      </w:r>
    </w:p>
    <w:p>
      <w:pPr>
        <w:pStyle w:val="4"/>
        <w:ind w:firstLine="480"/>
        <w:rPr>
          <w:rFonts w:ascii="Times New Roman" w:hAnsi="Times New Roman" w:cs="Times New Roman"/>
        </w:rPr>
      </w:pPr>
      <w:bookmarkStart w:id="212" w:name="_Toc6156"/>
      <w:bookmarkStart w:id="213" w:name="_Toc13843"/>
      <w:bookmarkStart w:id="214" w:name="_Toc3088"/>
      <w:bookmarkStart w:id="215" w:name="_Toc27653"/>
      <w:bookmarkStart w:id="216" w:name="_Toc26132"/>
      <w:r>
        <w:rPr>
          <w:rFonts w:hint="eastAsia" w:ascii="Times New Roman" w:hAnsi="Times New Roman" w:cs="Times New Roman"/>
        </w:rPr>
        <w:t>（三）苏布尔嘎镇</w:t>
      </w:r>
      <w:bookmarkEnd w:id="212"/>
      <w:bookmarkEnd w:id="213"/>
      <w:bookmarkEnd w:id="214"/>
      <w:bookmarkEnd w:id="215"/>
      <w:bookmarkEnd w:id="216"/>
    </w:p>
    <w:p>
      <w:pPr>
        <w:pStyle w:val="9"/>
        <w:spacing w:line="360" w:lineRule="auto"/>
        <w:ind w:firstLine="482" w:firstLineChars="200"/>
        <w:rPr>
          <w:rFonts w:ascii="Times New Roman" w:hAnsi="Times New Roman" w:cs="Times New Roman"/>
          <w:sz w:val="24"/>
        </w:rPr>
      </w:pPr>
      <w:r>
        <w:rPr>
          <w:rFonts w:hint="eastAsia" w:ascii="Times New Roman" w:hAnsi="Times New Roman" w:cs="Times New Roman"/>
          <w:b/>
          <w:sz w:val="24"/>
        </w:rPr>
        <w:t>总体定位：</w:t>
      </w:r>
      <w:r>
        <w:rPr>
          <w:rFonts w:hint="eastAsia" w:ascii="Times New Roman" w:hAnsi="Times New Roman" w:cs="Times New Roman"/>
          <w:sz w:val="24"/>
        </w:rPr>
        <w:t>草原风情小镇</w:t>
      </w:r>
    </w:p>
    <w:p>
      <w:pPr>
        <w:pStyle w:val="9"/>
        <w:spacing w:line="360" w:lineRule="auto"/>
        <w:ind w:firstLine="482" w:firstLineChars="200"/>
        <w:rPr>
          <w:rFonts w:ascii="Times New Roman" w:hAnsi="Times New Roman" w:cs="Times New Roman"/>
          <w:sz w:val="24"/>
        </w:rPr>
      </w:pPr>
      <w:r>
        <w:rPr>
          <w:rFonts w:hint="eastAsia" w:ascii="Times New Roman" w:hAnsi="Times New Roman" w:cs="Times New Roman"/>
          <w:b/>
          <w:sz w:val="24"/>
        </w:rPr>
        <w:t>发展思路：</w:t>
      </w:r>
      <w:r>
        <w:rPr>
          <w:rFonts w:hint="eastAsia" w:ascii="Times New Roman" w:hAnsi="Times New Roman" w:cs="Times New Roman"/>
          <w:sz w:val="24"/>
        </w:rPr>
        <w:t>以苏泊罕草原旅游区和苏布尔嘎非遗嘎查建设为突破口，现代农牧业建设为基础，生态环境建设为依托，小城镇建设为核心，借助集草原景观、草原文化、非遗文化、乡村民俗为一体的资源优势，通过进一步完善旅游接待配套设施，深挖草原文化，整合全镇乡村旅游资源，提升农牧家乐、民宿、娱乐的服务档次等，打造特色草原风情旅游小镇。</w:t>
      </w:r>
    </w:p>
    <w:p>
      <w:pPr>
        <w:pStyle w:val="9"/>
        <w:spacing w:line="360" w:lineRule="auto"/>
        <w:ind w:firstLine="482" w:firstLineChars="200"/>
        <w:rPr>
          <w:rFonts w:ascii="Times New Roman" w:hAnsi="Times New Roman" w:cs="Times New Roman"/>
          <w:sz w:val="24"/>
        </w:rPr>
      </w:pPr>
      <w:r>
        <w:rPr>
          <w:rFonts w:hint="eastAsia" w:ascii="Times New Roman" w:hAnsi="Times New Roman" w:cs="Times New Roman"/>
          <w:b/>
          <w:sz w:val="24"/>
        </w:rPr>
        <w:t>项目支撑：</w:t>
      </w:r>
      <w:r>
        <w:rPr>
          <w:rFonts w:hint="eastAsia" w:ascii="Times New Roman" w:hAnsi="Times New Roman" w:cs="Times New Roman"/>
          <w:sz w:val="24"/>
        </w:rPr>
        <w:t>苏泊罕草原旅游区、苏布尔嘎嘎查、益丰寨</w:t>
      </w:r>
    </w:p>
    <w:p>
      <w:pPr>
        <w:pStyle w:val="4"/>
        <w:ind w:firstLine="480"/>
        <w:rPr>
          <w:rFonts w:ascii="Times New Roman" w:hAnsi="Times New Roman" w:cs="Times New Roman"/>
        </w:rPr>
      </w:pPr>
      <w:bookmarkStart w:id="217" w:name="_Toc7659"/>
      <w:bookmarkStart w:id="218" w:name="_Toc13874"/>
      <w:bookmarkStart w:id="219" w:name="_Toc32077"/>
      <w:bookmarkStart w:id="220" w:name="_Toc8339"/>
      <w:bookmarkStart w:id="221" w:name="_Toc13250"/>
      <w:r>
        <w:rPr>
          <w:rFonts w:hint="eastAsia" w:ascii="Times New Roman" w:hAnsi="Times New Roman" w:cs="Times New Roman"/>
        </w:rPr>
        <w:t>（</w:t>
      </w:r>
      <w:r>
        <w:rPr>
          <w:rFonts w:hint="eastAsia" w:ascii="Times New Roman" w:hAnsi="Times New Roman" w:cs="Times New Roman"/>
          <w:lang w:eastAsia="zh-CN"/>
        </w:rPr>
        <w:t>四</w:t>
      </w:r>
      <w:r>
        <w:rPr>
          <w:rFonts w:hint="eastAsia" w:ascii="Times New Roman" w:hAnsi="Times New Roman" w:cs="Times New Roman"/>
        </w:rPr>
        <w:t>）纳林陶亥镇</w:t>
      </w:r>
      <w:bookmarkEnd w:id="217"/>
      <w:bookmarkEnd w:id="218"/>
      <w:bookmarkEnd w:id="219"/>
      <w:bookmarkEnd w:id="220"/>
      <w:bookmarkEnd w:id="221"/>
    </w:p>
    <w:p>
      <w:pPr>
        <w:pStyle w:val="9"/>
        <w:spacing w:line="360" w:lineRule="auto"/>
        <w:ind w:firstLine="482" w:firstLineChars="200"/>
        <w:rPr>
          <w:rFonts w:ascii="Times New Roman" w:hAnsi="Times New Roman" w:cs="Times New Roman"/>
          <w:sz w:val="24"/>
        </w:rPr>
      </w:pPr>
      <w:r>
        <w:rPr>
          <w:rFonts w:hint="eastAsia" w:ascii="Times New Roman" w:hAnsi="Times New Roman" w:cs="Times New Roman"/>
          <w:b/>
          <w:sz w:val="24"/>
        </w:rPr>
        <w:t>总体定位：</w:t>
      </w:r>
      <w:r>
        <w:rPr>
          <w:rFonts w:hint="eastAsia" w:ascii="Times New Roman" w:hAnsi="Times New Roman" w:cs="Times New Roman"/>
          <w:sz w:val="24"/>
        </w:rPr>
        <w:t>特色文博小镇</w:t>
      </w:r>
    </w:p>
    <w:p>
      <w:pPr>
        <w:pStyle w:val="9"/>
        <w:spacing w:line="360" w:lineRule="auto"/>
        <w:ind w:firstLine="482" w:firstLineChars="200"/>
        <w:rPr>
          <w:rFonts w:ascii="Times New Roman" w:hAnsi="Times New Roman" w:cs="Times New Roman"/>
          <w:color w:val="C00000"/>
          <w:sz w:val="24"/>
        </w:rPr>
      </w:pPr>
      <w:r>
        <w:rPr>
          <w:rFonts w:hint="eastAsia" w:ascii="Times New Roman" w:hAnsi="Times New Roman" w:cs="Times New Roman"/>
          <w:b/>
          <w:sz w:val="24"/>
        </w:rPr>
        <w:t>发展思路：</w:t>
      </w:r>
      <w:r>
        <w:rPr>
          <w:rFonts w:hint="eastAsia" w:ascii="Times New Roman" w:hAnsi="Times New Roman" w:cs="Times New Roman"/>
          <w:sz w:val="24"/>
        </w:rPr>
        <w:t>以陶亥召、朱开沟遗址、秦长城为依托，提升小镇旅游环境，改善工业发展带来的生态破坏，完善旅游接待配套设施和历史文化开发、保护配套设施，新建遗址公园、博物馆以及一批休闲度假民宿、农家乐或星级度假酒店，打造特色文博小镇。</w:t>
      </w:r>
    </w:p>
    <w:p>
      <w:pPr>
        <w:pStyle w:val="9"/>
        <w:spacing w:line="360" w:lineRule="auto"/>
        <w:ind w:firstLine="482" w:firstLineChars="200"/>
        <w:rPr>
          <w:rFonts w:ascii="Times New Roman" w:hAnsi="Times New Roman" w:cs="Times New Roman"/>
          <w:sz w:val="24"/>
        </w:rPr>
      </w:pPr>
      <w:r>
        <w:rPr>
          <w:rFonts w:hint="eastAsia" w:ascii="Times New Roman" w:hAnsi="Times New Roman" w:cs="Times New Roman"/>
          <w:b/>
          <w:sz w:val="24"/>
        </w:rPr>
        <w:t>项目支撑：</w:t>
      </w:r>
      <w:r>
        <w:rPr>
          <w:rFonts w:hint="eastAsia" w:ascii="Times New Roman" w:hAnsi="Times New Roman" w:cs="Times New Roman"/>
          <w:sz w:val="24"/>
        </w:rPr>
        <w:t>陶亥召、朱开沟、</w:t>
      </w:r>
      <w:r>
        <w:rPr>
          <w:rFonts w:hint="eastAsia" w:ascii="Times New Roman" w:hAnsi="Times New Roman" w:cs="Times New Roman"/>
          <w:sz w:val="24"/>
          <w:lang w:eastAsia="zh-CN"/>
        </w:rPr>
        <w:t>战国</w:t>
      </w:r>
      <w:r>
        <w:rPr>
          <w:rFonts w:hint="eastAsia" w:ascii="Times New Roman" w:hAnsi="Times New Roman" w:cs="Times New Roman"/>
          <w:sz w:val="24"/>
        </w:rPr>
        <w:t>秦长城</w:t>
      </w:r>
    </w:p>
    <w:p>
      <w:pPr>
        <w:pStyle w:val="4"/>
        <w:ind w:firstLine="480"/>
        <w:rPr>
          <w:rFonts w:ascii="Times New Roman" w:hAnsi="Times New Roman" w:cs="Times New Roman"/>
        </w:rPr>
      </w:pPr>
      <w:bookmarkStart w:id="222" w:name="_Toc17986"/>
      <w:bookmarkStart w:id="223" w:name="_Toc10307"/>
      <w:bookmarkStart w:id="224" w:name="_Toc31568"/>
      <w:bookmarkStart w:id="225" w:name="_Toc23266"/>
      <w:bookmarkStart w:id="226" w:name="_Toc23983"/>
      <w:r>
        <w:rPr>
          <w:rFonts w:hint="eastAsia" w:ascii="Times New Roman" w:hAnsi="Times New Roman" w:cs="Times New Roman"/>
        </w:rPr>
        <w:t>（</w:t>
      </w:r>
      <w:r>
        <w:rPr>
          <w:rFonts w:hint="eastAsia" w:ascii="Times New Roman" w:hAnsi="Times New Roman" w:cs="Times New Roman"/>
          <w:lang w:eastAsia="zh-CN"/>
        </w:rPr>
        <w:t>五</w:t>
      </w:r>
      <w:r>
        <w:rPr>
          <w:rFonts w:hint="eastAsia" w:ascii="Times New Roman" w:hAnsi="Times New Roman" w:cs="Times New Roman"/>
        </w:rPr>
        <w:t>）札萨克镇</w:t>
      </w:r>
      <w:bookmarkEnd w:id="222"/>
      <w:bookmarkEnd w:id="223"/>
      <w:bookmarkEnd w:id="224"/>
      <w:bookmarkEnd w:id="225"/>
      <w:bookmarkEnd w:id="226"/>
    </w:p>
    <w:p>
      <w:pPr>
        <w:pStyle w:val="9"/>
        <w:spacing w:line="360" w:lineRule="auto"/>
        <w:ind w:firstLine="482" w:firstLineChars="200"/>
        <w:rPr>
          <w:rFonts w:ascii="Times New Roman" w:hAnsi="Times New Roman" w:cs="Times New Roman"/>
          <w:sz w:val="24"/>
        </w:rPr>
      </w:pPr>
      <w:r>
        <w:rPr>
          <w:rFonts w:hint="eastAsia" w:ascii="Times New Roman" w:hAnsi="Times New Roman" w:cs="Times New Roman"/>
          <w:b/>
          <w:sz w:val="24"/>
        </w:rPr>
        <w:t>总体定位：</w:t>
      </w:r>
      <w:r>
        <w:rPr>
          <w:rFonts w:hint="eastAsia" w:ascii="Times New Roman" w:hAnsi="Times New Roman" w:cs="Times New Roman"/>
          <w:sz w:val="24"/>
        </w:rPr>
        <w:t>乡村休闲小镇</w:t>
      </w:r>
    </w:p>
    <w:p>
      <w:pPr>
        <w:pStyle w:val="9"/>
        <w:spacing w:line="360" w:lineRule="auto"/>
        <w:ind w:firstLine="482" w:firstLineChars="200"/>
        <w:rPr>
          <w:rFonts w:ascii="Times New Roman" w:hAnsi="Times New Roman" w:cs="Times New Roman"/>
          <w:sz w:val="24"/>
        </w:rPr>
      </w:pPr>
      <w:r>
        <w:rPr>
          <w:rFonts w:hint="eastAsia" w:ascii="Times New Roman" w:hAnsi="Times New Roman" w:cs="Times New Roman"/>
          <w:b/>
          <w:sz w:val="24"/>
        </w:rPr>
        <w:t>发展思路：</w:t>
      </w:r>
      <w:r>
        <w:rPr>
          <w:rFonts w:hint="eastAsia" w:ascii="Times New Roman" w:hAnsi="Times New Roman" w:cs="Times New Roman"/>
          <w:sz w:val="24"/>
        </w:rPr>
        <w:t>以乡村旅游为主题，查干柴达木村、新街粮库等资源为依托，改善乡村发展环境，完善旅游接待配套设施、休闲配套设施、娱乐设施等，并深挖小镇历史文化和乡村民俗文化内涵，打造乡村休闲度假小镇。</w:t>
      </w:r>
    </w:p>
    <w:p>
      <w:pPr>
        <w:pStyle w:val="9"/>
        <w:spacing w:line="360" w:lineRule="auto"/>
        <w:ind w:firstLine="482" w:firstLineChars="200"/>
        <w:rPr>
          <w:rFonts w:ascii="Times New Roman" w:hAnsi="Times New Roman" w:cs="Times New Roman"/>
          <w:sz w:val="24"/>
        </w:rPr>
      </w:pPr>
      <w:r>
        <w:rPr>
          <w:rFonts w:hint="eastAsia" w:ascii="Times New Roman" w:hAnsi="Times New Roman" w:cs="Times New Roman"/>
          <w:b/>
          <w:sz w:val="24"/>
        </w:rPr>
        <w:t>项目支撑：</w:t>
      </w:r>
      <w:r>
        <w:rPr>
          <w:rFonts w:hint="eastAsia" w:ascii="Times New Roman" w:hAnsi="Times New Roman" w:cs="Times New Roman"/>
          <w:sz w:val="24"/>
        </w:rPr>
        <w:t>查干柴达木村、新街粮库、二中项目、王爷府遗址、红碱淖、营盘河生态旅游园</w:t>
      </w:r>
    </w:p>
    <w:p>
      <w:pPr>
        <w:pStyle w:val="4"/>
        <w:ind w:firstLine="480"/>
        <w:rPr>
          <w:rFonts w:ascii="Times New Roman" w:hAnsi="Times New Roman" w:cs="Times New Roman"/>
        </w:rPr>
      </w:pPr>
      <w:bookmarkStart w:id="227" w:name="_Toc1923"/>
      <w:bookmarkStart w:id="228" w:name="_Toc7313"/>
      <w:bookmarkStart w:id="229" w:name="_Toc21137"/>
      <w:bookmarkStart w:id="230" w:name="_Toc18340"/>
      <w:bookmarkStart w:id="231" w:name="_Toc29328"/>
      <w:r>
        <w:rPr>
          <w:rFonts w:hint="eastAsia" w:ascii="Times New Roman" w:hAnsi="Times New Roman" w:cs="Times New Roman"/>
        </w:rPr>
        <w:t>（</w:t>
      </w:r>
      <w:r>
        <w:rPr>
          <w:rFonts w:hint="eastAsia" w:ascii="Times New Roman" w:hAnsi="Times New Roman" w:cs="Times New Roman"/>
          <w:lang w:eastAsia="zh-CN"/>
        </w:rPr>
        <w:t>六</w:t>
      </w:r>
      <w:r>
        <w:rPr>
          <w:rFonts w:hint="eastAsia" w:ascii="Times New Roman" w:hAnsi="Times New Roman" w:cs="Times New Roman"/>
        </w:rPr>
        <w:t>）红庆河镇</w:t>
      </w:r>
      <w:bookmarkEnd w:id="227"/>
      <w:bookmarkEnd w:id="228"/>
      <w:bookmarkEnd w:id="229"/>
      <w:bookmarkEnd w:id="230"/>
      <w:bookmarkEnd w:id="231"/>
    </w:p>
    <w:p>
      <w:pPr>
        <w:pStyle w:val="9"/>
        <w:spacing w:line="360" w:lineRule="auto"/>
        <w:ind w:firstLine="482" w:firstLineChars="200"/>
        <w:rPr>
          <w:rFonts w:ascii="Times New Roman" w:hAnsi="Times New Roman" w:cs="Times New Roman"/>
          <w:sz w:val="24"/>
        </w:rPr>
      </w:pPr>
      <w:r>
        <w:rPr>
          <w:rFonts w:hint="eastAsia" w:ascii="Times New Roman" w:hAnsi="Times New Roman" w:cs="Times New Roman"/>
          <w:b/>
          <w:sz w:val="24"/>
        </w:rPr>
        <w:t>总体定位：</w:t>
      </w:r>
      <w:r>
        <w:rPr>
          <w:rFonts w:hint="eastAsia" w:ascii="Times New Roman" w:hAnsi="Times New Roman" w:cs="Times New Roman"/>
          <w:sz w:val="24"/>
        </w:rPr>
        <w:t>红色文化小镇</w:t>
      </w:r>
    </w:p>
    <w:p>
      <w:pPr>
        <w:pStyle w:val="9"/>
        <w:spacing w:line="360" w:lineRule="auto"/>
        <w:ind w:firstLine="482" w:firstLineChars="200"/>
        <w:rPr>
          <w:rFonts w:ascii="Times New Roman" w:hAnsi="Times New Roman" w:cs="Times New Roman"/>
          <w:sz w:val="24"/>
        </w:rPr>
      </w:pPr>
      <w:r>
        <w:rPr>
          <w:rFonts w:hint="eastAsia" w:ascii="Times New Roman" w:hAnsi="Times New Roman" w:cs="Times New Roman"/>
          <w:b/>
          <w:sz w:val="24"/>
        </w:rPr>
        <w:t>发展思路：</w:t>
      </w:r>
      <w:r>
        <w:rPr>
          <w:rFonts w:hint="eastAsia" w:ascii="Times New Roman" w:hAnsi="Times New Roman" w:cs="Times New Roman"/>
          <w:sz w:val="24"/>
        </w:rPr>
        <w:t>依托红庆河深厚的红色文化基因，打造乌兰夫革命史公园、</w:t>
      </w:r>
      <w:r>
        <w:rPr>
          <w:rFonts w:hint="eastAsia" w:ascii="Times New Roman" w:hAnsi="Times New Roman" w:cs="Times New Roman"/>
          <w:sz w:val="24"/>
          <w:lang w:eastAsia="zh-CN"/>
        </w:rPr>
        <w:t>伊金霍洛旗</w:t>
      </w:r>
      <w:r>
        <w:rPr>
          <w:rFonts w:hint="eastAsia" w:ascii="Times New Roman" w:hAnsi="Times New Roman" w:cs="Times New Roman"/>
          <w:sz w:val="24"/>
        </w:rPr>
        <w:t>红色教育培训基地、中国工农红军长征文化体验区，并联合马奶湖、王明子滩草原、绿色蔬菜种植等旅游资源打造系列旅游产品，在提升小镇服务、住宿、餐饮质量等级的基础上，打造红庆河红色文化小镇。</w:t>
      </w:r>
    </w:p>
    <w:p>
      <w:pPr>
        <w:pStyle w:val="9"/>
        <w:spacing w:line="360" w:lineRule="auto"/>
        <w:ind w:firstLine="482" w:firstLineChars="200"/>
        <w:rPr>
          <w:rFonts w:ascii="Times New Roman" w:hAnsi="Times New Roman" w:cs="Times New Roman"/>
          <w:sz w:val="24"/>
        </w:rPr>
      </w:pPr>
      <w:r>
        <w:rPr>
          <w:rFonts w:hint="eastAsia" w:ascii="Times New Roman" w:hAnsi="Times New Roman" w:cs="Times New Roman"/>
          <w:b/>
          <w:sz w:val="24"/>
        </w:rPr>
        <w:t>项目支撑：</w:t>
      </w:r>
      <w:r>
        <w:rPr>
          <w:rFonts w:hint="eastAsia" w:ascii="Times New Roman" w:hAnsi="Times New Roman" w:cs="Times New Roman"/>
          <w:sz w:val="24"/>
        </w:rPr>
        <w:t>乌兰夫革命史公园、</w:t>
      </w:r>
      <w:r>
        <w:rPr>
          <w:rFonts w:hint="eastAsia" w:ascii="Times New Roman" w:hAnsi="Times New Roman" w:cs="Times New Roman"/>
          <w:sz w:val="24"/>
          <w:lang w:eastAsia="zh-CN"/>
        </w:rPr>
        <w:t>伊金霍洛旗</w:t>
      </w:r>
      <w:r>
        <w:rPr>
          <w:rFonts w:hint="eastAsia" w:ascii="Times New Roman" w:hAnsi="Times New Roman" w:cs="Times New Roman"/>
          <w:sz w:val="24"/>
        </w:rPr>
        <w:t>红色教育培训基地、中国工农红军长征文化体验区、王明子滩草原、马奶湖、蒙泰休闲农业旅游度假区</w:t>
      </w:r>
    </w:p>
    <w:p>
      <w:pPr>
        <w:pStyle w:val="4"/>
        <w:ind w:firstLine="480"/>
        <w:rPr>
          <w:rFonts w:ascii="Times New Roman" w:hAnsi="Times New Roman" w:cs="Times New Roman"/>
          <w:color w:val="auto"/>
        </w:rPr>
      </w:pPr>
      <w:bookmarkStart w:id="232" w:name="_Toc19023"/>
      <w:bookmarkStart w:id="233" w:name="_Toc10762"/>
      <w:bookmarkStart w:id="234" w:name="_Toc23839"/>
      <w:bookmarkStart w:id="235" w:name="_Toc22322"/>
      <w:bookmarkStart w:id="236" w:name="_Toc19635"/>
      <w:r>
        <w:rPr>
          <w:rFonts w:hint="eastAsia" w:ascii="Times New Roman" w:hAnsi="Times New Roman" w:cs="Times New Roman"/>
          <w:color w:val="auto"/>
        </w:rPr>
        <w:t>（</w:t>
      </w:r>
      <w:r>
        <w:rPr>
          <w:rFonts w:hint="eastAsia" w:ascii="Times New Roman" w:hAnsi="Times New Roman" w:cs="Times New Roman"/>
          <w:color w:val="auto"/>
          <w:lang w:eastAsia="zh-CN"/>
        </w:rPr>
        <w:t>七</w:t>
      </w:r>
      <w:r>
        <w:rPr>
          <w:rFonts w:hint="eastAsia" w:ascii="Times New Roman" w:hAnsi="Times New Roman" w:cs="Times New Roman"/>
          <w:color w:val="auto"/>
        </w:rPr>
        <w:t>）乌兰木伦镇</w:t>
      </w:r>
      <w:bookmarkEnd w:id="232"/>
      <w:bookmarkEnd w:id="233"/>
      <w:bookmarkEnd w:id="234"/>
      <w:bookmarkEnd w:id="235"/>
      <w:bookmarkEnd w:id="236"/>
    </w:p>
    <w:p>
      <w:pPr>
        <w:pStyle w:val="9"/>
        <w:spacing w:line="360" w:lineRule="auto"/>
        <w:ind w:firstLine="482" w:firstLineChars="200"/>
        <w:rPr>
          <w:rFonts w:ascii="Times New Roman" w:hAnsi="Times New Roman" w:cs="Times New Roman"/>
          <w:color w:val="auto"/>
          <w:sz w:val="24"/>
        </w:rPr>
      </w:pPr>
      <w:r>
        <w:rPr>
          <w:rFonts w:hint="eastAsia" w:ascii="Times New Roman" w:hAnsi="Times New Roman" w:cs="Times New Roman"/>
          <w:b/>
          <w:color w:val="auto"/>
          <w:sz w:val="24"/>
        </w:rPr>
        <w:t>总体定位：</w:t>
      </w:r>
      <w:r>
        <w:rPr>
          <w:rFonts w:hint="eastAsia" w:ascii="Times New Roman" w:hAnsi="Times New Roman" w:cs="Times New Roman"/>
          <w:color w:val="auto"/>
          <w:sz w:val="24"/>
        </w:rPr>
        <w:t>城市工业小镇</w:t>
      </w:r>
    </w:p>
    <w:p>
      <w:pPr>
        <w:pStyle w:val="9"/>
        <w:spacing w:line="360" w:lineRule="auto"/>
        <w:ind w:firstLine="482" w:firstLineChars="200"/>
        <w:rPr>
          <w:rFonts w:ascii="Times New Roman" w:hAnsi="Times New Roman" w:cs="Times New Roman"/>
          <w:color w:val="auto"/>
          <w:sz w:val="24"/>
        </w:rPr>
      </w:pPr>
      <w:r>
        <w:rPr>
          <w:rFonts w:hint="eastAsia" w:ascii="Times New Roman" w:hAnsi="Times New Roman" w:cs="Times New Roman"/>
          <w:b/>
          <w:color w:val="auto"/>
          <w:sz w:val="24"/>
        </w:rPr>
        <w:t>发展思路：</w:t>
      </w:r>
      <w:r>
        <w:rPr>
          <w:rFonts w:hint="eastAsia" w:ascii="Times New Roman" w:hAnsi="Times New Roman" w:cs="Times New Roman"/>
          <w:color w:val="auto"/>
          <w:sz w:val="24"/>
        </w:rPr>
        <w:t>以工业旅游为主题、“煤海探秘”工业旅游为依托，提升小镇旅游环境，恢复煤炭开采带来的生态破坏，并整合周边乡村闲置空地，完善旅游接待配套设施，打造国家矿山公园，以“旅游+工业+乡村”的发展模式打造乌兰木伦城市工业小镇。</w:t>
      </w:r>
    </w:p>
    <w:p>
      <w:pPr>
        <w:pStyle w:val="9"/>
        <w:spacing w:line="360" w:lineRule="auto"/>
        <w:ind w:firstLine="482" w:firstLineChars="200"/>
        <w:rPr>
          <w:rFonts w:ascii="Times New Roman" w:hAnsi="Times New Roman" w:cs="Times New Roman"/>
          <w:color w:val="auto"/>
          <w:sz w:val="24"/>
        </w:rPr>
      </w:pPr>
      <w:r>
        <w:rPr>
          <w:rFonts w:hint="eastAsia" w:ascii="Times New Roman" w:hAnsi="Times New Roman" w:cs="Times New Roman"/>
          <w:b/>
          <w:color w:val="auto"/>
          <w:sz w:val="24"/>
        </w:rPr>
        <w:t>项目支撑：</w:t>
      </w:r>
      <w:r>
        <w:rPr>
          <w:rFonts w:hint="eastAsia" w:ascii="Times New Roman" w:hAnsi="Times New Roman" w:cs="Times New Roman"/>
          <w:color w:val="auto"/>
          <w:sz w:val="24"/>
        </w:rPr>
        <w:t>“煤海探秘”工业旅游、乌兰木伦新村</w:t>
      </w:r>
    </w:p>
    <w:p>
      <w:pPr>
        <w:pStyle w:val="9"/>
        <w:rPr>
          <w:rFonts w:ascii="Times New Roman" w:hAnsi="Times New Roman" w:cs="Times New Roman"/>
        </w:rPr>
      </w:pPr>
    </w:p>
    <w:p>
      <w:pPr>
        <w:rPr>
          <w:rFonts w:ascii="Times New Roman" w:hAnsi="Times New Roman" w:cs="Times New Roman"/>
          <w:b/>
          <w:bCs/>
          <w:sz w:val="24"/>
        </w:rPr>
      </w:pPr>
      <w:r>
        <w:rPr>
          <w:rFonts w:hint="eastAsia" w:ascii="Times New Roman" w:hAnsi="Times New Roman" w:cs="Times New Roman"/>
          <w:b/>
          <w:sz w:val="24"/>
        </w:rPr>
        <w:br w:type="page"/>
      </w:r>
    </w:p>
    <w:p>
      <w:pPr>
        <w:pStyle w:val="2"/>
        <w:rPr>
          <w:rFonts w:ascii="Times New Roman" w:hAnsi="Times New Roman" w:cs="Times New Roman" w:eastAsiaTheme="minorEastAsia"/>
        </w:rPr>
      </w:pPr>
      <w:bookmarkStart w:id="237" w:name="_Toc27588"/>
      <w:bookmarkStart w:id="238" w:name="_Toc9026"/>
      <w:r>
        <w:rPr>
          <w:rFonts w:hint="eastAsia" w:ascii="Times New Roman" w:hAnsi="Times New Roman" w:cs="Times New Roman" w:eastAsiaTheme="minorEastAsia"/>
        </w:rPr>
        <w:t>第四章 提升整合，完善文化旅游要素配套</w:t>
      </w:r>
      <w:bookmarkEnd w:id="237"/>
      <w:bookmarkEnd w:id="238"/>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目前伊金霍洛旗文化旅游配套设施不完善，缺乏大型餐饮连锁品牌及特色餐饮品牌，且尚未形成多元化的住宿接待体系，特色街区均处于起步阶段，相关配套设施不完善。“游在伊金霍洛旗、吃在康巴什、住在东胜”几乎成为一种市场趋向，六要素配套不完善且结构不合理已成为制约伊金霍洛旗文化旅游经济发展的一大瓶颈。随着旅游需求的不断转变，激发人们旅游的动机和体验的要素越来越多，因此，伊金霍洛旗应紧抓文化和旅游发展的趋势，通过深挖地方文化内涵，提升文化和旅游配套设施，进一步完善旅游传统要素（食、宿、行、游、购、娱），拓展旅游新要素（商、养、学、闲、情、奇），提升文化和旅游要素水平，促进文化和旅游产业进一步升级转型，实现文化和旅游产业高质量发展。</w:t>
      </w:r>
    </w:p>
    <w:p>
      <w:pPr>
        <w:pStyle w:val="3"/>
        <w:ind w:firstLine="560" w:firstLineChars="200"/>
        <w:rPr>
          <w:rFonts w:ascii="Times New Roman" w:hAnsi="Times New Roman" w:cs="Times New Roman"/>
        </w:rPr>
      </w:pPr>
      <w:bookmarkStart w:id="239" w:name="_Toc20523"/>
      <w:bookmarkStart w:id="240" w:name="_Toc25872"/>
      <w:bookmarkStart w:id="241" w:name="_Toc13918"/>
      <w:bookmarkStart w:id="242" w:name="_Toc13718"/>
      <w:bookmarkStart w:id="243" w:name="_Toc3238"/>
      <w:r>
        <w:rPr>
          <w:rFonts w:hint="eastAsia" w:ascii="Times New Roman" w:hAnsi="Times New Roman" w:cs="Times New Roman"/>
        </w:rPr>
        <w:t>一、打造多元化住宿体系</w:t>
      </w:r>
      <w:bookmarkEnd w:id="239"/>
      <w:r>
        <w:rPr>
          <w:rFonts w:hint="eastAsia" w:ascii="Times New Roman" w:hAnsi="Times New Roman" w:cs="Times New Roman"/>
        </w:rPr>
        <w:t xml:space="preserve"> 　</w:t>
      </w:r>
      <w:bookmarkEnd w:id="240"/>
      <w:bookmarkEnd w:id="241"/>
    </w:p>
    <w:p>
      <w:pPr>
        <w:spacing w:after="120" w:line="360" w:lineRule="auto"/>
        <w:ind w:firstLine="480" w:firstLineChars="200"/>
        <w:rPr>
          <w:rFonts w:ascii="Times New Roman" w:hAnsi="Times New Roman" w:cs="Times New Roman"/>
          <w:sz w:val="24"/>
        </w:rPr>
      </w:pPr>
      <w:r>
        <w:rPr>
          <w:rFonts w:hint="eastAsia" w:ascii="Times New Roman" w:hAnsi="Times New Roman" w:cs="Times New Roman"/>
          <w:sz w:val="24"/>
        </w:rPr>
        <w:t>以度假型、商务型和经济型酒店为重点，以民居客栈和家庭旅馆为补充，推动商务型酒店、经济型连锁酒店、会议/会展酒店、度假型酒店、青年旅社、公寓型酒店、民宿客栈、汽车旅馆、自驾车营地、驿站等多类型住宿设施共同发展，大力推行品牌化的管理、连锁化的经营、人性化的服务和标准化的发展，形成结构合理的多元化旅游住宿设施体系。</w:t>
      </w:r>
    </w:p>
    <w:p>
      <w:pPr>
        <w:spacing w:after="120" w:line="360" w:lineRule="auto"/>
        <w:ind w:firstLine="480" w:firstLineChars="200"/>
        <w:rPr>
          <w:rFonts w:ascii="Times New Roman" w:hAnsi="Times New Roman" w:cs="Times New Roman"/>
          <w:sz w:val="24"/>
        </w:rPr>
      </w:pPr>
      <w:r>
        <w:rPr>
          <w:rFonts w:hint="eastAsia" w:ascii="Times New Roman" w:hAnsi="Times New Roman" w:cs="Times New Roman"/>
          <w:sz w:val="24"/>
        </w:rPr>
        <w:t>未来五年，伊金霍洛旗要力争评定五星级酒店1座，四星级酒店2-3座，培育5家以上具有一定知名度的度假酒店品牌以及10家以上个性化的民宿酒店，同时大力引进经济型连锁酒店的加盟，主要布置在城区、小镇、核心景区，同时关注不同类型住宿设施在数量上和空间上配置和布局的合理性。提升住宿业服务质量，规范旅游民宿市场，推动星级旅游民宿品牌化发展。指导旅游住宿企业落实卫生、服务、质量、安全等方面的标准，促进旅游住宿业规模不断扩大、品质不断提升。</w:t>
      </w:r>
    </w:p>
    <w:p>
      <w:pPr>
        <w:pStyle w:val="3"/>
        <w:ind w:firstLine="560" w:firstLineChars="200"/>
        <w:rPr>
          <w:rFonts w:ascii="Times New Roman" w:hAnsi="Times New Roman" w:cs="Times New Roman"/>
        </w:rPr>
      </w:pPr>
      <w:bookmarkStart w:id="244" w:name="_Toc11365"/>
      <w:r>
        <w:rPr>
          <w:rFonts w:hint="eastAsia" w:ascii="Times New Roman" w:hAnsi="Times New Roman" w:cs="Times New Roman"/>
        </w:rPr>
        <w:t>二、打造“伊金霍洛味道”</w:t>
      </w:r>
      <w:bookmarkEnd w:id="242"/>
      <w:r>
        <w:rPr>
          <w:rFonts w:hint="eastAsia" w:ascii="Times New Roman" w:hAnsi="Times New Roman" w:cs="Times New Roman"/>
        </w:rPr>
        <w:t>的特色餐饮</w:t>
      </w:r>
      <w:bookmarkEnd w:id="244"/>
    </w:p>
    <w:p>
      <w:pPr>
        <w:spacing w:after="120" w:line="360" w:lineRule="auto"/>
        <w:ind w:firstLine="480" w:firstLineChars="200"/>
        <w:rPr>
          <w:rFonts w:ascii="Times New Roman" w:hAnsi="Times New Roman" w:cs="Times New Roman"/>
          <w:sz w:val="24"/>
        </w:rPr>
      </w:pPr>
      <w:r>
        <w:rPr>
          <w:rFonts w:hint="eastAsia" w:ascii="Times New Roman" w:hAnsi="Times New Roman" w:cs="Times New Roman"/>
          <w:sz w:val="24"/>
        </w:rPr>
        <w:t>充分挖掘草原文化、民俗文化和民族文化，打造系列特色美食，在菜肴的设计与制作上更加精致，提高特色美食档次，形成具有影响力的“伊金霍洛味道”，培育伊金霍洛旗特色精品餐饮。弘扬蒙餐文化，传承传统蒙餐，支持文化餐饮“申遗”工作；支持蒙餐适当创新，丰富蒙餐菜品种类，譬如开发有益身体健康的文化养生型传统菜品，满足当代民众需求；深入挖掘蒙古传统美食，重点培育以特色牛羊肉、农家有机蔬菜、有机鱼、土鸡等特色食材为主的旗域菜系品牌，建立特色旅游餐饮街区、民族餐饮、主题餐厅等，丰富蒙餐餐饮体系；创新蒙餐营销方式，通过大众评审，评出十大金牌传统小吃，从而建成国内知名的地方品牌，打造具有区域规模的餐饮连锁集团，形成地方餐饮品牌企业，引领行业健康发展。</w:t>
      </w:r>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同时，逐步形成宾馆餐饮、特色餐饮与社会餐饮相结合的供应体系。提高各类餐饮的服务质量和档次，在全旗培育一批旅游特色餐饮名店，形成旅游饭店、景区餐饮、社会餐饮互补的合理格局；在高档饭店餐饮方面，提供品质优良、美味可口的佳肴，热情周到的服务，努力营造优雅的就餐环境，并在此基础上突出地方特色和饭店自身的特点。在一般社会餐饮方面，鼓励开发农家餐饮、地方小吃等类型餐饮。</w:t>
      </w:r>
    </w:p>
    <w:p>
      <w:pPr>
        <w:pStyle w:val="3"/>
        <w:ind w:firstLine="560" w:firstLineChars="200"/>
        <w:rPr>
          <w:rFonts w:ascii="Times New Roman" w:hAnsi="Times New Roman" w:cs="Times New Roman"/>
        </w:rPr>
      </w:pPr>
      <w:bookmarkStart w:id="245" w:name="_Toc1174"/>
      <w:r>
        <w:rPr>
          <w:rFonts w:hint="eastAsia" w:ascii="Times New Roman" w:hAnsi="Times New Roman" w:cs="Times New Roman"/>
        </w:rPr>
        <w:t>三、完善旅游休闲场所</w:t>
      </w:r>
      <w:bookmarkEnd w:id="243"/>
      <w:r>
        <w:rPr>
          <w:rFonts w:hint="eastAsia" w:ascii="Times New Roman" w:hAnsi="Times New Roman" w:cs="Times New Roman"/>
        </w:rPr>
        <w:t>设施</w:t>
      </w:r>
      <w:bookmarkEnd w:id="245"/>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深入挖掘草原文化、民俗文化，精心打造反映伊金霍洛旗历史文化风貌的特色演艺节目；发展与景区景点和特色餐饮相结合的特色文化表演活动。打造精品文艺演出，形成文化精品。利用伊金霍洛旗非物质文化资源，在特色文化街区演出，丰富游客文化体验。</w:t>
      </w:r>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 xml:space="preserve">完善伊金霍洛旗旅游休闲场所建设，重点推进红海子鲜鱼街、电力街特色街区、查干柴达木寨巷服务区、电影院特色美食街、阿勒腾席热镇丽景购物步行街建设，推动商业综合体、康养会馆、度假中心等度假休闲娱乐场所建设，建设演艺中心、小型主题秀场、主题文化公园等文化展示、娱乐活动场所，增加景区和乡村的休闲娱乐设施。 </w:t>
      </w:r>
    </w:p>
    <w:p>
      <w:pPr>
        <w:pStyle w:val="3"/>
        <w:rPr>
          <w:rFonts w:ascii="Times New Roman" w:hAnsi="Times New Roman" w:cs="Times New Roman"/>
        </w:rPr>
      </w:pPr>
      <w:bookmarkStart w:id="246" w:name="_Toc22998"/>
      <w:bookmarkStart w:id="247" w:name="_Toc20927"/>
      <w:r>
        <w:rPr>
          <w:rFonts w:hint="eastAsia" w:ascii="Times New Roman" w:hAnsi="Times New Roman" w:cs="Times New Roman"/>
        </w:rPr>
        <w:t>四、形成种类丰富的旅游商品体系</w:t>
      </w:r>
      <w:bookmarkEnd w:id="246"/>
      <w:r>
        <w:rPr>
          <w:rFonts w:hint="eastAsia" w:ascii="Times New Roman" w:hAnsi="Times New Roman" w:cs="Times New Roman"/>
        </w:rPr>
        <w:t xml:space="preserve">  　</w:t>
      </w:r>
      <w:bookmarkEnd w:id="247"/>
      <w:r>
        <w:rPr>
          <w:rFonts w:hint="eastAsia" w:ascii="Times New Roman" w:hAnsi="Times New Roman" w:cs="Times New Roman"/>
        </w:rPr>
        <w:t>　</w:t>
      </w:r>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根据伊金霍洛旗文化、种植特色、传统工艺、特色小吃等，形成新鲜果蔬、土特产、手工艺品等种类丰富的旅游商品体系。根据客流量设置特色集市、购物中心、购物街、购物点等规模不一的购物场所。采用集中和分散相结合的布局方法，逐步向功能分区发展，注重旅游购物商店与环境景观相协调，与景点成为一个有机整体。 　　</w:t>
      </w:r>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 xml:space="preserve">同时，加强旅游商品品牌化，形成特色主题产品，鼓励自主创意设计，创新旅游商品。加强对伊金霍洛旗旅游商品的宣传，通过微信、微博、抖音等新媒体营销手段和电视、广告、广播等传统媒体方式，进行宣传营销，提高伊金霍洛旗旅游商品的知名度。 </w:t>
      </w:r>
    </w:p>
    <w:p>
      <w:pPr>
        <w:pStyle w:val="3"/>
        <w:ind w:firstLine="560" w:firstLineChars="200"/>
        <w:rPr>
          <w:rFonts w:ascii="Times New Roman" w:hAnsi="Times New Roman" w:cs="Times New Roman"/>
        </w:rPr>
      </w:pPr>
      <w:bookmarkStart w:id="248" w:name="_Toc4936"/>
      <w:bookmarkStart w:id="249" w:name="_Toc2630"/>
      <w:r>
        <w:rPr>
          <w:rFonts w:hint="eastAsia" w:ascii="Times New Roman" w:hAnsi="Times New Roman" w:cs="Times New Roman"/>
        </w:rPr>
        <w:t>五、提高旅游企业服务质量</w:t>
      </w:r>
      <w:bookmarkEnd w:id="248"/>
      <w:r>
        <w:rPr>
          <w:rFonts w:hint="eastAsia" w:ascii="Times New Roman" w:hAnsi="Times New Roman" w:cs="Times New Roman"/>
        </w:rPr>
        <w:t xml:space="preserve"> 　</w:t>
      </w:r>
      <w:bookmarkEnd w:id="249"/>
      <w:r>
        <w:rPr>
          <w:rFonts w:hint="eastAsia" w:ascii="Times New Roman" w:hAnsi="Times New Roman" w:cs="Times New Roman"/>
        </w:rPr>
        <w:t>　</w:t>
      </w:r>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优质的旅游服务不仅能为游客提供一个完美的旅程，更能树立良好的旅游形象。旅游服务企业作为整合地方旅游资源及推广、宣传旅游的“窗口”成为助推文化旅游发展不可或缺的一部分。 　　</w:t>
      </w:r>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提高旅游企业的服务质量。加强对旅行社、导游服务人员的礼仪和导游知识的培训，引进英语、韩语、日语等多语种导游人员，满足国际市场需求。升级旅游产品。针对自驾游、生态康养旅游、文化旅游、乡村旅游等客群，开发定制化旅游产品；整合线上、线下链条，线上做销售、线下做游客体验，线上为线下服务。 　　</w:t>
      </w:r>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规划“十四五”期间要培育1-2家规模较大、有核心竞争力的国际旅行社，加强与线上大型旅游企业的合作，提高中高级导游比例，培养解说人才，促进导游行业规范发展。</w:t>
      </w:r>
    </w:p>
    <w:p>
      <w:pPr>
        <w:pStyle w:val="9"/>
        <w:spacing w:line="360" w:lineRule="auto"/>
        <w:ind w:firstLine="480" w:firstLineChars="200"/>
        <w:rPr>
          <w:rFonts w:ascii="Times New Roman" w:hAnsi="Times New Roman" w:cs="Times New Roman"/>
          <w:sz w:val="24"/>
        </w:rPr>
      </w:pPr>
    </w:p>
    <w:p>
      <w:pPr>
        <w:rPr>
          <w:rFonts w:ascii="Times New Roman" w:hAnsi="Times New Roman" w:cs="Times New Roman"/>
          <w:b/>
          <w:bCs/>
          <w:sz w:val="24"/>
        </w:rPr>
      </w:pPr>
      <w:r>
        <w:rPr>
          <w:rFonts w:hint="eastAsia" w:ascii="Times New Roman" w:hAnsi="Times New Roman" w:cs="Times New Roman"/>
          <w:sz w:val="24"/>
        </w:rPr>
        <w:br w:type="page"/>
      </w:r>
    </w:p>
    <w:p>
      <w:pPr>
        <w:pStyle w:val="2"/>
        <w:rPr>
          <w:rFonts w:ascii="Times New Roman" w:hAnsi="Times New Roman" w:cs="Times New Roman" w:eastAsiaTheme="minorEastAsia"/>
        </w:rPr>
      </w:pPr>
      <w:bookmarkStart w:id="250" w:name="_Toc21505"/>
      <w:bookmarkStart w:id="251" w:name="_Toc847"/>
      <w:r>
        <w:rPr>
          <w:rFonts w:hint="eastAsia" w:ascii="Times New Roman" w:hAnsi="Times New Roman" w:cs="Times New Roman" w:eastAsiaTheme="minorEastAsia"/>
        </w:rPr>
        <w:t>第五章 融合发展，丰富文化旅游产品</w:t>
      </w:r>
      <w:bookmarkEnd w:id="250"/>
      <w:r>
        <w:rPr>
          <w:rFonts w:hint="eastAsia" w:ascii="Times New Roman" w:hAnsi="Times New Roman" w:cs="Times New Roman" w:eastAsiaTheme="minorEastAsia"/>
        </w:rPr>
        <w:t>体系</w:t>
      </w:r>
      <w:bookmarkEnd w:id="251"/>
    </w:p>
    <w:p>
      <w:pPr>
        <w:pStyle w:val="3"/>
        <w:ind w:firstLine="560" w:firstLineChars="200"/>
        <w:rPr>
          <w:rFonts w:ascii="Times New Roman" w:hAnsi="Times New Roman" w:cs="Times New Roman"/>
        </w:rPr>
      </w:pPr>
      <w:bookmarkStart w:id="252" w:name="_Toc18006"/>
      <w:bookmarkStart w:id="253" w:name="_Toc7165"/>
      <w:bookmarkStart w:id="254" w:name="_Toc16427"/>
      <w:bookmarkStart w:id="255" w:name="_Toc29174"/>
      <w:bookmarkStart w:id="256" w:name="_Toc28808"/>
      <w:bookmarkStart w:id="257" w:name="_Toc28255"/>
      <w:r>
        <w:rPr>
          <w:rFonts w:hint="eastAsia" w:ascii="Times New Roman" w:hAnsi="Times New Roman" w:cs="Times New Roman"/>
        </w:rPr>
        <w:t>一、巩固和提升传统旅游产品</w:t>
      </w:r>
      <w:bookmarkEnd w:id="252"/>
      <w:bookmarkEnd w:id="253"/>
      <w:bookmarkEnd w:id="254"/>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继续发展观光、文化等传统旅游产品。提升自然风光、城市风光等观光旅游产品的品质和服务。丰富乡村旅游、民俗旅游等旅游产品的内涵和外延，强化农牧家乐、采摘等传统乡村旅游产品的功能。加大</w:t>
      </w:r>
      <w:r>
        <w:rPr>
          <w:rFonts w:hint="eastAsia" w:ascii="Times New Roman" w:hAnsi="Times New Roman" w:cs="Times New Roman"/>
          <w:bCs/>
          <w:sz w:val="24"/>
          <w:lang w:eastAsia="zh-CN"/>
        </w:rPr>
        <w:t>A级旅游景区</w:t>
      </w:r>
      <w:r>
        <w:rPr>
          <w:rFonts w:hint="eastAsia" w:ascii="Times New Roman" w:hAnsi="Times New Roman" w:cs="Times New Roman"/>
          <w:bCs/>
          <w:sz w:val="24"/>
        </w:rPr>
        <w:t>的资金、科技、人才投入，推动景区提质增效。加强文化遗产、自然遗产、工业遗产等旅游产品的开发，丰富旅游产品类型，增强旅游产品的有效供给。</w:t>
      </w:r>
    </w:p>
    <w:p>
      <w:pPr>
        <w:pStyle w:val="3"/>
        <w:ind w:firstLine="560" w:firstLineChars="200"/>
        <w:rPr>
          <w:rFonts w:ascii="Times New Roman" w:hAnsi="Times New Roman" w:cs="Times New Roman"/>
        </w:rPr>
      </w:pPr>
      <w:bookmarkStart w:id="258" w:name="_Toc9056"/>
      <w:bookmarkStart w:id="259" w:name="_Toc4267"/>
      <w:bookmarkStart w:id="260" w:name="_Toc19294"/>
      <w:r>
        <w:rPr>
          <w:rFonts w:hint="eastAsia" w:ascii="Times New Roman" w:hAnsi="Times New Roman" w:cs="Times New Roman"/>
        </w:rPr>
        <w:t>二、培育和打造新业态旅游产品</w:t>
      </w:r>
      <w:bookmarkEnd w:id="258"/>
      <w:bookmarkEnd w:id="259"/>
      <w:bookmarkEnd w:id="260"/>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在巩固和提升传统业态文化旅游产品基础上，采用“旅游+”模式，在伊金霍洛旗开发新业态文化旅游产品，形成传统文化旅游产品与新业态文化旅游产品并举发展态势。培育文化旅游消费新热点，丰富文化旅游产品供给。</w:t>
      </w:r>
    </w:p>
    <w:p>
      <w:pPr>
        <w:pStyle w:val="4"/>
        <w:ind w:firstLine="480"/>
        <w:rPr>
          <w:rFonts w:ascii="Times New Roman" w:hAnsi="Times New Roman" w:cs="Times New Roman"/>
        </w:rPr>
      </w:pPr>
      <w:bookmarkStart w:id="261" w:name="_Toc17011"/>
      <w:bookmarkStart w:id="262" w:name="_Toc10363"/>
      <w:bookmarkStart w:id="263" w:name="_Toc28841"/>
      <w:bookmarkStart w:id="264" w:name="_Toc31643"/>
      <w:bookmarkStart w:id="265" w:name="_Toc31199"/>
      <w:r>
        <w:rPr>
          <w:rFonts w:hint="eastAsia" w:ascii="Times New Roman" w:hAnsi="Times New Roman" w:cs="Times New Roman"/>
        </w:rPr>
        <w:t>（一）文化创意旅游产品</w:t>
      </w:r>
      <w:bookmarkEnd w:id="261"/>
      <w:bookmarkEnd w:id="262"/>
      <w:bookmarkEnd w:id="263"/>
      <w:bookmarkEnd w:id="264"/>
      <w:bookmarkEnd w:id="265"/>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促进伊金霍洛旗文化创意与旅游业的融合，依托</w:t>
      </w:r>
      <w:r>
        <w:rPr>
          <w:rFonts w:hint="eastAsia" w:ascii="Times New Roman" w:hAnsi="Times New Roman" w:cs="Times New Roman"/>
          <w:bCs/>
          <w:sz w:val="24"/>
          <w:lang w:eastAsia="zh-CN"/>
        </w:rPr>
        <w:t>鄂尔多斯文化产业园</w:t>
      </w:r>
      <w:r>
        <w:rPr>
          <w:rFonts w:hint="eastAsia" w:ascii="Times New Roman" w:hAnsi="Times New Roman" w:cs="Times New Roman"/>
          <w:bCs/>
          <w:sz w:val="24"/>
        </w:rPr>
        <w:t>等文化旅游资源，推动文创产业园、文艺创作基地、“三旧”（旧城镇、旧厂房、旧村庄）改造示范园区、怀旧主题场景再造、工业科技展示基地或专业街区等文化创意旅游产品开发，以实景演艺、情境体验、活态呈现、虚拟再现、新旧合一的展示方式实现文化产品的体验化、故事化、主题化与时尚化。吸引艺术家入驻，建设创意工坊，形成文化艺术创意区，开发文化艺术创意产品。推进融合特色街区建设，吸引一批前店后坊形式的文化创意店入驻，形成全艺术产业链，发挥示范效应。</w:t>
      </w:r>
    </w:p>
    <w:p>
      <w:pPr>
        <w:pStyle w:val="4"/>
        <w:ind w:firstLine="480"/>
        <w:rPr>
          <w:rFonts w:ascii="Times New Roman" w:hAnsi="Times New Roman" w:cs="Times New Roman"/>
        </w:rPr>
      </w:pPr>
      <w:bookmarkStart w:id="266" w:name="_Toc20882"/>
      <w:bookmarkStart w:id="267" w:name="_Toc28630"/>
      <w:bookmarkStart w:id="268" w:name="_Toc32471"/>
      <w:bookmarkStart w:id="269" w:name="_Toc23214"/>
      <w:bookmarkStart w:id="270" w:name="_Toc11170"/>
      <w:r>
        <w:rPr>
          <w:rFonts w:hint="eastAsia" w:ascii="Times New Roman" w:hAnsi="Times New Roman" w:cs="Times New Roman"/>
        </w:rPr>
        <w:t>（二）现代演艺旅游产品</w:t>
      </w:r>
      <w:bookmarkEnd w:id="266"/>
      <w:bookmarkEnd w:id="267"/>
      <w:bookmarkEnd w:id="268"/>
      <w:bookmarkEnd w:id="269"/>
      <w:bookmarkEnd w:id="270"/>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推动伊金霍洛旗的旅游演艺产品推陈出新。4A级旅游景区至少推出1台常态化的旅游演艺节目。推动剧场、演艺、游乐、动漫等产业与旅游产业融合开展文化体验旅游，推动旅游演艺创新发展，结合游客需求，开发具有时代特色的演艺节目。将旅游演艺与文化传承相结合，依托伊金霍洛旗非遗等特色文化资源，挖掘地方特色，借助现代高科技和舞台艺术手段，通过艺术创造使旅游演艺成为游客“必购”的旅游产品。将旅游演艺列为伊金霍洛旗的新名片进行宣传推介，充分运用VR虚拟等多媒体手段，面向目标人群开展体验活动，不断提升推介成效，进一步扩大伊金霍洛旗的知名度和影响力。</w:t>
      </w:r>
    </w:p>
    <w:p>
      <w:pPr>
        <w:pStyle w:val="4"/>
        <w:ind w:firstLine="480"/>
        <w:rPr>
          <w:rFonts w:ascii="Times New Roman" w:hAnsi="Times New Roman" w:cs="Times New Roman"/>
        </w:rPr>
      </w:pPr>
      <w:bookmarkStart w:id="271" w:name="_Toc25290"/>
      <w:bookmarkStart w:id="272" w:name="_Toc22565"/>
      <w:bookmarkStart w:id="273" w:name="_Toc29836"/>
      <w:bookmarkStart w:id="274" w:name="_Toc31610"/>
      <w:bookmarkStart w:id="275" w:name="_Toc16654"/>
      <w:r>
        <w:rPr>
          <w:rFonts w:hint="eastAsia" w:ascii="Times New Roman" w:hAnsi="Times New Roman" w:cs="Times New Roman"/>
        </w:rPr>
        <w:t>（三）康体养生旅游产品</w:t>
      </w:r>
      <w:bookmarkEnd w:id="271"/>
      <w:bookmarkEnd w:id="272"/>
      <w:bookmarkEnd w:id="273"/>
      <w:bookmarkEnd w:id="274"/>
      <w:bookmarkEnd w:id="275"/>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当今人们倡导“自然健康，可持续发展”的生活方式，伊金霍洛旗要抓住“后疫情时代”康养旅游发展的机遇期，推动医养健康产业和旅游产业融合发展。</w:t>
      </w:r>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综合利用生态、环境、文化等健康养生资源优势，建设一批</w:t>
      </w:r>
      <w:r>
        <w:rPr>
          <w:rFonts w:hint="eastAsia" w:ascii="Times New Roman" w:hAnsi="Times New Roman" w:cs="Times New Roman"/>
          <w:bCs/>
          <w:color w:val="auto"/>
          <w:sz w:val="24"/>
        </w:rPr>
        <w:t>如</w:t>
      </w:r>
      <w:r>
        <w:rPr>
          <w:rFonts w:hint="eastAsia" w:ascii="Times New Roman" w:hAnsi="Times New Roman" w:cs="Times New Roman"/>
          <w:bCs/>
          <w:color w:val="auto"/>
          <w:sz w:val="24"/>
          <w:lang w:eastAsia="zh-CN"/>
        </w:rPr>
        <w:t>阿吉泰健康城</w:t>
      </w:r>
      <w:r>
        <w:rPr>
          <w:rFonts w:hint="eastAsia" w:ascii="Times New Roman" w:hAnsi="Times New Roman" w:cs="Times New Roman"/>
          <w:bCs/>
          <w:color w:val="auto"/>
          <w:sz w:val="24"/>
        </w:rPr>
        <w:t>康养项目的生态文化养生体验、避暑度假养生、健康养老等特色休闲养生基地。</w:t>
      </w:r>
      <w:r>
        <w:rPr>
          <w:rFonts w:hint="eastAsia" w:ascii="Times New Roman" w:hAnsi="Times New Roman" w:cs="Times New Roman"/>
          <w:bCs/>
          <w:sz w:val="24"/>
        </w:rPr>
        <w:t>发挥中医药蒙医药资源和产业优势，大力建设一批融合生态农产品种（植）养殖、旅游观光、食疗、中医民族医保健等元素的滋补养生基地，推动中医药蒙医药产业创新发展，提升传统医药价值。依托伊金霍洛旗草原、山地、沙漠等资源，开发徒步、骑马、滑沙、滑草等户外运动休闲产品。发展蒙餐文化，推出健康养生特色美食。</w:t>
      </w:r>
    </w:p>
    <w:p>
      <w:pPr>
        <w:pStyle w:val="4"/>
        <w:ind w:firstLine="480"/>
        <w:rPr>
          <w:rFonts w:ascii="Times New Roman" w:hAnsi="Times New Roman" w:cs="Times New Roman"/>
        </w:rPr>
      </w:pPr>
      <w:bookmarkStart w:id="276" w:name="_Toc10921"/>
      <w:bookmarkStart w:id="277" w:name="_Toc31237"/>
      <w:r>
        <w:rPr>
          <w:rFonts w:hint="eastAsia" w:ascii="Times New Roman" w:hAnsi="Times New Roman" w:cs="Times New Roman"/>
        </w:rPr>
        <w:t>（四）研学旅行旅游产品</w:t>
      </w:r>
      <w:bookmarkEnd w:id="255"/>
      <w:bookmarkEnd w:id="256"/>
      <w:bookmarkEnd w:id="257"/>
      <w:bookmarkEnd w:id="276"/>
      <w:bookmarkEnd w:id="277"/>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依托自然和文化遗产资源、乡村旅游资源、红色旅游景区、大型公共服务设施、知名院校、科研机构等开展研学活动，提升游客综合素质。加强成吉思汗陵、</w:t>
      </w:r>
      <w:r>
        <w:rPr>
          <w:rFonts w:hint="eastAsia" w:ascii="Times New Roman" w:hAnsi="Times New Roman" w:cs="Times New Roman"/>
          <w:bCs/>
          <w:sz w:val="24"/>
          <w:lang w:eastAsia="zh-CN"/>
        </w:rPr>
        <w:t>颐和生态文化博览园</w:t>
      </w:r>
      <w:r>
        <w:rPr>
          <w:rFonts w:hint="eastAsia" w:ascii="Times New Roman" w:hAnsi="Times New Roman" w:cs="Times New Roman"/>
          <w:bCs/>
          <w:sz w:val="24"/>
        </w:rPr>
        <w:t>、龙虎渠村、非遗小镇、益丰寨、查干锡力度假村等研学基地的建设。将研学旅行、夏令营、冬令营等纳入中小学生教育范畴，建立健全中小学阶段研学旅行体系。制定研学旅行支持政策，积极创新研学旅行产品。推进公共博物馆、图书馆、科技馆、纪念馆等资源免费开放。</w:t>
      </w:r>
    </w:p>
    <w:p>
      <w:pPr>
        <w:pStyle w:val="4"/>
        <w:ind w:firstLine="480"/>
        <w:rPr>
          <w:rFonts w:ascii="Times New Roman" w:hAnsi="Times New Roman" w:cs="Times New Roman"/>
        </w:rPr>
      </w:pPr>
      <w:bookmarkStart w:id="278" w:name="_Toc2873"/>
      <w:bookmarkStart w:id="279" w:name="_Toc19126"/>
      <w:bookmarkStart w:id="280" w:name="_Toc23131"/>
      <w:bookmarkStart w:id="281" w:name="_Toc30676"/>
      <w:bookmarkStart w:id="282" w:name="_Toc24608"/>
      <w:r>
        <w:rPr>
          <w:rFonts w:hint="eastAsia" w:ascii="Times New Roman" w:hAnsi="Times New Roman" w:cs="Times New Roman"/>
        </w:rPr>
        <w:t>（五）自驾营地旅游产品</w:t>
      </w:r>
      <w:bookmarkEnd w:id="278"/>
      <w:bookmarkEnd w:id="279"/>
      <w:bookmarkEnd w:id="280"/>
      <w:bookmarkEnd w:id="281"/>
      <w:bookmarkEnd w:id="282"/>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抓住自驾游蓬勃发展的趋势，积极培育国家级自驾精品线路和建设国际标准的自驾露营地体系，加快开发自驾车房车旅游新业态。在伊金霍洛旗规划建设一批不同类型、特色突出的自驾车房车营地，开发满足自驾游、背包客等需求的露营产品，并配套住宿、餐饮、休闲、娱乐、健身、汽车保养与维护等综合服务功能。加快把营地标识纳入公共交通标识体系，强化营地安全服务和应急服务。大力发展自驾车房车租赁产业，促进落地自驾游发展，开展异地还车业务。</w:t>
      </w:r>
    </w:p>
    <w:p>
      <w:pPr>
        <w:pStyle w:val="4"/>
        <w:ind w:firstLine="480"/>
        <w:rPr>
          <w:rFonts w:ascii="Times New Roman" w:hAnsi="Times New Roman" w:cs="Times New Roman"/>
        </w:rPr>
      </w:pPr>
      <w:bookmarkStart w:id="283" w:name="_Toc5731"/>
      <w:bookmarkStart w:id="284" w:name="_Toc5895"/>
      <w:bookmarkStart w:id="285" w:name="_Toc3694"/>
      <w:bookmarkStart w:id="286" w:name="_Toc8602"/>
      <w:bookmarkStart w:id="287" w:name="_Toc19977"/>
      <w:r>
        <w:rPr>
          <w:rFonts w:hint="eastAsia" w:ascii="Times New Roman" w:hAnsi="Times New Roman" w:cs="Times New Roman"/>
        </w:rPr>
        <w:t>（六）工业旅游产品</w:t>
      </w:r>
      <w:bookmarkEnd w:id="283"/>
      <w:bookmarkEnd w:id="284"/>
      <w:bookmarkEnd w:id="285"/>
      <w:bookmarkEnd w:id="286"/>
      <w:bookmarkEnd w:id="287"/>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将工业制造、生产流程、企业文化等元素融入旅游，形成工业旅游新业态，提升工业产品附加值，拓宽工业企业品牌化营销渠道。充分利用神东煤海工业旅游区等工业遗址遗迹，深挖工业文化内涵，建设工业遗产主题公园、工业文化博物馆等，注入旅游、商贸、艺术、会展等理念，将其改造成为主题酒店、文化创意街区和休憩商业空间等。加快推进伊金霍洛旗优质特色企业与旅游融合，支持伊金霍洛旗企业率先开发多种形式的工业旅游，塑造一批全国知名的工业旅游品牌。</w:t>
      </w:r>
    </w:p>
    <w:p>
      <w:pPr>
        <w:pStyle w:val="4"/>
        <w:ind w:firstLine="480"/>
        <w:rPr>
          <w:rFonts w:ascii="Times New Roman" w:hAnsi="Times New Roman" w:cs="Times New Roman"/>
        </w:rPr>
      </w:pPr>
      <w:bookmarkStart w:id="288" w:name="_Toc24735"/>
      <w:bookmarkStart w:id="289" w:name="_Toc5495"/>
      <w:bookmarkStart w:id="290" w:name="_Toc30775"/>
      <w:bookmarkStart w:id="291" w:name="_Toc2480"/>
      <w:bookmarkStart w:id="292" w:name="_Toc15408"/>
      <w:r>
        <w:rPr>
          <w:rFonts w:hint="eastAsia" w:ascii="Times New Roman" w:hAnsi="Times New Roman" w:cs="Times New Roman"/>
        </w:rPr>
        <w:t>（七）低空旅游产品</w:t>
      </w:r>
      <w:bookmarkEnd w:id="288"/>
      <w:bookmarkEnd w:id="289"/>
      <w:bookmarkEnd w:id="290"/>
      <w:bookmarkEnd w:id="291"/>
      <w:bookmarkEnd w:id="292"/>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在伊金霍洛旗科学规划，合理布局低空旅游项目；深入研究，精心设计低空旅游线路；扩大宣传，积极开拓低空旅游市场；加强监管，全面确保低空旅游安全；着眼长远，重视培养低空旅游人才。推出滑翔机、空中飞伞等低空飞行体验项目，建设无人机飞行基地，丰富低空旅游产品体系，培育扶持低空旅游新业态发展。开发航空工业旅游、航空文化展示、低空飞行体验、飞行俱乐部等休闲产品和观光体验、运动休闲、赛事活动等低空旅游体验产品，策划举办空中婚礼、空中摄影、空中跳伞等定制空中游览项目，配套发展航空小镇、航空展馆、航空驾校、航空俱乐部等业态，培育航空旅游综合体。</w:t>
      </w:r>
    </w:p>
    <w:p>
      <w:pPr>
        <w:pStyle w:val="4"/>
        <w:ind w:firstLine="480"/>
        <w:rPr>
          <w:rFonts w:ascii="Times New Roman" w:hAnsi="Times New Roman" w:cs="Times New Roman"/>
        </w:rPr>
      </w:pPr>
      <w:bookmarkStart w:id="293" w:name="_Toc15911"/>
      <w:bookmarkStart w:id="294" w:name="_Toc12904"/>
      <w:bookmarkStart w:id="295" w:name="_Toc24486"/>
      <w:bookmarkStart w:id="296" w:name="_Toc9557"/>
      <w:bookmarkStart w:id="297" w:name="_Toc32756"/>
      <w:r>
        <w:rPr>
          <w:rFonts w:hint="eastAsia" w:ascii="Times New Roman" w:hAnsi="Times New Roman" w:cs="Times New Roman"/>
        </w:rPr>
        <w:t>（八）线上旅游产品</w:t>
      </w:r>
      <w:bookmarkEnd w:id="293"/>
      <w:bookmarkEnd w:id="294"/>
      <w:bookmarkEnd w:id="295"/>
      <w:bookmarkEnd w:id="296"/>
      <w:bookmarkEnd w:id="297"/>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受“新冠”疫情影响，限制了全国游客的出行和文化旅游业的发展。因此，线上旅游产品应运而生，满足了广大游客的文化旅游需求。互联网聚集了主要的人群，伊金霍洛旗要开发虚拟旅游产品。4A级以上景区全部实现“虚拟旅游”，利用虚拟技术，重现草原、沙漠等时空演变场景。发展在线旅游购物和餐饮服务平台，积极推广“线上下单、线下购物”的在线旅游购物模式和手机餐厅服务模式，推动“旅游+互联网”的跨界融合。依托在线度假租赁平台，由个人业主、房源承租者和商业机构为旅游者、商务度假者和其他居住需求消费者提供个性化设施和服务。利用现代科技，丰富旅游产品内容，提高旅游产品吸引力。</w:t>
      </w:r>
    </w:p>
    <w:p>
      <w:pPr>
        <w:pStyle w:val="4"/>
        <w:ind w:firstLine="480"/>
        <w:rPr>
          <w:rFonts w:ascii="Times New Roman" w:hAnsi="Times New Roman" w:cs="Times New Roman"/>
        </w:rPr>
      </w:pPr>
      <w:bookmarkStart w:id="298" w:name="_Toc2848"/>
      <w:bookmarkStart w:id="299" w:name="_Toc11606"/>
      <w:bookmarkStart w:id="300" w:name="_Toc10947"/>
      <w:bookmarkStart w:id="301" w:name="_Toc24239"/>
      <w:bookmarkStart w:id="302" w:name="_Toc18822"/>
      <w:r>
        <w:rPr>
          <w:rFonts w:hint="eastAsia" w:ascii="Times New Roman" w:hAnsi="Times New Roman" w:cs="Times New Roman"/>
        </w:rPr>
        <w:t>（九）乡村旅游产品</w:t>
      </w:r>
      <w:bookmarkEnd w:id="298"/>
      <w:bookmarkEnd w:id="299"/>
      <w:bookmarkEnd w:id="300"/>
      <w:bookmarkEnd w:id="301"/>
      <w:bookmarkEnd w:id="302"/>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依托龙虎渠村、苏布尔嘎嘎查、查干锡力旅游度假村等丰富的乡村旅游资源，以休闲农牧业、绿色景观、田园度假、风情民俗、健康养生为主题，培育农牧业公园、驿站、乡村民宿、休闲农牧场、生态村等新兴业态，建设一批乡村旅游产业集聚区，推进乡村旅游发展。伊金霍洛旗的特色产业区要积极开发观光娱乐、自由采摘、摄影写生、科普教育等互动体验产品。传统村落区要在保护民居建筑、民间艺术和民俗风情的前提下，开发特色民宿、专题博物馆等产品。实施休闲农业和乡村旅游融合提升工程，加强农副产品和旅游纪念品、工艺品的开发、生产和营销，逐步完善乡村旅游商品生产和销售体系。 实现一村一品、一村一景的发展格局。</w:t>
      </w:r>
    </w:p>
    <w:p>
      <w:pPr>
        <w:pStyle w:val="4"/>
        <w:ind w:firstLine="480"/>
        <w:rPr>
          <w:rFonts w:ascii="Times New Roman" w:hAnsi="Times New Roman" w:cs="Times New Roman"/>
        </w:rPr>
      </w:pPr>
      <w:bookmarkStart w:id="303" w:name="_Toc17206"/>
      <w:bookmarkStart w:id="304" w:name="_Toc25781"/>
      <w:bookmarkStart w:id="305" w:name="_Toc16988"/>
      <w:bookmarkStart w:id="306" w:name="_Toc14271"/>
      <w:bookmarkStart w:id="307" w:name="_Toc13793"/>
      <w:r>
        <w:rPr>
          <w:rFonts w:hint="eastAsia" w:ascii="Times New Roman" w:hAnsi="Times New Roman" w:cs="Times New Roman"/>
        </w:rPr>
        <w:t>（十）红色旅游产品</w:t>
      </w:r>
      <w:bookmarkEnd w:id="303"/>
      <w:bookmarkEnd w:id="304"/>
      <w:bookmarkEnd w:id="305"/>
      <w:bookmarkEnd w:id="306"/>
      <w:bookmarkEnd w:id="307"/>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以培育和践行社会主义核心价值观为根本，充分挖掘和利用革命历史文化资源，实施革命文物保护利用工程和红色旅游精品工程，全面提升红色旅游开发和管理水平，促进红色旅游持续快速健康发展。</w:t>
      </w:r>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全面加强革命文物保护，不断丰富红色旅游内容。开展革命文物调查征集，组织红色旅游重大课题研究。加大革命文物保护力度，实施革命旧址维修保护计划、馆藏革命文物修复计划和革命文物预防性保护计划。推动革命文物集中连片保护利用，建设红色文化旅游片区。实施重点革命旧址保护项目，推动重点革命主题线路整体保护。拓展革命文物利用途径，改进创新红色旅游宣讲和展陈方式，组织开展各类具有庄严感和教育意义的主题纪念活动。创新革命文物传播方式，重点推出多种革命文物展览、联展、巡展。</w:t>
      </w:r>
    </w:p>
    <w:p>
      <w:pPr>
        <w:pStyle w:val="9"/>
        <w:spacing w:line="360" w:lineRule="auto"/>
        <w:ind w:firstLine="480" w:firstLineChars="200"/>
        <w:rPr>
          <w:rFonts w:ascii="Times New Roman" w:hAnsi="Times New Roman" w:cs="Times New Roman"/>
          <w:bCs/>
          <w:sz w:val="24"/>
        </w:rPr>
      </w:pPr>
      <w:r>
        <w:rPr>
          <w:rFonts w:ascii="Times New Roman" w:hAnsi="Times New Roman" w:cs="Times New Roman"/>
          <w:bCs/>
          <w:sz w:val="24"/>
        </w:rPr>
        <w:t>完善红色旅游精品体系，打造红色旅游品牌。创新红色旅游发展模式，丰富红色旅游产品，提高红色旅游服务质量。打造</w:t>
      </w:r>
      <w:r>
        <w:rPr>
          <w:rFonts w:hint="eastAsia" w:ascii="Times New Roman" w:hAnsi="Times New Roman" w:cs="Times New Roman"/>
          <w:bCs/>
          <w:sz w:val="24"/>
        </w:rPr>
        <w:t>一</w:t>
      </w:r>
      <w:r>
        <w:rPr>
          <w:rFonts w:ascii="Times New Roman" w:hAnsi="Times New Roman" w:cs="Times New Roman"/>
          <w:bCs/>
          <w:sz w:val="24"/>
        </w:rPr>
        <w:t>批</w:t>
      </w:r>
      <w:r>
        <w:rPr>
          <w:rFonts w:hint="eastAsia" w:ascii="Times New Roman" w:hAnsi="Times New Roman" w:cs="Times New Roman"/>
          <w:bCs/>
          <w:sz w:val="24"/>
        </w:rPr>
        <w:t>“</w:t>
      </w:r>
      <w:r>
        <w:rPr>
          <w:rFonts w:ascii="Times New Roman" w:hAnsi="Times New Roman" w:cs="Times New Roman"/>
          <w:bCs/>
          <w:sz w:val="24"/>
        </w:rPr>
        <w:t>重点红色旅游经典景区</w:t>
      </w:r>
      <w:r>
        <w:rPr>
          <w:rFonts w:hint="eastAsia" w:ascii="Times New Roman" w:hAnsi="Times New Roman" w:cs="Times New Roman"/>
          <w:bCs/>
          <w:sz w:val="24"/>
        </w:rPr>
        <w:t>”</w:t>
      </w:r>
      <w:r>
        <w:rPr>
          <w:rFonts w:ascii="Times New Roman" w:hAnsi="Times New Roman" w:cs="Times New Roman"/>
          <w:bCs/>
          <w:sz w:val="24"/>
        </w:rPr>
        <w:t>，使其成为主题鲜明、交通便利、服务配套、吸引力强，在</w:t>
      </w:r>
      <w:r>
        <w:rPr>
          <w:rFonts w:hint="eastAsia" w:ascii="Times New Roman" w:hAnsi="Times New Roman" w:cs="Times New Roman"/>
          <w:bCs/>
          <w:sz w:val="24"/>
        </w:rPr>
        <w:t>区</w:t>
      </w:r>
      <w:r>
        <w:rPr>
          <w:rFonts w:ascii="Times New Roman" w:hAnsi="Times New Roman" w:cs="Times New Roman"/>
          <w:bCs/>
          <w:sz w:val="24"/>
        </w:rPr>
        <w:t>内外有较大影响的旅游目的地。以</w:t>
      </w:r>
      <w:r>
        <w:rPr>
          <w:rFonts w:hint="eastAsia" w:ascii="Times New Roman" w:hAnsi="Times New Roman" w:cs="Times New Roman"/>
          <w:bCs/>
          <w:sz w:val="24"/>
        </w:rPr>
        <w:t>郡王府</w:t>
      </w:r>
      <w:r>
        <w:rPr>
          <w:rFonts w:ascii="Times New Roman" w:hAnsi="Times New Roman" w:cs="Times New Roman"/>
          <w:bCs/>
          <w:sz w:val="24"/>
        </w:rPr>
        <w:t>以及党性教育基地为核心，联合</w:t>
      </w:r>
      <w:r>
        <w:rPr>
          <w:rFonts w:hint="eastAsia" w:ascii="Times New Roman" w:hAnsi="Times New Roman" w:cs="Times New Roman"/>
          <w:bCs/>
          <w:sz w:val="24"/>
        </w:rPr>
        <w:t>新三师革命旧址</w:t>
      </w:r>
      <w:r>
        <w:rPr>
          <w:rFonts w:ascii="Times New Roman" w:hAnsi="Times New Roman" w:cs="Times New Roman"/>
          <w:bCs/>
          <w:sz w:val="24"/>
        </w:rPr>
        <w:t>、</w:t>
      </w:r>
      <w:r>
        <w:rPr>
          <w:rFonts w:hint="eastAsia" w:ascii="Times New Roman" w:hAnsi="Times New Roman" w:cs="Times New Roman"/>
          <w:bCs/>
          <w:sz w:val="24"/>
        </w:rPr>
        <w:t>红庆河</w:t>
      </w:r>
      <w:r>
        <w:rPr>
          <w:rFonts w:hint="eastAsia" w:ascii="Times New Roman" w:hAnsi="Times New Roman" w:cs="Times New Roman"/>
          <w:bCs/>
          <w:sz w:val="24"/>
          <w:lang w:eastAsia="zh-CN"/>
        </w:rPr>
        <w:t>红色革命教育馆</w:t>
      </w:r>
      <w:r>
        <w:rPr>
          <w:rFonts w:hint="eastAsia" w:ascii="Times New Roman" w:hAnsi="Times New Roman" w:cs="Times New Roman"/>
          <w:bCs/>
          <w:sz w:val="24"/>
        </w:rPr>
        <w:t>，</w:t>
      </w:r>
      <w:r>
        <w:rPr>
          <w:rFonts w:ascii="Times New Roman" w:hAnsi="Times New Roman" w:cs="Times New Roman"/>
          <w:bCs/>
          <w:sz w:val="24"/>
        </w:rPr>
        <w:t>打造全</w:t>
      </w:r>
      <w:r>
        <w:rPr>
          <w:rFonts w:hint="eastAsia" w:ascii="Times New Roman" w:hAnsi="Times New Roman" w:cs="Times New Roman"/>
          <w:bCs/>
          <w:sz w:val="24"/>
        </w:rPr>
        <w:t>区一</w:t>
      </w:r>
      <w:r>
        <w:rPr>
          <w:rFonts w:ascii="Times New Roman" w:hAnsi="Times New Roman" w:cs="Times New Roman"/>
          <w:bCs/>
          <w:sz w:val="24"/>
        </w:rPr>
        <w:t>流的</w:t>
      </w:r>
      <w:r>
        <w:rPr>
          <w:rFonts w:hint="eastAsia" w:ascii="Times New Roman" w:hAnsi="Times New Roman" w:cs="Times New Roman"/>
          <w:bCs/>
          <w:sz w:val="24"/>
        </w:rPr>
        <w:t>“红色</w:t>
      </w:r>
      <w:r>
        <w:rPr>
          <w:rFonts w:ascii="Times New Roman" w:hAnsi="Times New Roman" w:cs="Times New Roman"/>
          <w:bCs/>
          <w:sz w:val="24"/>
        </w:rPr>
        <w:t>旅游区</w:t>
      </w:r>
      <w:r>
        <w:rPr>
          <w:rFonts w:hint="eastAsia" w:ascii="Times New Roman" w:hAnsi="Times New Roman" w:cs="Times New Roman"/>
          <w:bCs/>
          <w:sz w:val="24"/>
        </w:rPr>
        <w:t>”</w:t>
      </w:r>
      <w:r>
        <w:rPr>
          <w:rFonts w:ascii="Times New Roman" w:hAnsi="Times New Roman" w:cs="Times New Roman"/>
          <w:bCs/>
          <w:sz w:val="24"/>
        </w:rPr>
        <w:t>。推出一批</w:t>
      </w:r>
      <w:r>
        <w:rPr>
          <w:rFonts w:hint="eastAsia" w:ascii="Times New Roman" w:hAnsi="Times New Roman" w:cs="Times New Roman"/>
          <w:bCs/>
          <w:sz w:val="24"/>
        </w:rPr>
        <w:t>“</w:t>
      </w:r>
      <w:r>
        <w:rPr>
          <w:rFonts w:ascii="Times New Roman" w:hAnsi="Times New Roman" w:cs="Times New Roman"/>
          <w:bCs/>
          <w:sz w:val="24"/>
        </w:rPr>
        <w:t>红色旅游精品线路</w:t>
      </w:r>
      <w:r>
        <w:rPr>
          <w:rFonts w:hint="eastAsia" w:ascii="Times New Roman" w:hAnsi="Times New Roman" w:cs="Times New Roman"/>
          <w:bCs/>
          <w:sz w:val="24"/>
        </w:rPr>
        <w:t>”</w:t>
      </w:r>
      <w:r>
        <w:rPr>
          <w:rFonts w:ascii="Times New Roman" w:hAnsi="Times New Roman" w:cs="Times New Roman"/>
          <w:bCs/>
          <w:sz w:val="24"/>
        </w:rPr>
        <w:t>，举办一批红色旅游节事活动，</w:t>
      </w:r>
      <w:r>
        <w:rPr>
          <w:rFonts w:hint="eastAsia" w:ascii="Times New Roman" w:hAnsi="Times New Roman" w:cs="Times New Roman"/>
          <w:bCs/>
          <w:sz w:val="24"/>
        </w:rPr>
        <w:t>增</w:t>
      </w:r>
      <w:r>
        <w:rPr>
          <w:rFonts w:ascii="Times New Roman" w:hAnsi="Times New Roman" w:cs="Times New Roman"/>
          <w:bCs/>
          <w:sz w:val="24"/>
        </w:rPr>
        <w:t>强红色文化吸引力，打造红色文化旅游目的地</w:t>
      </w:r>
      <w:r>
        <w:rPr>
          <w:rFonts w:hint="eastAsia" w:ascii="Times New Roman" w:hAnsi="Times New Roman" w:cs="Times New Roman"/>
          <w:bCs/>
          <w:sz w:val="24"/>
        </w:rPr>
        <w:t>，</w:t>
      </w:r>
      <w:r>
        <w:rPr>
          <w:rFonts w:ascii="Times New Roman" w:hAnsi="Times New Roman" w:cs="Times New Roman"/>
          <w:bCs/>
          <w:sz w:val="24"/>
        </w:rPr>
        <w:t>形成红色旅游精品体系。</w:t>
      </w:r>
    </w:p>
    <w:p>
      <w:pPr>
        <w:pStyle w:val="9"/>
        <w:spacing w:line="360" w:lineRule="auto"/>
        <w:ind w:firstLine="480" w:firstLineChars="200"/>
        <w:rPr>
          <w:rFonts w:ascii="Times New Roman" w:hAnsi="Times New Roman" w:cs="Times New Roman"/>
          <w:bCs/>
          <w:sz w:val="24"/>
        </w:rPr>
      </w:pPr>
      <w:r>
        <w:rPr>
          <w:rFonts w:ascii="Times New Roman" w:hAnsi="Times New Roman" w:cs="Times New Roman"/>
          <w:bCs/>
          <w:sz w:val="24"/>
        </w:rPr>
        <w:t>丰富红色旅游体验，创新红色旅游发展模式。坚持把红色旅游与爱国主义、革命传统教育等相结合，充分利用</w:t>
      </w:r>
      <w:r>
        <w:rPr>
          <w:rFonts w:hint="eastAsia" w:ascii="Times New Roman" w:hAnsi="Times New Roman" w:cs="Times New Roman"/>
          <w:bCs/>
          <w:sz w:val="24"/>
        </w:rPr>
        <w:t>全旗</w:t>
      </w:r>
      <w:r>
        <w:rPr>
          <w:rFonts w:ascii="Times New Roman" w:hAnsi="Times New Roman" w:cs="Times New Roman"/>
          <w:bCs/>
          <w:sz w:val="24"/>
        </w:rPr>
        <w:t>主要历史文化和革命文化资源，打造特色</w:t>
      </w:r>
      <w:r>
        <w:rPr>
          <w:rFonts w:hint="eastAsia" w:ascii="Times New Roman" w:hAnsi="Times New Roman" w:cs="Times New Roman"/>
          <w:bCs/>
          <w:sz w:val="24"/>
        </w:rPr>
        <w:t>鲜明</w:t>
      </w:r>
      <w:r>
        <w:rPr>
          <w:rFonts w:ascii="Times New Roman" w:hAnsi="Times New Roman" w:cs="Times New Roman"/>
          <w:bCs/>
          <w:sz w:val="24"/>
        </w:rPr>
        <w:t>的红色文化研学旅游目的地体系。深入挖掘革命文物价值内涵和文化元素，开发文化创意产品。加强红色旅游人才队伍建设，推动红色旅游与其他旅游业态的融合发展，打造红色+乡村、红色+文创、红色+民俗等红色旅游复合型产品，助推红色旅游高质量发展。</w:t>
      </w:r>
    </w:p>
    <w:p>
      <w:pPr>
        <w:pStyle w:val="4"/>
        <w:ind w:firstLine="480"/>
        <w:rPr>
          <w:rFonts w:ascii="Times New Roman" w:hAnsi="Times New Roman" w:cs="Times New Roman"/>
        </w:rPr>
      </w:pPr>
      <w:bookmarkStart w:id="308" w:name="_Toc26712"/>
      <w:bookmarkStart w:id="309" w:name="_Toc24291"/>
      <w:bookmarkStart w:id="310" w:name="_Toc22423"/>
      <w:bookmarkStart w:id="311" w:name="_Toc3813"/>
      <w:bookmarkStart w:id="312" w:name="_Toc922"/>
      <w:r>
        <w:rPr>
          <w:rFonts w:hint="eastAsia" w:ascii="Times New Roman" w:hAnsi="Times New Roman" w:cs="Times New Roman"/>
        </w:rPr>
        <w:t>（十一）冬季旅游产品</w:t>
      </w:r>
      <w:bookmarkEnd w:id="308"/>
      <w:bookmarkEnd w:id="309"/>
      <w:bookmarkEnd w:id="310"/>
      <w:bookmarkEnd w:id="311"/>
      <w:bookmarkEnd w:id="312"/>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按照《内蒙古自治区“十三五”旅游业发展规划》提出的发展冬季旅游，实施四季旅游发展战略，深入挖掘冰雪草原、冰雪森林、雾凇、林海雪原等冬季旅游资源，通过融合发展，将伊金霍洛旗冬季特色景观与蒙古族传统的生产生活方式、民风民俗、民间竞技和休闲娱乐融为一体，打造集观赏性、参与性、娱乐性为一体的冰雪盛会，形成文化内涵丰富、特色鲜明的冬季旅游产品，并将这些产品精雕细琢，精心包装设计，使之成为具有极大影响力的旅游精品。开发各种冰雪旅游品牌产品，打造冰雪+体育竞技、冰雪+艺术表演、旅游+民族风情展演等特色项目。大力发展冬季体验旅游，发挥伊金霍洛旗自然冰雪资源优势，不断推动冬季旅游发展。</w:t>
      </w:r>
    </w:p>
    <w:p>
      <w:pPr>
        <w:pStyle w:val="4"/>
        <w:ind w:firstLine="480"/>
        <w:rPr>
          <w:rFonts w:ascii="Times New Roman" w:hAnsi="Times New Roman" w:cs="Times New Roman"/>
        </w:rPr>
      </w:pPr>
      <w:bookmarkStart w:id="313" w:name="_Toc18926"/>
      <w:bookmarkStart w:id="314" w:name="_Toc28694"/>
      <w:bookmarkStart w:id="315" w:name="_Toc7476"/>
      <w:bookmarkStart w:id="316" w:name="_Toc26822"/>
      <w:bookmarkStart w:id="317" w:name="_Toc18883"/>
      <w:r>
        <w:rPr>
          <w:rFonts w:hint="eastAsia" w:ascii="Times New Roman" w:hAnsi="Times New Roman" w:cs="Times New Roman"/>
        </w:rPr>
        <w:t>（十二）夜间旅游产品</w:t>
      </w:r>
      <w:bookmarkEnd w:id="313"/>
      <w:bookmarkEnd w:id="314"/>
      <w:bookmarkEnd w:id="315"/>
      <w:bookmarkEnd w:id="316"/>
      <w:bookmarkEnd w:id="317"/>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夜间旅游是文化和旅游融合发展的需求新潜力、供给新动能。相对于白天的走马观光的景区打卡，夜晚的休闲活动更有助于游客对当地文化的感知与生活方式的体验。因此，通过丰富夜间旅游产品，推动旅游与城市商圈融合发展，打造一批城市夜游集聚区，拓展旅游消费空间，解决“留客难”的问题，进一步优化文化与旅游产业结构并快速形成新的消费经济增长点。夜间旅游产品的打造应抓住22-45岁这类对生活品质有追求、讲求体验的消费人群的需求，从文化内涵和思路创新上突出伊金霍洛旗的夜间特色，以“旅游+文化+科技+……”的开发模式形成系列夜景、夜演、夜购、夜餐、夜宿等夜间旅游产品体系，带给游客独特</w:t>
      </w:r>
      <w:r>
        <w:rPr>
          <w:rFonts w:hint="eastAsia" w:ascii="Times New Roman" w:hAnsi="Times New Roman" w:cs="Times New Roman"/>
          <w:sz w:val="24"/>
          <w:lang w:eastAsia="zh-CN"/>
        </w:rPr>
        <w:t>深刻的体验</w:t>
      </w:r>
      <w:r>
        <w:rPr>
          <w:rFonts w:hint="eastAsia" w:ascii="Times New Roman" w:hAnsi="Times New Roman" w:cs="Times New Roman"/>
          <w:sz w:val="24"/>
        </w:rPr>
        <w:t>，从而拓展游客和当地居民的休闲娱乐活动中心，提高人民生活幸福指数。</w:t>
      </w:r>
    </w:p>
    <w:p>
      <w:pPr>
        <w:pStyle w:val="4"/>
        <w:ind w:firstLine="480"/>
        <w:rPr>
          <w:rFonts w:ascii="Times New Roman" w:hAnsi="Times New Roman" w:cs="Times New Roman"/>
        </w:rPr>
      </w:pPr>
      <w:bookmarkStart w:id="318" w:name="_Toc11659"/>
      <w:r>
        <w:rPr>
          <w:rFonts w:hint="eastAsia" w:ascii="Times New Roman" w:hAnsi="Times New Roman" w:cs="Times New Roman"/>
        </w:rPr>
        <w:t>（十三）美食旅游产品</w:t>
      </w:r>
      <w:bookmarkEnd w:id="318"/>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食”作为旅游六要素之一，在旅游活动中扮演着不可或缺的角色。美食具有强烈的地域性、民族性、民俗性等人文特性，是旅游目的地重要的吸引物。随着人们对深入体验目的地，了解当地文化的需求不断增加，开发饮食文化资源，打造具有创造力和体验的美食旅游产品已经成为各地开发旅游产品的重要一环。因此，应该以美食为媒介、将旅游目的地景点、历史文化和乡土食材结合起来，创造旅游新吸引点，同时也增强游客在美食旅游体验中的体验性与参与感。</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作为初始动力，美食有着门槛低、成本低、启动快等不可比拟的优势，但是作为旅游的核心吸引力，就需要进一步延展美食的内涵与外延，将娱乐、活动、文化、民俗和美食紧密结合，重视宣传，提高美食的知名度，形成可持续发展的美食旅游产品。</w:t>
      </w:r>
    </w:p>
    <w:p>
      <w:pPr>
        <w:pStyle w:val="3"/>
        <w:ind w:firstLine="560" w:firstLineChars="200"/>
        <w:rPr>
          <w:rFonts w:ascii="Times New Roman" w:hAnsi="Times New Roman" w:cs="Times New Roman"/>
        </w:rPr>
      </w:pPr>
      <w:bookmarkStart w:id="319" w:name="_Toc9114"/>
      <w:bookmarkStart w:id="320" w:name="_Toc11876"/>
      <w:r>
        <w:rPr>
          <w:rFonts w:hint="eastAsia" w:ascii="Times New Roman" w:hAnsi="Times New Roman" w:cs="Times New Roman"/>
        </w:rPr>
        <w:t>三、形成精品文化旅游线路</w:t>
      </w:r>
      <w:bookmarkEnd w:id="319"/>
      <w:bookmarkEnd w:id="320"/>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围绕文化旅游强旗建设目标，根据文化旅游产品特色和区域分布特点，以品牌景区为载体，以交通干线为依托，开发了五条文化旅游精品线路。</w:t>
      </w:r>
    </w:p>
    <w:p>
      <w:pPr>
        <w:pStyle w:val="9"/>
        <w:spacing w:line="360" w:lineRule="auto"/>
        <w:ind w:firstLine="482" w:firstLineChars="200"/>
        <w:rPr>
          <w:rFonts w:ascii="Times New Roman" w:hAnsi="Times New Roman" w:cs="Times New Roman"/>
          <w:bCs/>
          <w:sz w:val="24"/>
        </w:rPr>
      </w:pPr>
      <w:r>
        <w:rPr>
          <w:rFonts w:hint="eastAsia" w:ascii="Times New Roman" w:hAnsi="Times New Roman" w:cs="Times New Roman"/>
          <w:b/>
          <w:sz w:val="24"/>
        </w:rPr>
        <w:t>（一）</w:t>
      </w:r>
      <w:r>
        <w:rPr>
          <w:rFonts w:hint="eastAsia" w:ascii="Times New Roman" w:hAnsi="Times New Roman" w:cs="Times New Roman"/>
          <w:b/>
          <w:sz w:val="24"/>
          <w:lang w:val="en-US" w:eastAsia="zh-CN"/>
        </w:rPr>
        <w:t>民俗</w:t>
      </w:r>
      <w:r>
        <w:rPr>
          <w:rFonts w:hint="eastAsia" w:ascii="Times New Roman" w:hAnsi="Times New Roman" w:cs="Times New Roman"/>
          <w:b/>
          <w:sz w:val="24"/>
        </w:rPr>
        <w:t>文化体验游：</w:t>
      </w:r>
      <w:r>
        <w:rPr>
          <w:rFonts w:hint="eastAsia" w:ascii="Times New Roman" w:hAnsi="Times New Roman" w:cs="Times New Roman"/>
          <w:bCs/>
          <w:sz w:val="24"/>
        </w:rPr>
        <w:t>串联成吉思汗旅游区、</w:t>
      </w:r>
      <w:r>
        <w:rPr>
          <w:rFonts w:hint="eastAsia" w:ascii="Times New Roman" w:hAnsi="Times New Roman" w:cs="Times New Roman"/>
          <w:bCs/>
          <w:sz w:val="24"/>
          <w:lang w:eastAsia="zh-CN"/>
        </w:rPr>
        <w:t>鄂尔多斯文化产业园</w:t>
      </w:r>
      <w:r>
        <w:rPr>
          <w:rFonts w:hint="eastAsia" w:ascii="Times New Roman" w:hAnsi="Times New Roman" w:cs="Times New Roman"/>
          <w:bCs/>
          <w:sz w:val="24"/>
        </w:rPr>
        <w:t>、苏泊罕草原旅游区、</w:t>
      </w:r>
      <w:r>
        <w:rPr>
          <w:rFonts w:hint="eastAsia" w:ascii="Times New Roman" w:hAnsi="Times New Roman" w:cs="Times New Roman"/>
          <w:bCs/>
          <w:sz w:val="24"/>
          <w:lang w:eastAsia="zh-CN"/>
        </w:rPr>
        <w:t>颐和生态文化博览园</w:t>
      </w:r>
      <w:r>
        <w:rPr>
          <w:rFonts w:hint="eastAsia" w:ascii="Times New Roman" w:hAnsi="Times New Roman" w:cs="Times New Roman"/>
          <w:bCs/>
          <w:sz w:val="24"/>
        </w:rPr>
        <w:t>等伊金霍洛旗知名景区，带动沿途其他景区（伊景园城市沙山旅游区、郡王府、红海子湿地等），融入</w:t>
      </w:r>
      <w:r>
        <w:rPr>
          <w:rFonts w:hint="eastAsia" w:ascii="Times New Roman" w:hAnsi="Times New Roman" w:cs="Times New Roman"/>
          <w:bCs/>
          <w:sz w:val="24"/>
          <w:lang w:val="en-US" w:eastAsia="zh-CN"/>
        </w:rPr>
        <w:t>民俗</w:t>
      </w:r>
      <w:r>
        <w:rPr>
          <w:rFonts w:hint="eastAsia" w:ascii="Times New Roman" w:hAnsi="Times New Roman" w:cs="Times New Roman"/>
          <w:bCs/>
          <w:sz w:val="24"/>
        </w:rPr>
        <w:t>文化和草原风情，打造一条</w:t>
      </w:r>
      <w:r>
        <w:rPr>
          <w:rFonts w:hint="eastAsia" w:ascii="Times New Roman" w:hAnsi="Times New Roman" w:cs="Times New Roman"/>
          <w:bCs/>
          <w:sz w:val="24"/>
          <w:lang w:val="en-US" w:eastAsia="zh-CN"/>
        </w:rPr>
        <w:t>民俗</w:t>
      </w:r>
      <w:r>
        <w:rPr>
          <w:rFonts w:hint="eastAsia" w:ascii="Times New Roman" w:hAnsi="Times New Roman" w:cs="Times New Roman"/>
          <w:bCs/>
          <w:sz w:val="24"/>
        </w:rPr>
        <w:t>文化深度体验精品路线。</w:t>
      </w:r>
    </w:p>
    <w:p>
      <w:pPr>
        <w:pStyle w:val="9"/>
        <w:spacing w:line="360" w:lineRule="auto"/>
        <w:ind w:firstLine="480" w:firstLineChars="200"/>
        <w:rPr>
          <w:rFonts w:hint="eastAsia" w:ascii="Times New Roman" w:hAnsi="Times New Roman" w:cs="Times New Roman" w:eastAsiaTheme="minorEastAsia"/>
          <w:bCs/>
          <w:sz w:val="24"/>
          <w:lang w:eastAsia="zh-CN"/>
        </w:rPr>
      </w:pPr>
      <w:r>
        <w:rPr>
          <w:rFonts w:hint="eastAsia" w:ascii="Times New Roman" w:hAnsi="Times New Roman" w:cs="Times New Roman"/>
          <w:bCs/>
          <w:sz w:val="24"/>
        </w:rPr>
        <w:t>游线：成吉思汗旅游区——西红海子湿地——伊景园城市沙山旅游区——郡王府——</w:t>
      </w:r>
      <w:r>
        <w:rPr>
          <w:rFonts w:hint="eastAsia" w:ascii="Times New Roman" w:hAnsi="Times New Roman" w:cs="Times New Roman"/>
          <w:bCs/>
          <w:sz w:val="24"/>
          <w:lang w:eastAsia="zh-CN"/>
        </w:rPr>
        <w:t>颐和生态文化博览园</w:t>
      </w:r>
      <w:r>
        <w:rPr>
          <w:rFonts w:hint="eastAsia" w:ascii="Times New Roman" w:hAnsi="Times New Roman" w:cs="Times New Roman"/>
          <w:bCs/>
          <w:sz w:val="24"/>
        </w:rPr>
        <w:t>——苏泊罕草原旅游区——</w:t>
      </w:r>
      <w:r>
        <w:rPr>
          <w:rFonts w:hint="eastAsia" w:ascii="Times New Roman" w:hAnsi="Times New Roman" w:cs="Times New Roman"/>
          <w:bCs/>
          <w:sz w:val="24"/>
          <w:lang w:eastAsia="zh-CN"/>
        </w:rPr>
        <w:t>鄂尔多斯文化产业园</w:t>
      </w:r>
    </w:p>
    <w:p>
      <w:pPr>
        <w:pStyle w:val="9"/>
        <w:spacing w:line="360" w:lineRule="auto"/>
        <w:ind w:firstLine="482" w:firstLineChars="200"/>
        <w:rPr>
          <w:rFonts w:ascii="Times New Roman" w:hAnsi="Times New Roman" w:cs="Times New Roman"/>
          <w:bCs/>
          <w:sz w:val="24"/>
        </w:rPr>
      </w:pPr>
      <w:r>
        <w:rPr>
          <w:rFonts w:hint="eastAsia" w:ascii="Times New Roman" w:hAnsi="Times New Roman" w:cs="Times New Roman"/>
          <w:b/>
          <w:sz w:val="24"/>
        </w:rPr>
        <w:t>（二）草原风情体验游：</w:t>
      </w:r>
      <w:r>
        <w:rPr>
          <w:rFonts w:hint="eastAsia" w:ascii="Times New Roman" w:hAnsi="Times New Roman" w:cs="Times New Roman"/>
          <w:bCs/>
          <w:sz w:val="24"/>
        </w:rPr>
        <w:t>以成吉思汗旅游区、沙巴日太草原、苏泊罕草原旅游区、王明子滩草原等为主要草原吸引要素，通过组团或联动周边景区，打造草原风情体验专项精品游线。</w:t>
      </w:r>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游线1：成吉思汗旅游区——布拉格嘎查——沙巴日太草原——龙虎渠村——哈沙图村</w:t>
      </w:r>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游线2：苏泊罕草原旅游区——苏布尔嘎嘎查——查干锡力度假村——益丰寨——王明子滩草原——新三师革命旧址</w:t>
      </w:r>
    </w:p>
    <w:p>
      <w:pPr>
        <w:pStyle w:val="9"/>
        <w:spacing w:line="360" w:lineRule="auto"/>
        <w:ind w:firstLine="482" w:firstLineChars="200"/>
        <w:rPr>
          <w:rFonts w:ascii="Times New Roman" w:hAnsi="Times New Roman" w:cs="Times New Roman"/>
          <w:bCs/>
          <w:sz w:val="24"/>
        </w:rPr>
      </w:pPr>
      <w:r>
        <w:rPr>
          <w:rFonts w:hint="eastAsia" w:ascii="Times New Roman" w:hAnsi="Times New Roman" w:cs="Times New Roman"/>
          <w:b/>
          <w:sz w:val="24"/>
        </w:rPr>
        <w:t>（三）乡村休闲度假游：</w:t>
      </w:r>
      <w:r>
        <w:rPr>
          <w:rFonts w:hint="eastAsia" w:ascii="Times New Roman" w:hAnsi="Times New Roman" w:cs="Times New Roman"/>
          <w:bCs/>
          <w:sz w:val="24"/>
        </w:rPr>
        <w:t>打造乡村旅游休闲度假大环线和小环线游，大环线串联整个伊金霍洛旗乡村旅游点（布拉格嘎查、哈沙图田园综合体、龙虎渠村、达尔扈特浩特、花亥图村、查干柴达木村、苏布尔嘎嘎查、益丰寨等），以乡村风情、</w:t>
      </w:r>
      <w:r>
        <w:rPr>
          <w:rFonts w:hint="eastAsia" w:ascii="Times New Roman" w:hAnsi="Times New Roman" w:cs="Times New Roman"/>
          <w:bCs/>
          <w:sz w:val="24"/>
          <w:lang w:val="en-US" w:eastAsia="zh-CN"/>
        </w:rPr>
        <w:t>民俗</w:t>
      </w:r>
      <w:r>
        <w:rPr>
          <w:rFonts w:hint="eastAsia" w:ascii="Times New Roman" w:hAnsi="Times New Roman" w:cs="Times New Roman"/>
          <w:bCs/>
          <w:sz w:val="24"/>
        </w:rPr>
        <w:t>文化和草原文化为主要吸引要素；小环线以景区为主要带动点，连接周边农牧家乐，发展小环线乡村旅游（大成陵、布拉格嘎查、哈沙图田园综合体、龙虎渠村、达尔扈特浩特），或以镇为单位进行乡村旅游点串联（例：苏布尔嘎镇—苏布尔嘎嘎查、益丰寨），发展小环线乡村休闲度假游。</w:t>
      </w:r>
    </w:p>
    <w:p>
      <w:pPr>
        <w:pStyle w:val="9"/>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hint="eastAsia" w:ascii="Times New Roman" w:hAnsi="Times New Roman" w:cs="Times New Roman"/>
          <w:bCs/>
          <w:color w:val="000000" w:themeColor="text1"/>
          <w:sz w:val="24"/>
          <w14:textFill>
            <w14:solidFill>
              <w14:schemeClr w14:val="tx1"/>
            </w14:solidFill>
          </w14:textFill>
        </w:rPr>
        <w:t>游线1：布拉格嘎查——哈沙图田园综合体——温沙水湾——龙虎渠村——达尔扈特浩特——查干柴达木村——益丰寨——苏布尔嘎嘎查</w:t>
      </w:r>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游线2：成吉思汗旅游区——布拉格嘎查——达尔扈特浩特——龙虎渠村——哈沙图田园综合体</w:t>
      </w:r>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游线3：苏泊罕草原旅游区——苏布尔嘎嘎查——益丰寨</w:t>
      </w:r>
    </w:p>
    <w:p>
      <w:pPr>
        <w:pStyle w:val="9"/>
        <w:spacing w:line="360" w:lineRule="auto"/>
        <w:ind w:firstLine="482" w:firstLineChars="200"/>
        <w:rPr>
          <w:rFonts w:ascii="Times New Roman" w:hAnsi="Times New Roman" w:cs="Times New Roman"/>
          <w:bCs/>
          <w:sz w:val="24"/>
        </w:rPr>
      </w:pPr>
      <w:r>
        <w:rPr>
          <w:rFonts w:hint="eastAsia" w:ascii="Times New Roman" w:hAnsi="Times New Roman" w:cs="Times New Roman"/>
          <w:b/>
          <w:sz w:val="24"/>
        </w:rPr>
        <w:t>（四）历史文化研学游：</w:t>
      </w:r>
      <w:r>
        <w:rPr>
          <w:rFonts w:hint="eastAsia" w:ascii="Times New Roman" w:hAnsi="Times New Roman" w:cs="Times New Roman"/>
          <w:bCs/>
          <w:sz w:val="24"/>
        </w:rPr>
        <w:t>将系列文化要素集中的景区景点（郡王府、朱开沟、秦长城、新街粮库等）进行串联，结合沿线自然观光产品较好的景区景点（母亲公园、转龙湾、红海子湿地等）打造文化体验研学专项游线，形成文化学习和观光体验的双重感受。</w:t>
      </w:r>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游线：</w:t>
      </w:r>
      <w:r>
        <w:rPr>
          <w:rFonts w:hint="eastAsia" w:ascii="Times New Roman" w:hAnsi="Times New Roman" w:cs="Times New Roman"/>
          <w:bCs/>
          <w:sz w:val="24"/>
          <w:lang w:eastAsia="zh-CN"/>
        </w:rPr>
        <w:t>颐和生态文化博览园</w:t>
      </w:r>
      <w:r>
        <w:rPr>
          <w:rFonts w:hint="eastAsia" w:ascii="Times New Roman" w:hAnsi="Times New Roman" w:cs="Times New Roman"/>
          <w:bCs/>
          <w:sz w:val="24"/>
        </w:rPr>
        <w:t>——郡王府——母亲公园——红海子湿地——转龙湾——朱开沟——秦长城——陶亥召——成吉思汗陵旅游区——新街粮</w:t>
      </w:r>
      <w:r>
        <w:rPr>
          <w:rFonts w:hint="eastAsia" w:ascii="Times New Roman" w:hAnsi="Times New Roman" w:cs="Times New Roman"/>
          <w:bCs/>
          <w:sz w:val="24"/>
          <w:lang w:eastAsia="zh-CN"/>
        </w:rPr>
        <w:t>站</w:t>
      </w:r>
      <w:r>
        <w:rPr>
          <w:rFonts w:hint="eastAsia" w:ascii="Times New Roman" w:hAnsi="Times New Roman" w:cs="Times New Roman"/>
          <w:bCs/>
          <w:sz w:val="24"/>
        </w:rPr>
        <w:t>——札萨克王爷府旧址——苏泊罕草原旅区——苏布尔嘎非遗嘎查</w:t>
      </w:r>
    </w:p>
    <w:p>
      <w:pPr>
        <w:pStyle w:val="9"/>
        <w:spacing w:line="360" w:lineRule="auto"/>
        <w:ind w:firstLine="482" w:firstLineChars="200"/>
        <w:rPr>
          <w:rFonts w:ascii="Times New Roman" w:hAnsi="Times New Roman" w:cs="Times New Roman"/>
          <w:bCs/>
          <w:sz w:val="24"/>
        </w:rPr>
      </w:pPr>
      <w:r>
        <w:rPr>
          <w:rFonts w:hint="eastAsia" w:ascii="Times New Roman" w:hAnsi="Times New Roman" w:cs="Times New Roman"/>
          <w:b/>
          <w:sz w:val="24"/>
        </w:rPr>
        <w:t>（五）红色怀旧体验游：</w:t>
      </w:r>
      <w:r>
        <w:rPr>
          <w:rFonts w:hint="eastAsia" w:ascii="Times New Roman" w:hAnsi="Times New Roman" w:cs="Times New Roman"/>
          <w:bCs/>
          <w:sz w:val="24"/>
        </w:rPr>
        <w:t>伊金霍洛旗红色怀旧资源丰富，但是知名度较低，通过串联（纳林陶亥镇粮库、必鲁图书院、新街粮库、</w:t>
      </w:r>
      <w:r>
        <w:rPr>
          <w:rFonts w:hint="eastAsia" w:ascii="Times New Roman" w:hAnsi="Times New Roman" w:cs="Times New Roman"/>
          <w:bCs/>
          <w:sz w:val="24"/>
          <w:lang w:eastAsia="zh-CN"/>
        </w:rPr>
        <w:t>郡王府</w:t>
      </w:r>
      <w:r>
        <w:rPr>
          <w:rFonts w:hint="eastAsia" w:ascii="Times New Roman" w:hAnsi="Times New Roman" w:cs="Times New Roman"/>
          <w:bCs/>
          <w:sz w:val="24"/>
        </w:rPr>
        <w:t>、新三师革命旧址）并与沿途知名景区或发展较为成熟的景区景点（陶亥召、查干柴达木村、益丰寨等）联合打造精品红色怀旧体验游，进一步完善伊金霍洛旗精品旅游线路业态。</w:t>
      </w:r>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游线1：朱开沟</w:t>
      </w:r>
      <w:r>
        <w:rPr>
          <w:rFonts w:hint="eastAsia" w:ascii="Times New Roman" w:hAnsi="Times New Roman" w:cs="Times New Roman"/>
          <w:bCs/>
          <w:sz w:val="24"/>
        </w:rPr>
        <w:t>——</w:t>
      </w:r>
      <w:r>
        <w:rPr>
          <w:rFonts w:hint="eastAsia" w:ascii="Times New Roman" w:hAnsi="Times New Roman" w:cs="Times New Roman"/>
          <w:sz w:val="24"/>
        </w:rPr>
        <w:t>纳林陶亥镇粮库</w:t>
      </w:r>
      <w:r>
        <w:rPr>
          <w:rFonts w:hint="eastAsia" w:ascii="Times New Roman" w:hAnsi="Times New Roman" w:cs="Times New Roman"/>
          <w:bCs/>
          <w:sz w:val="24"/>
        </w:rPr>
        <w:t>——</w:t>
      </w:r>
      <w:r>
        <w:rPr>
          <w:rFonts w:hint="eastAsia" w:ascii="Times New Roman" w:hAnsi="Times New Roman" w:cs="Times New Roman"/>
          <w:bCs/>
          <w:sz w:val="24"/>
          <w:lang w:eastAsia="zh-CN"/>
        </w:rPr>
        <w:t>战国</w:t>
      </w:r>
      <w:r>
        <w:rPr>
          <w:rFonts w:hint="eastAsia" w:ascii="Times New Roman" w:hAnsi="Times New Roman" w:cs="Times New Roman"/>
          <w:sz w:val="24"/>
        </w:rPr>
        <w:t>秦长城</w:t>
      </w:r>
      <w:r>
        <w:rPr>
          <w:rFonts w:hint="eastAsia" w:ascii="Times New Roman" w:hAnsi="Times New Roman" w:cs="Times New Roman"/>
          <w:bCs/>
          <w:sz w:val="24"/>
        </w:rPr>
        <w:t>——</w:t>
      </w:r>
      <w:r>
        <w:rPr>
          <w:rFonts w:hint="eastAsia" w:ascii="Times New Roman" w:hAnsi="Times New Roman" w:cs="Times New Roman"/>
          <w:sz w:val="24"/>
        </w:rPr>
        <w:t>陶亥召</w:t>
      </w:r>
      <w:r>
        <w:rPr>
          <w:rFonts w:hint="eastAsia" w:ascii="Times New Roman" w:hAnsi="Times New Roman" w:cs="Times New Roman"/>
          <w:bCs/>
          <w:sz w:val="24"/>
        </w:rPr>
        <w:t>——</w:t>
      </w:r>
      <w:r>
        <w:rPr>
          <w:rFonts w:hint="eastAsia" w:ascii="Times New Roman" w:hAnsi="Times New Roman" w:cs="Times New Roman"/>
          <w:sz w:val="24"/>
        </w:rPr>
        <w:t>必鲁图书院</w:t>
      </w:r>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游线2：新街粮</w:t>
      </w:r>
      <w:r>
        <w:rPr>
          <w:rFonts w:hint="eastAsia" w:ascii="Times New Roman" w:hAnsi="Times New Roman" w:cs="Times New Roman"/>
          <w:sz w:val="24"/>
          <w:lang w:eastAsia="zh-CN"/>
        </w:rPr>
        <w:t>站</w:t>
      </w:r>
      <w:r>
        <w:rPr>
          <w:rFonts w:hint="eastAsia" w:ascii="Times New Roman" w:hAnsi="Times New Roman" w:cs="Times New Roman"/>
          <w:bCs/>
          <w:sz w:val="24"/>
        </w:rPr>
        <w:t>——</w:t>
      </w:r>
      <w:r>
        <w:rPr>
          <w:rFonts w:hint="eastAsia" w:ascii="Times New Roman" w:hAnsi="Times New Roman" w:cs="Times New Roman"/>
          <w:sz w:val="24"/>
        </w:rPr>
        <w:t>札萨克王爷府旧址</w:t>
      </w:r>
      <w:r>
        <w:rPr>
          <w:rFonts w:hint="eastAsia" w:ascii="Times New Roman" w:hAnsi="Times New Roman" w:cs="Times New Roman"/>
          <w:bCs/>
          <w:sz w:val="24"/>
        </w:rPr>
        <w:t>——</w:t>
      </w:r>
      <w:r>
        <w:rPr>
          <w:rFonts w:hint="eastAsia" w:ascii="Times New Roman" w:hAnsi="Times New Roman" w:cs="Times New Roman"/>
          <w:sz w:val="24"/>
        </w:rPr>
        <w:t>查干柴达木村</w:t>
      </w:r>
      <w:r>
        <w:rPr>
          <w:rFonts w:hint="eastAsia" w:ascii="Times New Roman" w:hAnsi="Times New Roman" w:cs="Times New Roman"/>
          <w:bCs/>
          <w:sz w:val="24"/>
        </w:rPr>
        <w:t>——</w:t>
      </w:r>
      <w:r>
        <w:rPr>
          <w:rFonts w:hint="eastAsia" w:ascii="Times New Roman" w:hAnsi="Times New Roman" w:cs="Times New Roman"/>
          <w:sz w:val="24"/>
        </w:rPr>
        <w:t>益丰寨</w:t>
      </w:r>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游线3：红庆河红色文化旅游区</w:t>
      </w:r>
      <w:r>
        <w:rPr>
          <w:rFonts w:hint="eastAsia" w:ascii="Times New Roman" w:hAnsi="Times New Roman" w:cs="Times New Roman"/>
          <w:bCs/>
          <w:sz w:val="24"/>
        </w:rPr>
        <w:t>——</w:t>
      </w:r>
      <w:r>
        <w:rPr>
          <w:rFonts w:hint="eastAsia" w:ascii="Times New Roman" w:hAnsi="Times New Roman" w:cs="Times New Roman"/>
          <w:sz w:val="24"/>
        </w:rPr>
        <w:t>马奶湖</w:t>
      </w:r>
      <w:r>
        <w:rPr>
          <w:rFonts w:hint="eastAsia" w:ascii="Times New Roman" w:hAnsi="Times New Roman" w:cs="Times New Roman"/>
          <w:bCs/>
          <w:sz w:val="24"/>
        </w:rPr>
        <w:t>——</w:t>
      </w:r>
      <w:r>
        <w:rPr>
          <w:rFonts w:hint="eastAsia" w:ascii="Times New Roman" w:hAnsi="Times New Roman" w:cs="Times New Roman"/>
          <w:sz w:val="24"/>
        </w:rPr>
        <w:t>黑炭淖尔</w:t>
      </w:r>
      <w:r>
        <w:rPr>
          <w:rFonts w:hint="eastAsia" w:ascii="Times New Roman" w:hAnsi="Times New Roman" w:cs="Times New Roman"/>
          <w:bCs/>
          <w:sz w:val="24"/>
        </w:rPr>
        <w:t>——</w:t>
      </w:r>
      <w:r>
        <w:rPr>
          <w:rFonts w:hint="eastAsia" w:ascii="Times New Roman" w:hAnsi="Times New Roman" w:cs="Times New Roman"/>
          <w:bCs/>
          <w:sz w:val="24"/>
          <w:lang w:eastAsia="zh-CN"/>
        </w:rPr>
        <w:t>天骄</w:t>
      </w:r>
      <w:r>
        <w:rPr>
          <w:rFonts w:hint="eastAsia" w:ascii="Times New Roman" w:hAnsi="Times New Roman" w:cs="Times New Roman"/>
          <w:sz w:val="24"/>
        </w:rPr>
        <w:t>书画碑林</w:t>
      </w:r>
    </w:p>
    <w:p>
      <w:pPr>
        <w:pStyle w:val="9"/>
        <w:rPr>
          <w:rFonts w:ascii="Times New Roman" w:hAnsi="Times New Roman" w:cs="Times New Roman"/>
        </w:rPr>
      </w:pPr>
      <w:r>
        <w:rPr>
          <w:rFonts w:hint="eastAsia" w:ascii="Times New Roman" w:hAnsi="Times New Roman" w:cs="Times New Roman"/>
          <w:bCs/>
          <w:sz w:val="24"/>
        </w:rPr>
        <w:br w:type="page"/>
      </w:r>
    </w:p>
    <w:p>
      <w:pPr>
        <w:pStyle w:val="2"/>
        <w:rPr>
          <w:rFonts w:ascii="Times New Roman" w:hAnsi="Times New Roman" w:cs="Times New Roman" w:eastAsiaTheme="minorEastAsia"/>
        </w:rPr>
      </w:pPr>
      <w:bookmarkStart w:id="321" w:name="_Toc29542"/>
      <w:bookmarkStart w:id="322" w:name="_Toc22657"/>
      <w:bookmarkStart w:id="323" w:name="_Toc28578"/>
      <w:bookmarkStart w:id="324" w:name="_Toc20649"/>
      <w:r>
        <w:rPr>
          <w:rFonts w:hint="eastAsia" w:ascii="Times New Roman" w:hAnsi="Times New Roman" w:cs="Times New Roman" w:eastAsiaTheme="minorEastAsia"/>
        </w:rPr>
        <w:t>第六章 项目推动，打造文旅发展龙头抓手</w:t>
      </w:r>
      <w:bookmarkEnd w:id="321"/>
      <w:bookmarkEnd w:id="322"/>
      <w:bookmarkEnd w:id="323"/>
      <w:bookmarkEnd w:id="324"/>
    </w:p>
    <w:p>
      <w:pPr>
        <w:pStyle w:val="3"/>
        <w:ind w:firstLine="560" w:firstLineChars="200"/>
        <w:rPr>
          <w:rFonts w:ascii="Times New Roman" w:hAnsi="Times New Roman" w:cs="Times New Roman"/>
        </w:rPr>
      </w:pPr>
      <w:bookmarkStart w:id="325" w:name="_Toc2390"/>
      <w:bookmarkStart w:id="326" w:name="_Toc21270"/>
      <w:bookmarkStart w:id="327" w:name="_Toc9449"/>
      <w:bookmarkStart w:id="328" w:name="_Toc25905"/>
      <w:bookmarkStart w:id="329" w:name="_Toc371"/>
      <w:bookmarkStart w:id="330" w:name="_Toc11966"/>
      <w:bookmarkStart w:id="331" w:name="_Toc29443"/>
      <w:r>
        <w:rPr>
          <w:rFonts w:hint="eastAsia" w:ascii="Times New Roman" w:hAnsi="Times New Roman" w:cs="Times New Roman"/>
        </w:rPr>
        <w:t>一、完善规划编制</w:t>
      </w:r>
      <w:bookmarkEnd w:id="325"/>
      <w:bookmarkEnd w:id="326"/>
      <w:bookmarkEnd w:id="327"/>
      <w:bookmarkEnd w:id="328"/>
      <w:bookmarkEnd w:id="329"/>
      <w:bookmarkEnd w:id="330"/>
      <w:bookmarkEnd w:id="331"/>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加强全旗文化和旅游业重要领域、全域旅游、重大项目和重点景区的规划编制，确保全域文化旅游资源高品质开发、可持续利用。旗政府将旗文化和旅游局纳入规划委员会。编制土地利用规划、城乡发展规划，启动建设重大基础设施和公共服务设施时，充分考虑文化和旅游业发展布局和功能需求。编制、修订和调整与文化和旅游相关规划时，应当征求文化和旅游局意见，并与全旗文化和旅游总体规划相衔接。</w:t>
      </w:r>
    </w:p>
    <w:p>
      <w:pPr>
        <w:pStyle w:val="3"/>
        <w:ind w:firstLine="560" w:firstLineChars="200"/>
        <w:rPr>
          <w:rFonts w:ascii="Times New Roman" w:hAnsi="Times New Roman" w:cs="Times New Roman"/>
        </w:rPr>
      </w:pPr>
      <w:bookmarkStart w:id="332" w:name="_Toc24500"/>
      <w:bookmarkStart w:id="333" w:name="_Toc28395"/>
      <w:bookmarkStart w:id="334" w:name="_Toc20468"/>
      <w:bookmarkStart w:id="335" w:name="_Toc1696"/>
      <w:bookmarkStart w:id="336" w:name="_Toc4862"/>
      <w:bookmarkStart w:id="337" w:name="_Toc1612"/>
      <w:bookmarkStart w:id="338" w:name="_Toc22050"/>
      <w:r>
        <w:rPr>
          <w:rFonts w:hint="eastAsia" w:ascii="Times New Roman" w:hAnsi="Times New Roman" w:cs="Times New Roman"/>
        </w:rPr>
        <w:t>二、</w:t>
      </w:r>
      <w:bookmarkEnd w:id="332"/>
      <w:bookmarkEnd w:id="333"/>
      <w:bookmarkEnd w:id="334"/>
      <w:bookmarkEnd w:id="335"/>
      <w:bookmarkEnd w:id="336"/>
      <w:bookmarkEnd w:id="337"/>
      <w:r>
        <w:rPr>
          <w:rFonts w:hint="eastAsia" w:ascii="Times New Roman" w:hAnsi="Times New Roman" w:cs="Times New Roman"/>
        </w:rPr>
        <w:t>创建一个全域旅游示范区</w:t>
      </w:r>
      <w:bookmarkEnd w:id="338"/>
    </w:p>
    <w:p>
      <w:pPr>
        <w:pStyle w:val="4"/>
        <w:ind w:firstLine="480"/>
        <w:rPr>
          <w:rFonts w:ascii="Times New Roman" w:hAnsi="Times New Roman" w:cs="Times New Roman"/>
        </w:rPr>
      </w:pPr>
      <w:bookmarkStart w:id="339" w:name="_Toc13859"/>
      <w:bookmarkStart w:id="340" w:name="_Toc14647"/>
      <w:r>
        <w:rPr>
          <w:rFonts w:hint="eastAsia" w:ascii="Times New Roman" w:hAnsi="Times New Roman" w:cs="Times New Roman"/>
        </w:rPr>
        <w:t>（一）创建机遇</w:t>
      </w:r>
      <w:bookmarkEnd w:id="339"/>
      <w:bookmarkEnd w:id="340"/>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全域旅游是未来旅游发展的大趋势，是全面推动产业建设和经济提升、以旅游发展带动区域经济发展和美丽乡村建设的一套有效模式和方法。2016年鄂尔多斯市被列为第二批国家全域旅游示范区创建单位，标志着鄂尔多斯市全面开启全域旅游新时代。根据《国家全域旅游示范区验收、认定和管理实施办法（试行）2020-04》要求，地级创建全域旅游示范区要求其辖区内70%以上的县级创建单位通过验收后，方可向省级文化和旅游行政部门提出验收申请。因此，伊金霍洛旗作为鄂尔多斯市两家5A级景区中的其中一家，应积极借力鄂尔多斯全域旅游创建大势，争取全域旅游示范区创建成功。</w:t>
      </w:r>
    </w:p>
    <w:p>
      <w:pPr>
        <w:pStyle w:val="4"/>
        <w:ind w:firstLine="480"/>
        <w:rPr>
          <w:rFonts w:ascii="Times New Roman" w:hAnsi="Times New Roman" w:cs="Times New Roman"/>
        </w:rPr>
      </w:pPr>
      <w:bookmarkStart w:id="341" w:name="_Toc610"/>
      <w:bookmarkStart w:id="342" w:name="_Toc10441"/>
      <w:r>
        <w:rPr>
          <w:rFonts w:hint="eastAsia" w:ascii="Times New Roman" w:hAnsi="Times New Roman" w:cs="Times New Roman"/>
        </w:rPr>
        <w:t>（二）创建优势</w:t>
      </w:r>
      <w:bookmarkEnd w:id="341"/>
      <w:bookmarkEnd w:id="342"/>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伊金霍洛旗拥有国家级5A旅游景区成吉思汗陵旅游区、国家级4A旅游景区</w:t>
      </w:r>
      <w:r>
        <w:rPr>
          <w:rFonts w:hint="eastAsia" w:ascii="Times New Roman" w:hAnsi="Times New Roman" w:cs="Times New Roman"/>
          <w:sz w:val="24"/>
          <w:lang w:eastAsia="zh-CN"/>
        </w:rPr>
        <w:t>鄂尔多斯文化产业园</w:t>
      </w:r>
      <w:r>
        <w:rPr>
          <w:rFonts w:hint="eastAsia" w:ascii="Times New Roman" w:hAnsi="Times New Roman" w:cs="Times New Roman"/>
          <w:sz w:val="24"/>
        </w:rPr>
        <w:t>、</w:t>
      </w:r>
      <w:r>
        <w:rPr>
          <w:rFonts w:hint="eastAsia" w:ascii="Times New Roman" w:hAnsi="Times New Roman" w:cs="Times New Roman"/>
          <w:sz w:val="24"/>
          <w:lang w:eastAsia="zh-CN"/>
        </w:rPr>
        <w:t>颐和生态文化博览园</w:t>
      </w:r>
      <w:r>
        <w:rPr>
          <w:rFonts w:hint="eastAsia" w:ascii="Times New Roman" w:hAnsi="Times New Roman" w:cs="Times New Roman"/>
          <w:sz w:val="24"/>
        </w:rPr>
        <w:t>和苏泊罕大草原旅游区，满足全域旅游示范区申请的要求——具有不少于1个国家5A级旅游景区，或国家级旅游度假区，或国家级生态旅游示范区；或具有2个以上国家4A级旅游景区；或具有2个以上省级旅游度假区；或具有1个国家4A级旅游景区和1个省级旅游度假区。</w:t>
      </w:r>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伊金霍洛旗旅游资源丰富，融草原风情、乡村民俗、工业文化、民族特色、红色文化等旅游资源为一体，适合打造类型多样的全域旅游产品；伊金霍洛旗旅游资源级别较高：世界级的旅游资源成吉思汗陵、苏泊罕草原，以郡王府为代表的国家级文物保护单位等，适合打造一系列知名度较高、具有品牌优势的精品景区带动全旗旅游的发展，形成全域旅游发展格局；伊金霍洛旗旅游资源互补性强：在全旗范围内分布着森林、草原、湿地、沙地、湖泊、河流、温泉等多种类型的资源，存在很强的景观互补性，具有很强的资源互补复合优势；伊金霍洛旗旅游资源集聚度高：核心资源主要集聚在阿勒腾席热镇、伊金霍洛镇、苏布尔嘎镇，并沿阿成西线、阿乌线、阿四线、阿大线辐射延展。</w:t>
      </w:r>
    </w:p>
    <w:p>
      <w:pPr>
        <w:pStyle w:val="4"/>
        <w:ind w:firstLine="480"/>
        <w:rPr>
          <w:rFonts w:ascii="Times New Roman" w:hAnsi="Times New Roman" w:cs="Times New Roman"/>
        </w:rPr>
      </w:pPr>
      <w:bookmarkStart w:id="343" w:name="_Toc1419"/>
      <w:bookmarkStart w:id="344" w:name="_Toc4903"/>
      <w:r>
        <w:rPr>
          <w:rFonts w:hint="eastAsia" w:ascii="Times New Roman" w:hAnsi="Times New Roman" w:cs="Times New Roman"/>
        </w:rPr>
        <w:t>（三）创建重点</w:t>
      </w:r>
      <w:bookmarkEnd w:id="343"/>
      <w:bookmarkEnd w:id="344"/>
    </w:p>
    <w:p>
      <w:pPr>
        <w:spacing w:line="360" w:lineRule="auto"/>
        <w:ind w:firstLine="482" w:firstLineChars="200"/>
        <w:rPr>
          <w:rFonts w:ascii="Times New Roman" w:hAnsi="Times New Roman" w:cs="Times New Roman"/>
          <w:sz w:val="24"/>
        </w:rPr>
      </w:pPr>
      <w:r>
        <w:rPr>
          <w:rFonts w:hint="eastAsia" w:ascii="Times New Roman" w:hAnsi="Times New Roman" w:cs="Times New Roman"/>
          <w:b/>
          <w:bCs/>
          <w:sz w:val="24"/>
        </w:rPr>
        <w:t>1.建立健全体制机制</w:t>
      </w:r>
      <w:r>
        <w:rPr>
          <w:rFonts w:hint="eastAsia" w:ascii="Times New Roman" w:hAnsi="Times New Roman" w:cs="Times New Roman"/>
          <w:sz w:val="24"/>
        </w:rPr>
        <w:t>：建立适应全域旅游发展的统筹协调、综合管理、行业自律等体制机制，现代旅游治理能力显著提升。建立全域旅游组织领导机制，协调各部门共同参与的旅游发展；建立旅游综合管理机构，健全社会综合治理体系；健全政府信息化管理体系，完善现代旅游统计制度与统计体系；建立各类旅游行业协会，健全各项自律规章制度，行业自律效果良好。</w:t>
      </w:r>
    </w:p>
    <w:p>
      <w:pPr>
        <w:spacing w:line="360" w:lineRule="auto"/>
        <w:ind w:firstLine="482" w:firstLineChars="200"/>
        <w:rPr>
          <w:rFonts w:ascii="Times New Roman" w:hAnsi="Times New Roman" w:cs="Times New Roman"/>
          <w:sz w:val="24"/>
        </w:rPr>
      </w:pPr>
      <w:r>
        <w:rPr>
          <w:rFonts w:hint="eastAsia" w:ascii="Times New Roman" w:hAnsi="Times New Roman" w:cs="Times New Roman"/>
          <w:b/>
          <w:bCs/>
          <w:sz w:val="24"/>
        </w:rPr>
        <w:t>2.配套政策保障</w:t>
      </w:r>
      <w:r>
        <w:rPr>
          <w:rFonts w:hint="eastAsia" w:ascii="Times New Roman" w:hAnsi="Times New Roman" w:cs="Times New Roman"/>
          <w:sz w:val="24"/>
        </w:rPr>
        <w:t>：确定旅游产业作为主导产业的产业定位，政府出台专项支持政策鼓励全域旅游的发展；旗政府编制全域旅游规划和相应专项规划，制定工作实施方案等配套文件，建立规划督查、评估机制；坚持多规合一，旅游规划与土地、城市规划等深度融合；设立旅游发展专项资金，统筹各部门资金支持全域旅游发展，制定财税、融资等资金优惠政策；配套土地政策，保障旅游发展用地新增建设用地指标，开拓旅游用地保障新渠道；设立旅游专家智库，建立多层次的人才引进和旅游培训机制，制定旅游人才奖励政策。</w:t>
      </w:r>
    </w:p>
    <w:p>
      <w:pPr>
        <w:spacing w:line="360" w:lineRule="auto"/>
        <w:ind w:firstLine="482" w:firstLineChars="200"/>
        <w:rPr>
          <w:rFonts w:ascii="Times New Roman" w:hAnsi="Times New Roman" w:cs="Times New Roman"/>
          <w:sz w:val="24"/>
        </w:rPr>
      </w:pPr>
      <w:r>
        <w:rPr>
          <w:rFonts w:hint="eastAsia" w:ascii="Times New Roman" w:hAnsi="Times New Roman" w:cs="Times New Roman"/>
          <w:b/>
          <w:bCs/>
          <w:sz w:val="24"/>
        </w:rPr>
        <w:t>3.健全旅游公共服务体系</w:t>
      </w:r>
      <w:r>
        <w:rPr>
          <w:rFonts w:hint="eastAsia" w:ascii="Times New Roman" w:hAnsi="Times New Roman" w:cs="Times New Roman"/>
          <w:sz w:val="24"/>
        </w:rPr>
        <w:t>：随着个人游、自助游呈井喷式增长，旅游公共设施不足、服务水平不高，仍是制约旅游业发展的痛点和难点。在全域旅游示范区创建标准中，旅游公共服务分数占比达到20%以上。要重视推动旅游环境整治和基础设施提升，以更优美的风貌吸引游客的“眼”，同时重视加强旅游配套服务，以更精细的服务赢得游客的“心”；完善外部综合交通网络体系；健全内部交通体系，城市和乡村旅游交通配套体系完善；配套数量充足、功能齐全的公路服务区和停车场；形成旗、镇、景区三级集散中心体系，依托阿镇的行政、交通和区域优势，在高铁站或机场打造伊金霍洛旗一级旅游集散中心，各镇打造二级旅游集散中心，各景区打造三级旅游集散中心；开通城市观光交通、旅游专线公交增强交通供给弹性；旅游引导标识等系统完善，设置合理科学，符合相关标准；“厕所革命”覆盖城乡全域，厕所分布合理，管理规范，比例适当，免费开放；智慧旅游设施体系完善、功能齐全、覆盖范围大、服务到位。</w:t>
      </w:r>
    </w:p>
    <w:p>
      <w:pPr>
        <w:spacing w:line="360" w:lineRule="auto"/>
        <w:ind w:firstLine="482" w:firstLineChars="200"/>
        <w:rPr>
          <w:rFonts w:ascii="Times New Roman" w:hAnsi="Times New Roman" w:cs="Times New Roman"/>
          <w:sz w:val="24"/>
        </w:rPr>
      </w:pPr>
      <w:r>
        <w:rPr>
          <w:rFonts w:hint="eastAsia" w:ascii="Times New Roman" w:hAnsi="Times New Roman" w:cs="Times New Roman"/>
          <w:b/>
          <w:bCs/>
          <w:sz w:val="24"/>
        </w:rPr>
        <w:t>4.丰富旅游供给体系</w:t>
      </w:r>
      <w:r>
        <w:rPr>
          <w:rFonts w:hint="eastAsia" w:ascii="Times New Roman" w:hAnsi="Times New Roman" w:cs="Times New Roman"/>
          <w:sz w:val="24"/>
        </w:rPr>
        <w:t>：一个地方要吸引更多的游客，必须在丰富和创新旅游产品上下更大功夫，尤其是注重打造“人无我有、人有我优”的特色产品，</w:t>
      </w:r>
      <w:r>
        <w:rPr>
          <w:rFonts w:ascii="Times New Roman" w:hAnsi="Times New Roman" w:cs="Times New Roman"/>
          <w:sz w:val="24"/>
        </w:rPr>
        <w:t>创造具有唯一性的独特体验项目，更好满足游客“晒”的需求。各地要着力提升旅游产品的文化内涵、科技水平、绿色含量，注重打造精细化、差异化、个性化、特色化旅游产品，多增加有效供给、优质供给、弹性供给；要主动顺应后疫情时期人们消费心理和市场需求变化，打造更多生态旅游、康养旅游、乡村旅游、休闲度假等“治愈系”旅游产品，开发更多让游客 “住的安全”“食的健康”等新业态产品，推出更多徒步、骑行等“城市微旅行”旅游线路和自驾车旅居车旅游线路，培育更多常态化、多元化、特色化夜间文旅消费项目产品。</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打造重点核心区，依据资源禀赋和组合程度，以成吉思汗陵、苏泊罕草原旅游区、</w:t>
      </w:r>
      <w:r>
        <w:rPr>
          <w:rFonts w:hint="eastAsia" w:ascii="Times New Roman" w:hAnsi="Times New Roman" w:cs="Times New Roman"/>
          <w:sz w:val="24"/>
          <w:lang w:eastAsia="zh-CN"/>
        </w:rPr>
        <w:t>鄂尔多斯文化产业园</w:t>
      </w:r>
      <w:r>
        <w:rPr>
          <w:rFonts w:hint="eastAsia" w:ascii="Times New Roman" w:hAnsi="Times New Roman" w:cs="Times New Roman"/>
          <w:sz w:val="24"/>
        </w:rPr>
        <w:t>、</w:t>
      </w:r>
      <w:r>
        <w:rPr>
          <w:rFonts w:hint="eastAsia" w:ascii="Times New Roman" w:hAnsi="Times New Roman" w:cs="Times New Roman"/>
          <w:sz w:val="24"/>
          <w:lang w:eastAsia="zh-CN"/>
        </w:rPr>
        <w:t>颐和生态文化博览园</w:t>
      </w:r>
      <w:r>
        <w:rPr>
          <w:rFonts w:hint="eastAsia" w:ascii="Times New Roman" w:hAnsi="Times New Roman" w:cs="Times New Roman"/>
          <w:sz w:val="24"/>
        </w:rPr>
        <w:t>、东西红海子等资源等级和聚集程度较高的区域作为全域旅游核心区，重点打造“</w:t>
      </w:r>
      <w:r>
        <w:rPr>
          <w:rFonts w:hint="eastAsia" w:ascii="Times New Roman" w:hAnsi="Times New Roman" w:cs="Times New Roman"/>
          <w:sz w:val="24"/>
          <w:lang w:eastAsia="zh-CN"/>
        </w:rPr>
        <w:t>大美绿城</w:t>
      </w:r>
      <w:r>
        <w:rPr>
          <w:rFonts w:hint="eastAsia" w:ascii="Times New Roman" w:hAnsi="Times New Roman" w:cs="Times New Roman"/>
          <w:sz w:val="24"/>
        </w:rPr>
        <w:t xml:space="preserve"> 伊金霍洛”的旅游品牌和特色鲜明的生态文化旅游目的地，以重点核心区带动整个伊金霍洛旗全域旅游的发展。</w:t>
      </w:r>
    </w:p>
    <w:p>
      <w:pPr>
        <w:pStyle w:val="9"/>
        <w:spacing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rPr>
        <w:t>依据各镇不同的资源特色，形成资源互补优势，打造伊金霍洛</w:t>
      </w:r>
      <w:r>
        <w:rPr>
          <w:rFonts w:hint="eastAsia" w:ascii="Times New Roman" w:hAnsi="Times New Roman" w:cs="Times New Roman"/>
          <w:color w:val="auto"/>
          <w:sz w:val="24"/>
          <w:lang w:val="en-US" w:eastAsia="zh-CN"/>
        </w:rPr>
        <w:t>民俗</w:t>
      </w:r>
      <w:r>
        <w:rPr>
          <w:rFonts w:hint="eastAsia" w:ascii="Times New Roman" w:hAnsi="Times New Roman" w:cs="Times New Roman"/>
          <w:color w:val="auto"/>
          <w:sz w:val="24"/>
        </w:rPr>
        <w:t>文化小镇、苏布尔嘎草原风情小镇、乌兰木伦城市工业小镇、札萨克镇乡村休闲小镇、纳林陶亥蒙医文化小镇和红庆河镇民俗风情小镇六个特色旅游小镇，形成集草原旅游、</w:t>
      </w:r>
      <w:r>
        <w:rPr>
          <w:rFonts w:hint="eastAsia" w:ascii="Times New Roman" w:hAnsi="Times New Roman" w:cs="Times New Roman"/>
          <w:color w:val="auto"/>
          <w:sz w:val="24"/>
          <w:lang w:val="en-US" w:eastAsia="zh-CN"/>
        </w:rPr>
        <w:t>民俗</w:t>
      </w:r>
      <w:r>
        <w:rPr>
          <w:rFonts w:hint="eastAsia" w:ascii="Times New Roman" w:hAnsi="Times New Roman" w:cs="Times New Roman"/>
          <w:color w:val="auto"/>
          <w:sz w:val="24"/>
        </w:rPr>
        <w:t>文化体验、工业旅游、乡村旅游、红色旅游、康养旅游于一体的多元化产业体系，实现多业态融合发展。</w:t>
      </w:r>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重点推动星级酒店、商务酒店、乡村民宿客栈、农牧家乐、自驾车营地和景区特色住宿的建设工作，推动城市、乡村休闲度假体系建设；鼓励特色、民族餐饮菜品的创新和引进。</w:t>
      </w:r>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培育4条特色街区：通格朗路——现代时尚休闲商街，依托通格朗路商业区位优势，集中打造现代时尚休闲商街，以时尚购物、休闲娱乐为主要内容，同时注入美容SPA、养生会所、阳光健身房、主题餐厅、红酒咖啡等现代休闲业态。文明街——特色美食餐饮商街，依托文明街两侧酒店餐饮业集聚优势，主打烤全羊、手扒肉、羊杂碎、莜面、羊背子、蒙古馅饼等地方特色美食及马奶酒等特色餐饮，通过升级扩容、特色打造、规范管理打造伊金霍洛旗美食不夜街。札萨克街——草原风情街，利用札萨克街通往康巴什交通道路系统便利优势，打造草原风情街，使前来成陵旅游的游客可以率先在此体验草原风情，建筑里面注入草原文化元素，以草原服饰、草原特产、草原表演等为内容进行提升。民族街——特色工艺品街，依托毗邻郡王府以及蒙族聚居地优势，以王府工艺用品、蒙古特色工艺品等销售和展示为主要内容，同时增设游客体验类项目，如民族特色工艺品作坊、创意工艺品DIY等，重点培育打造特色工艺品商街。</w:t>
      </w:r>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举办大型草原实景演出或乌兰牧骑等富有地方文化特色的旅游演艺、休闲娱乐和节事节庆活动；打造系列具有地方特色、知名度高的旅游纪念品、农副产品、特色商品，规范旅游购物场所。</w:t>
      </w:r>
    </w:p>
    <w:p>
      <w:pPr>
        <w:spacing w:line="360" w:lineRule="auto"/>
        <w:ind w:firstLine="482" w:firstLineChars="200"/>
        <w:rPr>
          <w:rFonts w:ascii="Times New Roman" w:hAnsi="Times New Roman" w:cs="Times New Roman"/>
          <w:sz w:val="24"/>
        </w:rPr>
      </w:pPr>
      <w:r>
        <w:rPr>
          <w:rFonts w:hint="eastAsia" w:ascii="Times New Roman" w:hAnsi="Times New Roman" w:cs="Times New Roman"/>
          <w:b/>
          <w:bCs/>
          <w:sz w:val="24"/>
        </w:rPr>
        <w:t>5.优化市场环境：</w:t>
      </w:r>
      <w:r>
        <w:rPr>
          <w:rFonts w:hint="eastAsia" w:ascii="Times New Roman" w:hAnsi="Times New Roman" w:cs="Times New Roman"/>
          <w:sz w:val="24"/>
        </w:rPr>
        <w:t>实施旅游服务质量提升计划；完善旅游市场综合监管机制，整合组建承担旅游行政执法职责的文化市场综合执法队伍，整治大成陵周边农牧家乐恶性竞争；健全旅游投诉举报渠道；定期开展旅游文明宣传和警示教育活动；完善旅游志愿服务体系；建立旅游安全联合监管机制，制定旅游安全应急预案，定期开展安全演练；配套旅游救援系统，健全旅游保险制度。尤其是在疫情防控常态化下，要毫不放松把各项防控措施落细落实落到位，</w:t>
      </w:r>
      <w:r>
        <w:rPr>
          <w:rFonts w:ascii="Times New Roman" w:hAnsi="Times New Roman" w:cs="Times New Roman"/>
          <w:sz w:val="24"/>
        </w:rPr>
        <w:t>按照</w:t>
      </w:r>
      <w:r>
        <w:rPr>
          <w:rFonts w:hint="eastAsia" w:ascii="Times New Roman" w:hAnsi="Times New Roman" w:cs="Times New Roman"/>
          <w:sz w:val="24"/>
        </w:rPr>
        <w:t>“</w:t>
      </w:r>
      <w:r>
        <w:rPr>
          <w:rFonts w:ascii="Times New Roman" w:hAnsi="Times New Roman" w:cs="Times New Roman"/>
          <w:sz w:val="24"/>
        </w:rPr>
        <w:t>限量、预约、错峰</w:t>
      </w:r>
      <w:r>
        <w:rPr>
          <w:rFonts w:hint="eastAsia" w:ascii="Times New Roman" w:hAnsi="Times New Roman" w:cs="Times New Roman"/>
          <w:sz w:val="24"/>
        </w:rPr>
        <w:t>”</w:t>
      </w:r>
      <w:r>
        <w:rPr>
          <w:rFonts w:ascii="Times New Roman" w:hAnsi="Times New Roman" w:cs="Times New Roman"/>
          <w:sz w:val="24"/>
        </w:rPr>
        <w:t>的要求，扎实抓好景区有序开放管理；要坚持一手抓发展、一手抓管理，牢固树立</w:t>
      </w:r>
      <w:r>
        <w:rPr>
          <w:rFonts w:hint="eastAsia" w:ascii="Times New Roman" w:hAnsi="Times New Roman" w:cs="Times New Roman"/>
          <w:sz w:val="24"/>
        </w:rPr>
        <w:t>“</w:t>
      </w:r>
      <w:r>
        <w:rPr>
          <w:rFonts w:ascii="Times New Roman" w:hAnsi="Times New Roman" w:cs="Times New Roman"/>
          <w:sz w:val="24"/>
        </w:rPr>
        <w:t>抓管理就是促发展、严管理就是保安全</w:t>
      </w:r>
      <w:r>
        <w:rPr>
          <w:rFonts w:hint="eastAsia" w:ascii="Times New Roman" w:hAnsi="Times New Roman" w:cs="Times New Roman"/>
          <w:sz w:val="24"/>
        </w:rPr>
        <w:t>”</w:t>
      </w:r>
      <w:r>
        <w:rPr>
          <w:rFonts w:ascii="Times New Roman" w:hAnsi="Times New Roman" w:cs="Times New Roman"/>
          <w:sz w:val="24"/>
        </w:rPr>
        <w:t>的理念，压紧压实属地管理责任、部门监管责任、企业主体责任，坚决守住意识形态和生产安全这两条底线；要深入开展安全生产专项整治，加强重点时段文旅市场监管以及文旅场所消防安全、旅游包车、高风险旅游项目等重点领域整治，严防各类安全事故发生。</w:t>
      </w:r>
    </w:p>
    <w:p>
      <w:pPr>
        <w:spacing w:line="360" w:lineRule="auto"/>
        <w:ind w:firstLine="482" w:firstLineChars="200"/>
        <w:rPr>
          <w:rFonts w:ascii="Times New Roman" w:hAnsi="Times New Roman" w:cs="Times New Roman"/>
          <w:sz w:val="24"/>
        </w:rPr>
      </w:pPr>
      <w:r>
        <w:rPr>
          <w:rFonts w:hint="eastAsia" w:ascii="Times New Roman" w:hAnsi="Times New Roman" w:cs="Times New Roman"/>
          <w:b/>
          <w:bCs/>
          <w:sz w:val="24"/>
        </w:rPr>
        <w:t>6.加强资源环境保护</w:t>
      </w:r>
      <w:r>
        <w:rPr>
          <w:rFonts w:hint="eastAsia" w:ascii="Times New Roman" w:hAnsi="Times New Roman" w:cs="Times New Roman"/>
          <w:sz w:val="24"/>
        </w:rPr>
        <w:t>：加强生态文化保护工作，推进文化遗产的保护工作和非物质文化遗产的传承、保护与活化工作；推进景区、城市生态景观建设，提高城市绿化率，优化旅游环境；推进城乡一体化建设，使城乡整体风貌具有鲜明的地方特色；广泛开展全域旅游宣传教育，实施旅游惠民政策，旅游扶贫富民方式多样，形成主客共享的良好社会氛围。</w:t>
      </w:r>
    </w:p>
    <w:p>
      <w:pPr>
        <w:spacing w:line="360" w:lineRule="auto"/>
        <w:ind w:firstLine="482" w:firstLineChars="200"/>
        <w:rPr>
          <w:rFonts w:ascii="Times New Roman" w:hAnsi="Times New Roman" w:cs="Times New Roman"/>
          <w:sz w:val="24"/>
          <w:highlight w:val="none"/>
        </w:rPr>
      </w:pPr>
      <w:r>
        <w:rPr>
          <w:rFonts w:hint="eastAsia" w:ascii="Times New Roman" w:hAnsi="Times New Roman" w:cs="Times New Roman"/>
          <w:b/>
          <w:bCs/>
          <w:sz w:val="24"/>
          <w:highlight w:val="none"/>
        </w:rPr>
        <w:t>7.形成旅游品牌</w:t>
      </w:r>
      <w:r>
        <w:rPr>
          <w:rFonts w:hint="eastAsia" w:ascii="Times New Roman" w:hAnsi="Times New Roman" w:cs="Times New Roman"/>
          <w:sz w:val="24"/>
          <w:highlight w:val="none"/>
        </w:rPr>
        <w:t>：发展全域旅游既要抓创建，也要塑品牌。要结合地方自然、历史、文化、旅游等特色资源，研究策划和设计打造特色鲜明、辨识度高、容易传播的旅游标识，并利用多种载体加以</w:t>
      </w:r>
      <w:r>
        <w:rPr>
          <w:rFonts w:ascii="Times New Roman" w:hAnsi="Times New Roman" w:cs="Times New Roman"/>
          <w:sz w:val="24"/>
          <w:highlight w:val="none"/>
        </w:rPr>
        <w:t>宣传推广，使之成为有影响力的旅游品牌。</w:t>
      </w:r>
    </w:p>
    <w:p>
      <w:pPr>
        <w:spacing w:line="360" w:lineRule="auto"/>
        <w:ind w:firstLine="480" w:firstLineChars="200"/>
        <w:rPr>
          <w:rFonts w:hint="eastAsia" w:ascii="Times New Roman" w:hAnsi="Times New Roman" w:cs="Times New Roman" w:eastAsiaTheme="minorEastAsia"/>
          <w:sz w:val="24"/>
          <w:highlight w:val="red"/>
          <w:lang w:eastAsia="zh-CN"/>
        </w:rPr>
      </w:pPr>
      <w:r>
        <w:rPr>
          <w:rFonts w:hint="eastAsia" w:ascii="Times New Roman" w:hAnsi="Times New Roman" w:cs="Times New Roman"/>
          <w:sz w:val="24"/>
          <w:highlight w:val="none"/>
        </w:rPr>
        <w:t>设立旅游营销专项资金，制定旅游市场开发奖励办法；建立多主体、多部门参与的宣传营销联动机制，形成全域旅游营销格局；传统营销与新媒体营销结合，实施全域旅游整体营销</w:t>
      </w:r>
      <w:r>
        <w:rPr>
          <w:rFonts w:hint="eastAsia" w:ascii="Times New Roman" w:hAnsi="Times New Roman" w:cs="Times New Roman"/>
          <w:sz w:val="24"/>
          <w:highlight w:val="none"/>
          <w:lang w:eastAsia="zh-CN"/>
        </w:rPr>
        <w:t>。</w:t>
      </w:r>
    </w:p>
    <w:p>
      <w:pPr>
        <w:pStyle w:val="3"/>
        <w:ind w:firstLine="560" w:firstLineChars="200"/>
        <w:rPr>
          <w:rFonts w:ascii="Times New Roman" w:hAnsi="Times New Roman" w:cs="Times New Roman"/>
        </w:rPr>
      </w:pPr>
      <w:bookmarkStart w:id="345" w:name="_Toc8056"/>
      <w:bookmarkStart w:id="346" w:name="_Toc15460"/>
      <w:bookmarkStart w:id="347" w:name="_Toc3752"/>
      <w:bookmarkStart w:id="348" w:name="_Toc31648"/>
      <w:bookmarkStart w:id="349" w:name="_Toc13520"/>
      <w:bookmarkStart w:id="350" w:name="_Toc4388"/>
      <w:bookmarkStart w:id="351" w:name="_Toc8451"/>
      <w:r>
        <w:rPr>
          <w:rFonts w:hint="eastAsia" w:ascii="Times New Roman" w:hAnsi="Times New Roman" w:cs="Times New Roman"/>
        </w:rPr>
        <w:t>三、重点推动两大核心项目</w:t>
      </w:r>
      <w:bookmarkEnd w:id="345"/>
      <w:bookmarkEnd w:id="346"/>
      <w:bookmarkEnd w:id="347"/>
      <w:bookmarkEnd w:id="348"/>
      <w:bookmarkEnd w:id="349"/>
      <w:bookmarkEnd w:id="350"/>
      <w:bookmarkEnd w:id="351"/>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结合国内外文化旅游发展新趋势，围绕伊金霍洛旗最具竞争力、最具吸引力的文化旅游资源，在覆盖全域的产品体系下，重点推动两大核心项目。</w:t>
      </w:r>
    </w:p>
    <w:p>
      <w:pPr>
        <w:pStyle w:val="4"/>
        <w:ind w:firstLine="480"/>
        <w:rPr>
          <w:rFonts w:ascii="Times New Roman" w:hAnsi="Times New Roman" w:cs="Times New Roman"/>
        </w:rPr>
      </w:pPr>
      <w:bookmarkStart w:id="352" w:name="_Toc8979"/>
      <w:bookmarkStart w:id="353" w:name="_Toc25081"/>
      <w:bookmarkStart w:id="354" w:name="_Toc27372"/>
      <w:bookmarkStart w:id="355" w:name="_Toc29253"/>
      <w:bookmarkStart w:id="356" w:name="_Toc29724"/>
      <w:bookmarkStart w:id="357" w:name="_Toc1184"/>
      <w:r>
        <w:rPr>
          <w:rFonts w:hint="eastAsia" w:ascii="Times New Roman" w:hAnsi="Times New Roman" w:cs="Times New Roman"/>
        </w:rPr>
        <w:t>（一）成吉思汗陵文化旅游区</w:t>
      </w:r>
      <w:bookmarkEnd w:id="352"/>
      <w:bookmarkEnd w:id="353"/>
      <w:bookmarkEnd w:id="354"/>
      <w:bookmarkEnd w:id="355"/>
      <w:bookmarkEnd w:id="356"/>
      <w:bookmarkEnd w:id="357"/>
      <w:bookmarkStart w:id="358" w:name="_Toc20544"/>
    </w:p>
    <w:p>
      <w:pPr>
        <w:pStyle w:val="9"/>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1.提升思路</w:t>
      </w:r>
      <w:bookmarkEnd w:id="358"/>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以成吉思汗文化和草原景观为主要吸引要素，理顺陵园、景区、农牧民之间的关系，整合形成大成陵的资源优势，打造集观光游览、文化体验、休闲度假于一体的草原文化旅游度假区。并且依托成吉思汗陵旅游区，大力挖掘达尔扈特文化，形成系列达尔扈特文化体验项目；整合布拉格嘎查各农牧家乐，完善配套基础设施，并引导规范旅游市场，将其打造成为成陵旅游区的重要组团。</w:t>
      </w:r>
      <w:bookmarkStart w:id="359" w:name="_Toc29420"/>
    </w:p>
    <w:p>
      <w:pPr>
        <w:pStyle w:val="9"/>
        <w:numPr>
          <w:ilvl w:val="0"/>
          <w:numId w:val="2"/>
        </w:numPr>
        <w:spacing w:line="360" w:lineRule="auto"/>
        <w:ind w:firstLine="482" w:firstLineChars="200"/>
        <w:rPr>
          <w:rFonts w:ascii="Times New Roman" w:hAnsi="Times New Roman" w:eastAsia="宋体" w:cs="宋体"/>
          <w:b/>
          <w:bCs/>
          <w:sz w:val="24"/>
        </w:rPr>
      </w:pPr>
      <w:r>
        <w:rPr>
          <w:rFonts w:hint="eastAsia" w:ascii="Times New Roman" w:hAnsi="Times New Roman" w:eastAsia="宋体" w:cs="宋体"/>
          <w:b/>
          <w:bCs/>
          <w:sz w:val="24"/>
        </w:rPr>
        <w:t>发展重点</w:t>
      </w:r>
      <w:bookmarkEnd w:id="359"/>
    </w:p>
    <w:p>
      <w:pPr>
        <w:pStyle w:val="9"/>
        <w:numPr>
          <w:ilvl w:val="0"/>
          <w:numId w:val="3"/>
        </w:numPr>
        <w:spacing w:line="360" w:lineRule="auto"/>
        <w:ind w:firstLine="480" w:firstLineChars="200"/>
        <w:rPr>
          <w:rFonts w:ascii="Times New Roman" w:hAnsi="Times New Roman" w:eastAsia="宋体" w:cs="宋体"/>
          <w:bCs/>
          <w:sz w:val="24"/>
        </w:rPr>
      </w:pPr>
      <w:r>
        <w:rPr>
          <w:rFonts w:hint="eastAsia" w:ascii="Times New Roman" w:hAnsi="Times New Roman" w:eastAsia="宋体" w:cs="宋体"/>
          <w:bCs/>
          <w:sz w:val="24"/>
        </w:rPr>
        <w:t>提档升级，整治成陵旅游发展环境</w:t>
      </w:r>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提档升级草原环境（巴音昌呼格草原），按照旅游度假村的标准进行风貌整治、配套升级、服务提档；提档升级服务配套设施，完善配套休息点、售卖点、服务点、生态厕所等设施；整合周边农牧家乐，提档升级服务和配套设施，整治因恶性竞争带来的行业混乱和无序发展，形成乡村旅游发展优势，完善成陵配套服务的同时带动周边乡村旅游发展。</w:t>
      </w:r>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（2）深入挖掘，开发达尔扈特文化旅游资源</w:t>
      </w:r>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伊金霍洛旗有两个世界级的旅游资源，一个是成吉思汗陵，另一个是达尔扈特人。作为成吉思汗陵的守陵人，其充满了神秘与传奇，依托这一优势资源，形成以牧家乐、牧庄、牧场等为支撑，整合辐射周边布拉格等资源的达尔扈特文化旅游体验项目。</w:t>
      </w:r>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（3）理顺关系，构建一体化旅游运营模式</w:t>
      </w:r>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目前，成吉思汗旅游区和成吉思汗陵区运营主体多元化导致大成陵发展停滞，通过理顺运营主体之间的关系，构建一体化运营模式，真正发挥大成陵文化和自然资源相结合的资源优势，优化大成陵未来的发展路径，进一步形成伊金霍洛旗“成吉思汗”的旅游品牌优势。</w:t>
      </w:r>
    </w:p>
    <w:p>
      <w:pPr>
        <w:pStyle w:val="4"/>
        <w:ind w:firstLine="480"/>
        <w:rPr>
          <w:rFonts w:ascii="Times New Roman" w:hAnsi="Times New Roman" w:cs="Times New Roman"/>
        </w:rPr>
      </w:pPr>
      <w:bookmarkStart w:id="360" w:name="_Toc17594"/>
      <w:bookmarkStart w:id="361" w:name="_Toc1713"/>
      <w:bookmarkStart w:id="362" w:name="_Toc31267"/>
      <w:bookmarkStart w:id="363" w:name="_Toc1217"/>
      <w:bookmarkStart w:id="364" w:name="_Toc32368"/>
      <w:bookmarkStart w:id="365" w:name="_Toc9807"/>
      <w:r>
        <w:rPr>
          <w:rFonts w:hint="eastAsia" w:ascii="Times New Roman" w:hAnsi="Times New Roman" w:cs="Times New Roman"/>
        </w:rPr>
        <w:t>（二）苏泊罕草原旅游区</w:t>
      </w:r>
      <w:bookmarkEnd w:id="360"/>
      <w:bookmarkEnd w:id="361"/>
      <w:bookmarkEnd w:id="362"/>
      <w:bookmarkEnd w:id="363"/>
      <w:bookmarkEnd w:id="364"/>
      <w:bookmarkEnd w:id="365"/>
      <w:bookmarkStart w:id="366" w:name="_Toc14305"/>
    </w:p>
    <w:p>
      <w:pPr>
        <w:pStyle w:val="9"/>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1.提升思路</w:t>
      </w:r>
      <w:bookmarkEnd w:id="366"/>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苏泊罕旅游区目前以自然观光旅游产品和娱乐项目为主，文化旅游产品相对较少且草原可开发面积较小，因此，通过融入苏泊罕游牧文化底蕴，协商周边农牧民，拓展旅游开发面积，进一步完善苏泊罕旅游区的旅游产品体系；整合周边非遗嘎查，打造1处苏布尔嘎非遗项目；发展道劳岱山旅游文化产业（盟敖包和旗敖包，白塔旅游项目），形成大苏泊罕草原旅游圈。</w:t>
      </w:r>
      <w:bookmarkStart w:id="367" w:name="_Toc17960"/>
    </w:p>
    <w:p>
      <w:pPr>
        <w:pStyle w:val="9"/>
        <w:spacing w:line="360" w:lineRule="auto"/>
        <w:ind w:firstLine="482" w:firstLineChars="200"/>
        <w:rPr>
          <w:rFonts w:ascii="Times New Roman" w:hAnsi="Times New Roman" w:eastAsia="宋体" w:cs="宋体"/>
          <w:b/>
          <w:bCs/>
          <w:sz w:val="24"/>
        </w:rPr>
      </w:pPr>
      <w:r>
        <w:rPr>
          <w:rFonts w:hint="eastAsia" w:ascii="Times New Roman" w:hAnsi="Times New Roman" w:eastAsia="宋体" w:cs="宋体"/>
          <w:b/>
          <w:bCs/>
          <w:sz w:val="24"/>
        </w:rPr>
        <w:t>2.发展重点</w:t>
      </w:r>
      <w:bookmarkEnd w:id="367"/>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（1）草原生态环境保护</w:t>
      </w:r>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苏泊罕旅游区草原资源丰富且是发展旅游的重要基础之一，因此，要坚持绿色生态的发展理念和发展原则，在充分保护草原前提下进行旅游开发，避免过度开发、人类破坏、违规建筑等对草原生态带来的破坏。</w:t>
      </w:r>
    </w:p>
    <w:p>
      <w:pPr>
        <w:spacing w:line="360" w:lineRule="auto"/>
        <w:ind w:left="400"/>
        <w:rPr>
          <w:rFonts w:ascii="Times New Roman" w:hAnsi="Times New Roman" w:cs="Times New Roman"/>
          <w:sz w:val="24"/>
        </w:rPr>
      </w:pPr>
      <w:r>
        <w:rPr>
          <w:rFonts w:hint="eastAsia" w:ascii="Times New Roman" w:hAnsi="Times New Roman" w:cs="Times New Roman"/>
          <w:sz w:val="24"/>
        </w:rPr>
        <w:t>（2）扩大品牌知名影响力度</w:t>
      </w:r>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苏泊罕旅游区作为伊金霍洛旗重要的旅游景区之一，要进一步提升品牌知名度，扩大景区影响力，充分发挥4A景区的带动作用。</w:t>
      </w:r>
    </w:p>
    <w:p>
      <w:pPr>
        <w:spacing w:line="360" w:lineRule="auto"/>
        <w:ind w:left="400"/>
        <w:rPr>
          <w:rFonts w:ascii="Times New Roman" w:hAnsi="Times New Roman" w:cs="Times New Roman"/>
          <w:sz w:val="24"/>
        </w:rPr>
      </w:pPr>
      <w:r>
        <w:rPr>
          <w:rFonts w:hint="eastAsia" w:ascii="Times New Roman" w:hAnsi="Times New Roman" w:cs="Times New Roman"/>
          <w:sz w:val="24"/>
        </w:rPr>
        <w:t>（3）完善文旅产品体系</w:t>
      </w:r>
    </w:p>
    <w:p>
      <w:pPr>
        <w:pStyle w:val="9"/>
        <w:spacing w:line="360" w:lineRule="auto"/>
        <w:ind w:firstLine="480" w:firstLineChars="200"/>
        <w:rPr>
          <w:rFonts w:hint="eastAsia" w:ascii="Times New Roman" w:hAnsi="Times New Roman" w:cs="Times New Roman" w:eastAsiaTheme="minorEastAsia"/>
          <w:bCs/>
          <w:sz w:val="24"/>
          <w:shd w:val="clear"/>
          <w:lang w:eastAsia="zh-CN"/>
        </w:rPr>
      </w:pPr>
      <w:r>
        <w:rPr>
          <w:rFonts w:hint="eastAsia" w:ascii="Times New Roman" w:hAnsi="Times New Roman" w:cs="Times New Roman"/>
          <w:bCs/>
          <w:sz w:val="24"/>
        </w:rPr>
        <w:t>依托苏泊罕旅游区及苏泊罕游牧文化底蕴，重点打造苏布尔非遗嘎查，将苏布尔嘎嘎查打造成为伊金霍洛旗第一座非物质文化遗产嘎查，进一步为苏泊罕旅游注入文化的魂，实现景区景点联合发展。通过租赁、合作、入股分红等方式与周边农牧民，拓展旅游经营开发面积，进一步完善苏泊罕旅游区的旅游产品体系。发展道劳岱山旅游文化产业（盟敖包和旗敖包，白塔旅游项目），丰富文旅产品体系，</w:t>
      </w:r>
      <w:r>
        <w:rPr>
          <w:rFonts w:hint="eastAsia" w:ascii="Times New Roman" w:hAnsi="Times New Roman" w:cs="Times New Roman"/>
          <w:bCs/>
          <w:sz w:val="24"/>
          <w:highlight w:val="none"/>
          <w:shd w:val="clear"/>
          <w:lang w:eastAsia="zh-CN"/>
        </w:rPr>
        <w:t>改造升级研学旅游基地，</w:t>
      </w:r>
      <w:r>
        <w:rPr>
          <w:rFonts w:hint="eastAsia" w:ascii="Times New Roman" w:hAnsi="Times New Roman" w:cs="Times New Roman"/>
          <w:bCs/>
          <w:sz w:val="24"/>
        </w:rPr>
        <w:t>形成大苏泊罕草原旅游圈。</w:t>
      </w:r>
    </w:p>
    <w:p>
      <w:pPr>
        <w:pStyle w:val="3"/>
        <w:ind w:firstLine="560" w:firstLineChars="200"/>
        <w:rPr>
          <w:rFonts w:ascii="Times New Roman" w:hAnsi="Times New Roman" w:cs="Times New Roman"/>
        </w:rPr>
      </w:pPr>
      <w:bookmarkStart w:id="368" w:name="_Toc26362"/>
      <w:bookmarkStart w:id="369" w:name="_Toc26095"/>
      <w:bookmarkStart w:id="370" w:name="_Toc25974"/>
      <w:bookmarkStart w:id="371" w:name="_Toc20089"/>
      <w:bookmarkStart w:id="372" w:name="_Toc6004"/>
      <w:bookmarkStart w:id="373" w:name="_Toc30607"/>
      <w:bookmarkStart w:id="374" w:name="_Toc16117"/>
      <w:r>
        <w:rPr>
          <w:rFonts w:hint="eastAsia" w:ascii="Times New Roman" w:hAnsi="Times New Roman" w:cs="Times New Roman"/>
        </w:rPr>
        <w:t>四、着力提升四个老景区项目</w:t>
      </w:r>
      <w:bookmarkEnd w:id="368"/>
      <w:bookmarkEnd w:id="369"/>
      <w:bookmarkEnd w:id="370"/>
      <w:bookmarkEnd w:id="371"/>
      <w:bookmarkEnd w:id="372"/>
      <w:bookmarkEnd w:id="373"/>
      <w:bookmarkEnd w:id="374"/>
    </w:p>
    <w:p>
      <w:pPr>
        <w:pStyle w:val="4"/>
        <w:ind w:firstLine="480"/>
        <w:rPr>
          <w:rFonts w:hint="eastAsia" w:ascii="Times New Roman" w:hAnsi="Times New Roman" w:eastAsia="黑体" w:cs="Times New Roman"/>
          <w:lang w:eastAsia="zh-CN"/>
        </w:rPr>
      </w:pPr>
      <w:bookmarkStart w:id="375" w:name="_Toc23364"/>
      <w:bookmarkStart w:id="376" w:name="_Toc7663"/>
      <w:bookmarkStart w:id="377" w:name="_Toc175"/>
      <w:bookmarkStart w:id="378" w:name="_Toc23837"/>
      <w:bookmarkStart w:id="379" w:name="_Toc28027"/>
      <w:bookmarkStart w:id="380" w:name="_Toc9971"/>
      <w:r>
        <w:rPr>
          <w:rFonts w:hint="eastAsia" w:ascii="Times New Roman" w:hAnsi="Times New Roman" w:cs="Times New Roman"/>
        </w:rPr>
        <w:t>（一）</w:t>
      </w:r>
      <w:bookmarkEnd w:id="375"/>
      <w:bookmarkEnd w:id="376"/>
      <w:bookmarkEnd w:id="377"/>
      <w:bookmarkEnd w:id="378"/>
      <w:bookmarkEnd w:id="379"/>
      <w:bookmarkEnd w:id="380"/>
      <w:bookmarkStart w:id="381" w:name="_Toc16220"/>
      <w:r>
        <w:rPr>
          <w:rFonts w:hint="eastAsia" w:ascii="Times New Roman" w:hAnsi="Times New Roman" w:cs="Times New Roman"/>
          <w:lang w:eastAsia="zh-CN"/>
        </w:rPr>
        <w:t>鄂尔多斯文化产业园</w:t>
      </w:r>
    </w:p>
    <w:p>
      <w:pPr>
        <w:pStyle w:val="9"/>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1.提升思路</w:t>
      </w:r>
      <w:bookmarkEnd w:id="381"/>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lang w:eastAsia="zh-CN"/>
        </w:rPr>
        <w:t>鄂尔多斯文化产业园</w:t>
      </w:r>
      <w:r>
        <w:rPr>
          <w:rFonts w:hint="eastAsia" w:ascii="Times New Roman" w:hAnsi="Times New Roman" w:cs="Times New Roman"/>
          <w:bCs/>
          <w:sz w:val="24"/>
        </w:rPr>
        <w:t>区分为文化、旅游、影视三大功能区，内容涵盖宫廷文化展示、影视拍摄与制作、大型室内外演绎、水上特色项目、娱乐互动体验、休闲度假、国内外学术论坛及文博展示等内容，2016年获评国家AAAA级旅游景区。</w:t>
      </w:r>
      <w:r>
        <w:rPr>
          <w:rFonts w:hint="eastAsia" w:ascii="Times New Roman" w:hAnsi="Times New Roman" w:cs="Times New Roman"/>
          <w:bCs/>
          <w:sz w:val="24"/>
          <w:lang w:eastAsia="zh-CN"/>
        </w:rPr>
        <w:t>鄂尔多斯文化产业园</w:t>
      </w:r>
      <w:r>
        <w:rPr>
          <w:rFonts w:hint="eastAsia" w:ascii="Times New Roman" w:hAnsi="Times New Roman" w:cs="Times New Roman"/>
          <w:bCs/>
          <w:sz w:val="24"/>
        </w:rPr>
        <w:t>占地面积较大，但是目前利用率较低，游客参与性项目较少，急需转换发展思路，以5A级标准进行升级转型，创建国家5A级旅游景区。</w:t>
      </w:r>
      <w:bookmarkStart w:id="382" w:name="_Toc8011"/>
    </w:p>
    <w:p>
      <w:pPr>
        <w:pStyle w:val="9"/>
        <w:spacing w:line="360" w:lineRule="auto"/>
        <w:ind w:firstLine="482" w:firstLineChars="200"/>
        <w:rPr>
          <w:rFonts w:ascii="Times New Roman" w:hAnsi="Times New Roman" w:eastAsia="宋体" w:cs="宋体"/>
          <w:b/>
          <w:bCs/>
          <w:sz w:val="24"/>
        </w:rPr>
      </w:pPr>
      <w:r>
        <w:rPr>
          <w:rFonts w:hint="eastAsia" w:ascii="Times New Roman" w:hAnsi="Times New Roman" w:eastAsia="宋体" w:cs="宋体"/>
          <w:b/>
          <w:bCs/>
          <w:sz w:val="24"/>
        </w:rPr>
        <w:t>2.发展重点</w:t>
      </w:r>
      <w:bookmarkEnd w:id="382"/>
    </w:p>
    <w:p>
      <w:pPr>
        <w:pStyle w:val="9"/>
        <w:spacing w:line="360" w:lineRule="auto"/>
        <w:ind w:left="420" w:leftChars="200"/>
        <w:rPr>
          <w:rFonts w:ascii="Times New Roman" w:hAnsi="Times New Roman" w:cs="Times New Roman"/>
          <w:sz w:val="24"/>
        </w:rPr>
      </w:pPr>
      <w:r>
        <w:rPr>
          <w:rFonts w:hint="eastAsia" w:ascii="Times New Roman" w:hAnsi="Times New Roman" w:cs="Times New Roman"/>
          <w:sz w:val="24"/>
        </w:rPr>
        <w:t>（1）完善景区基础设施</w:t>
      </w:r>
    </w:p>
    <w:p>
      <w:pPr>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完善景区现有基础设施，如：景区品质提升改造，包括绿化景观提升、亮化景观提升、文化雕塑、景观小品等；道路、骑行步道及慢行步道建设；游客服务中心停车场建设；哈喇和林铺装；元大都至元上都铺装；管网项目（包括排污）等，以5A级景区标准对景区各项基础设施进行整改和提升，健全各项服务设施设备。搭建智慧景区平台，建设内容包括“三平台一中心”即游客服务平台、</w:t>
      </w:r>
      <w:r>
        <w:rPr>
          <w:rFonts w:hint="eastAsia" w:ascii="Times New Roman" w:hAnsi="Times New Roman" w:cs="Times New Roman"/>
          <w:bCs/>
          <w:sz w:val="24"/>
          <w:lang w:eastAsia="zh-CN"/>
        </w:rPr>
        <w:t>鄂尔多斯文化产业园</w:t>
      </w:r>
      <w:r>
        <w:rPr>
          <w:rFonts w:hint="eastAsia" w:ascii="Times New Roman" w:hAnsi="Times New Roman" w:cs="Times New Roman"/>
          <w:bCs/>
          <w:sz w:val="24"/>
        </w:rPr>
        <w:t>景区管理平台、</w:t>
      </w:r>
      <w:r>
        <w:rPr>
          <w:rFonts w:hint="eastAsia" w:ascii="Times New Roman" w:hAnsi="Times New Roman" w:cs="Times New Roman"/>
          <w:bCs/>
          <w:sz w:val="24"/>
          <w:lang w:eastAsia="zh-CN"/>
        </w:rPr>
        <w:t>鄂尔多斯文化产业园</w:t>
      </w:r>
      <w:r>
        <w:rPr>
          <w:rFonts w:hint="eastAsia" w:ascii="Times New Roman" w:hAnsi="Times New Roman" w:cs="Times New Roman"/>
          <w:bCs/>
          <w:sz w:val="24"/>
        </w:rPr>
        <w:t>营销推广平台和景区大数据中心。</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（2）提高景区利用率</w:t>
      </w:r>
    </w:p>
    <w:p>
      <w:pPr>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目前景区利用率较低，以观光游览项目为主，通过开发一批参与性较强的旅游产品丰富游客的体验，如：周庑文化互动体验馆，包括元曲体验馆、蒙古语言文字博物馆、蒙古记忆文献馆、蒙古民俗馆、民族团结馆、军事体验馆、鞍马体验馆、饮食娱乐区、办公区、休息区、工艺品区、</w:t>
      </w:r>
      <w:r>
        <w:rPr>
          <w:rFonts w:hint="eastAsia" w:ascii="Times New Roman" w:hAnsi="Times New Roman" w:cs="Times New Roman"/>
          <w:bCs/>
          <w:color w:val="auto"/>
          <w:sz w:val="24"/>
          <w:lang w:eastAsia="zh-CN"/>
        </w:rPr>
        <w:t>鄂尔多斯文化产业园</w:t>
      </w:r>
      <w:r>
        <w:rPr>
          <w:rFonts w:hint="eastAsia" w:ascii="Times New Roman" w:hAnsi="Times New Roman" w:cs="Times New Roman"/>
          <w:bCs/>
          <w:sz w:val="24"/>
        </w:rPr>
        <w:t>汉白玉石板展示区等主体内容，通过多元的艺术展示手段和互动体验，将场景塑造、游戏互动、多媒体演绎与服装、</w:t>
      </w:r>
      <w:r>
        <w:rPr>
          <w:rFonts w:hint="eastAsia" w:ascii="Times New Roman" w:hAnsi="Times New Roman" w:cs="Times New Roman"/>
          <w:bCs/>
          <w:sz w:val="24"/>
          <w:lang w:eastAsia="zh-CN"/>
        </w:rPr>
        <w:t>配饰</w:t>
      </w:r>
      <w:r>
        <w:rPr>
          <w:rFonts w:hint="eastAsia" w:ascii="Times New Roman" w:hAnsi="Times New Roman" w:cs="Times New Roman"/>
          <w:bCs/>
          <w:sz w:val="24"/>
        </w:rPr>
        <w:t>、生活器具等与剧情场景相融合；通过民宿体验、节庆活动等系列民俗文化互动体验项目，提升游客的体验感和满意度；通过打造影视小镇，引进电影、电视剧拍摄等提高景区知名度并打开景区影视拍摄的市场，创新景区未来的发展路径；依据景区相关建设用地较大的特点，建设特色小镇，包括康养、大型实景演艺、民宿酒店、特色商业小镇等项目，形成丰富的产品体系和完善的产业链条。</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（3）招商引资</w:t>
      </w:r>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由于景区建设工程较大、投资力度较大，因此，通过多轮招商引资，实现景区边建设边运营，为景区的不断升级转型提供充足的资金动力；引进成熟的旅游投资管理公司，以雄厚的资本和先进运营管理技术提高景区的管理水平和发展动力。</w:t>
      </w:r>
    </w:p>
    <w:p>
      <w:pPr>
        <w:pStyle w:val="4"/>
        <w:ind w:firstLine="480"/>
        <w:rPr>
          <w:rFonts w:ascii="Times New Roman" w:hAnsi="Times New Roman" w:cs="Times New Roman"/>
        </w:rPr>
      </w:pPr>
      <w:bookmarkStart w:id="383" w:name="_Toc25822"/>
      <w:r>
        <w:rPr>
          <w:rFonts w:hint="eastAsia" w:ascii="Times New Roman" w:hAnsi="Times New Roman" w:cs="Times New Roman"/>
        </w:rPr>
        <w:t>（二）伊景园城市沙山旅游区</w:t>
      </w:r>
      <w:bookmarkEnd w:id="383"/>
    </w:p>
    <w:p>
      <w:pPr>
        <w:spacing w:line="360" w:lineRule="auto"/>
        <w:ind w:firstLine="482" w:firstLineChars="200"/>
        <w:rPr>
          <w:rFonts w:ascii="Times New Roman" w:hAnsi="Times New Roman" w:cs="Times New Roman"/>
          <w:b/>
          <w:bCs/>
          <w:sz w:val="24"/>
        </w:rPr>
      </w:pPr>
      <w:r>
        <w:rPr>
          <w:rFonts w:hint="eastAsia" w:ascii="Times New Roman" w:hAnsi="Times New Roman" w:cs="Times New Roman"/>
          <w:b/>
          <w:bCs/>
          <w:sz w:val="24"/>
        </w:rPr>
        <w:t>1.提升思路</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伊景园城市沙山旅游区坐落于伊金霍洛旗政府所在地阿勒腾席热镇</w:t>
      </w:r>
      <w:r>
        <w:rPr>
          <w:rFonts w:hint="eastAsia" w:ascii="Times New Roman" w:hAnsi="Times New Roman" w:cs="Times New Roman"/>
          <w:sz w:val="24"/>
        </w:rPr>
        <w:t>，</w:t>
      </w:r>
      <w:r>
        <w:rPr>
          <w:rFonts w:ascii="Times New Roman" w:hAnsi="Times New Roman" w:cs="Times New Roman"/>
          <w:sz w:val="24"/>
        </w:rPr>
        <w:t>景区项目集沙山娱乐、水上运动、设施游乐、特色餐饮、园林观光于一体；以“亲沙、亲水、亲子”为主题，以“三轴、七区”为规划布局</w:t>
      </w:r>
      <w:r>
        <w:rPr>
          <w:rFonts w:hint="eastAsia" w:ascii="Times New Roman" w:hAnsi="Times New Roman" w:cs="Times New Roman"/>
          <w:sz w:val="24"/>
        </w:rPr>
        <w:t>，2018年获评国家3A级旅游景区。十四五期间要更加注重丰富景区内旅游活动项目，推成出新各种文化活动，以期满足游客多元化需求，丰富游客的旅游体验。并力争在十四五期间创建成为</w:t>
      </w:r>
      <w:r>
        <w:rPr>
          <w:rFonts w:hint="eastAsia" w:ascii="Times New Roman" w:hAnsi="Times New Roman" w:cs="Times New Roman"/>
          <w:sz w:val="24"/>
          <w:lang w:eastAsia="zh-CN"/>
        </w:rPr>
        <w:t>国家4A级旅游景区</w:t>
      </w:r>
      <w:r>
        <w:rPr>
          <w:rFonts w:hint="eastAsia" w:ascii="Times New Roman" w:hAnsi="Times New Roman" w:cs="Times New Roman"/>
          <w:sz w:val="24"/>
        </w:rPr>
        <w:t>。</w:t>
      </w:r>
    </w:p>
    <w:p>
      <w:pPr>
        <w:spacing w:line="360" w:lineRule="auto"/>
        <w:ind w:firstLine="482" w:firstLineChars="200"/>
        <w:rPr>
          <w:rFonts w:ascii="Times New Roman" w:hAnsi="Times New Roman" w:cs="Times New Roman"/>
          <w:b/>
          <w:bCs/>
          <w:sz w:val="24"/>
        </w:rPr>
      </w:pPr>
      <w:r>
        <w:rPr>
          <w:rFonts w:hint="eastAsia" w:ascii="Times New Roman" w:hAnsi="Times New Roman" w:cs="Times New Roman"/>
          <w:b/>
          <w:bCs/>
          <w:sz w:val="24"/>
        </w:rPr>
        <w:t>2.发展重点</w:t>
      </w:r>
    </w:p>
    <w:p>
      <w:pPr>
        <w:spacing w:line="360" w:lineRule="auto"/>
        <w:ind w:left="420" w:leftChars="200"/>
        <w:rPr>
          <w:rFonts w:ascii="Times New Roman" w:hAnsi="Times New Roman" w:cs="Times New Roman"/>
          <w:sz w:val="24"/>
        </w:rPr>
      </w:pPr>
      <w:r>
        <w:rPr>
          <w:rFonts w:hint="eastAsia" w:ascii="Times New Roman" w:hAnsi="Times New Roman" w:cs="Times New Roman"/>
          <w:sz w:val="24"/>
        </w:rPr>
        <w:t>（1）夯实景区基础设施建设</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景区基础设施建设</w:t>
      </w:r>
      <w:r>
        <w:rPr>
          <w:rFonts w:hint="eastAsia" w:ascii="Times New Roman" w:hAnsi="Times New Roman" w:cs="Times New Roman"/>
          <w:sz w:val="24"/>
          <w:lang w:eastAsia="zh-CN"/>
        </w:rPr>
        <w:t>是</w:t>
      </w:r>
      <w:r>
        <w:rPr>
          <w:rFonts w:hint="eastAsia" w:ascii="Times New Roman" w:hAnsi="Times New Roman" w:cs="Times New Roman"/>
          <w:sz w:val="24"/>
        </w:rPr>
        <w:t>景区发展的必备条件，十四五期间，伊景园城市沙山旅游区要不断完善景区基础设施建设，拓展景区发展空间。完善包括沙山大门、沙际停车场、观景台、木栈道、沙际广场、沙际餐厅、公共卫生间、活动广场、奇妙广场、艺术区主入口、低空飞翔口等。</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（2）丰富景区旅游活动项目</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依托稀缺的旅游资源和文化元素，因地制宜开发更多游客参与性互动性强、富有特色的旅游活动项目，如萌宠乐园、大漠秋千、趣乐水城堡、沙场迷宫、冰火滑道等项。满足游客多元化需求，丰富游客旅游体验。</w:t>
      </w:r>
    </w:p>
    <w:p>
      <w:pPr>
        <w:pStyle w:val="4"/>
        <w:ind w:firstLine="480"/>
        <w:rPr>
          <w:rFonts w:hint="eastAsia" w:ascii="Times New Roman" w:hAnsi="Times New Roman" w:eastAsia="黑体" w:cs="Times New Roman"/>
          <w:lang w:eastAsia="zh-CN"/>
        </w:rPr>
      </w:pPr>
      <w:bookmarkStart w:id="384" w:name="_Toc9524"/>
      <w:bookmarkStart w:id="385" w:name="_Toc3048"/>
      <w:bookmarkStart w:id="386" w:name="_Toc23201"/>
      <w:bookmarkStart w:id="387" w:name="_Toc11261"/>
      <w:bookmarkStart w:id="388" w:name="_Toc16049"/>
      <w:bookmarkStart w:id="389" w:name="_Toc6926"/>
      <w:r>
        <w:rPr>
          <w:rFonts w:hint="eastAsia" w:ascii="Times New Roman" w:hAnsi="Times New Roman" w:cs="Times New Roman"/>
        </w:rPr>
        <w:t>（三）</w:t>
      </w:r>
      <w:bookmarkEnd w:id="384"/>
      <w:bookmarkEnd w:id="385"/>
      <w:bookmarkEnd w:id="386"/>
      <w:bookmarkEnd w:id="387"/>
      <w:bookmarkEnd w:id="388"/>
      <w:bookmarkEnd w:id="389"/>
      <w:bookmarkStart w:id="390" w:name="_Toc32649"/>
      <w:r>
        <w:rPr>
          <w:rFonts w:hint="eastAsia" w:ascii="Times New Roman" w:hAnsi="Times New Roman" w:cs="Times New Roman"/>
          <w:lang w:eastAsia="zh-CN"/>
        </w:rPr>
        <w:t>颐和生态文化博览园</w:t>
      </w:r>
    </w:p>
    <w:p>
      <w:pPr>
        <w:spacing w:line="360" w:lineRule="auto"/>
        <w:ind w:firstLine="482" w:firstLineChars="200"/>
        <w:rPr>
          <w:rFonts w:ascii="Times New Roman" w:hAnsi="Times New Roman" w:cs="Times New Roman"/>
          <w:b/>
          <w:bCs/>
          <w:sz w:val="24"/>
        </w:rPr>
      </w:pPr>
      <w:r>
        <w:rPr>
          <w:rFonts w:hint="eastAsia" w:ascii="Times New Roman" w:hAnsi="Times New Roman" w:cs="Times New Roman"/>
          <w:b/>
          <w:bCs/>
          <w:sz w:val="24"/>
        </w:rPr>
        <w:t>1.提升思路</w:t>
      </w:r>
      <w:bookmarkEnd w:id="390"/>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lang w:eastAsia="zh-CN"/>
        </w:rPr>
        <w:t>颐和生态文化博览园</w:t>
      </w:r>
      <w:r>
        <w:rPr>
          <w:rFonts w:hint="eastAsia" w:ascii="Times New Roman" w:hAnsi="Times New Roman" w:cs="Times New Roman"/>
          <w:sz w:val="24"/>
        </w:rPr>
        <w:t>景区位于伊金霍洛旗北山植物园内，2016年11月批准为国家4A级旅游景区，景区主要功能是展示内蒙古地区佛教文化发展历程和弘扬宗教界爱国爱教精神、拥护民族团结、服务社会的综合性文化旅游景区。通过进一步完善</w:t>
      </w:r>
      <w:r>
        <w:rPr>
          <w:rFonts w:hint="eastAsia" w:ascii="Times New Roman" w:hAnsi="Times New Roman" w:cs="Times New Roman"/>
          <w:sz w:val="24"/>
          <w:lang w:eastAsia="zh-CN"/>
        </w:rPr>
        <w:t>颐和生态文化博览园</w:t>
      </w:r>
      <w:r>
        <w:rPr>
          <w:rFonts w:hint="eastAsia" w:ascii="Times New Roman" w:hAnsi="Times New Roman" w:cs="Times New Roman"/>
          <w:sz w:val="24"/>
        </w:rPr>
        <w:t>的文旅公共服务设施，积极引导宗教文化与社会主义相适应，在保护文化遗产的前提下适当开发相应的文化旅游产品，提升游客的文化旅游体验感</w:t>
      </w:r>
      <w:r>
        <w:rPr>
          <w:rFonts w:hint="eastAsia" w:ascii="Times New Roman" w:hAnsi="Times New Roman" w:cs="Times New Roman"/>
          <w:sz w:val="24"/>
          <w:lang w:eastAsia="zh-CN"/>
        </w:rPr>
        <w:t>，</w:t>
      </w:r>
      <w:r>
        <w:rPr>
          <w:rFonts w:hint="eastAsia" w:ascii="Times New Roman" w:hAnsi="Times New Roman" w:cs="Times New Roman"/>
          <w:sz w:val="24"/>
          <w:highlight w:val="none"/>
          <w:lang w:eastAsia="zh-CN"/>
        </w:rPr>
        <w:t>打造健康服务产业，构建康养旅游新业态</w:t>
      </w:r>
      <w:r>
        <w:rPr>
          <w:rFonts w:hint="eastAsia" w:ascii="Times New Roman" w:hAnsi="Times New Roman" w:cs="Times New Roman"/>
          <w:sz w:val="24"/>
        </w:rPr>
        <w:t>。</w:t>
      </w:r>
      <w:bookmarkStart w:id="391" w:name="_Toc7214"/>
    </w:p>
    <w:p>
      <w:pPr>
        <w:spacing w:line="360" w:lineRule="auto"/>
        <w:ind w:firstLine="482" w:firstLineChars="200"/>
        <w:rPr>
          <w:rFonts w:ascii="Times New Roman" w:hAnsi="Times New Roman" w:eastAsia="宋体" w:cs="宋体"/>
          <w:b/>
          <w:bCs/>
          <w:sz w:val="24"/>
        </w:rPr>
      </w:pPr>
      <w:r>
        <w:rPr>
          <w:rFonts w:hint="eastAsia" w:ascii="Times New Roman" w:hAnsi="Times New Roman" w:eastAsia="宋体" w:cs="宋体"/>
          <w:b/>
          <w:bCs/>
          <w:sz w:val="24"/>
        </w:rPr>
        <w:t>2.发展重点</w:t>
      </w:r>
      <w:bookmarkEnd w:id="391"/>
    </w:p>
    <w:p>
      <w:pPr>
        <w:spacing w:line="360" w:lineRule="auto"/>
        <w:ind w:left="420" w:leftChars="200"/>
        <w:rPr>
          <w:rFonts w:ascii="Times New Roman" w:hAnsi="Times New Roman" w:cs="Times New Roman"/>
          <w:sz w:val="24"/>
        </w:rPr>
      </w:pPr>
      <w:r>
        <w:rPr>
          <w:rFonts w:hint="eastAsia" w:ascii="Times New Roman" w:hAnsi="Times New Roman" w:cs="Times New Roman"/>
          <w:sz w:val="24"/>
        </w:rPr>
        <w:t>（1）完善文旅公共服务设施</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进一步完善景区公共服务设施，包括扩建游客服务中心、</w:t>
      </w:r>
      <w:r>
        <w:rPr>
          <w:rFonts w:hint="eastAsia" w:ascii="Times New Roman" w:hAnsi="Times New Roman" w:cs="Times New Roman"/>
          <w:sz w:val="24"/>
          <w:lang w:eastAsia="zh-CN"/>
        </w:rPr>
        <w:t>颐和生态文化博览园</w:t>
      </w:r>
      <w:r>
        <w:rPr>
          <w:rFonts w:hint="eastAsia" w:ascii="Times New Roman" w:hAnsi="Times New Roman" w:cs="Times New Roman"/>
          <w:sz w:val="24"/>
        </w:rPr>
        <w:t>文化体验中心、完善外围旅游交通路线以及各种文化娱乐、游憩等物质设备，对景区内外的景观进行绿化、美化。此外，通过提高旅游服务水平，促进佛教文化遗产旅游服务标准化发展。</w:t>
      </w:r>
    </w:p>
    <w:p>
      <w:pPr>
        <w:spacing w:line="360" w:lineRule="auto"/>
        <w:ind w:left="420" w:leftChars="200"/>
        <w:rPr>
          <w:rFonts w:ascii="Times New Roman" w:hAnsi="Times New Roman" w:cs="Times New Roman"/>
          <w:sz w:val="24"/>
        </w:rPr>
      </w:pPr>
      <w:r>
        <w:rPr>
          <w:rFonts w:hint="eastAsia" w:ascii="Times New Roman" w:hAnsi="Times New Roman" w:cs="Times New Roman"/>
          <w:sz w:val="24"/>
        </w:rPr>
        <w:t>（2）引导宗教文化与社会主义相适应</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 xml:space="preserve">积极引导宗教文化与社会主义相适应，加强对宗教文化的保护和传承，建立宗教文化保护制度，对宗教特色建筑进行恢复和保护，通过发掘宗教文化的深层内涵，赋予其时代意义，例如宗教文化劝善惩恶的教条、古代文化典故中的时代意义等，引导宗教文化与社会主义共进发展。    </w:t>
      </w:r>
    </w:p>
    <w:p>
      <w:pPr>
        <w:spacing w:line="360" w:lineRule="auto"/>
        <w:ind w:left="420" w:leftChars="200"/>
        <w:rPr>
          <w:rFonts w:ascii="Times New Roman" w:hAnsi="Times New Roman" w:cs="Times New Roman"/>
          <w:sz w:val="24"/>
        </w:rPr>
      </w:pPr>
      <w:r>
        <w:rPr>
          <w:rFonts w:hint="eastAsia" w:ascii="Times New Roman" w:hAnsi="Times New Roman" w:cs="Times New Roman"/>
          <w:sz w:val="24"/>
        </w:rPr>
        <w:t>（3）提升游客文化体验感</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在观光游览的基础上开发文化体验旅游产品，例如：新建</w:t>
      </w:r>
      <w:r>
        <w:rPr>
          <w:rFonts w:hint="eastAsia" w:ascii="Times New Roman" w:hAnsi="Times New Roman" w:cs="Times New Roman"/>
          <w:sz w:val="24"/>
          <w:lang w:eastAsia="zh-CN"/>
        </w:rPr>
        <w:t>颐和生态文化博览园</w:t>
      </w:r>
      <w:r>
        <w:rPr>
          <w:rFonts w:hint="eastAsia" w:ascii="Times New Roman" w:hAnsi="Times New Roman" w:cs="Times New Roman"/>
          <w:sz w:val="24"/>
        </w:rPr>
        <w:t>文化体验中心，利用高科技进行文化展览或开发体验性旅游商品</w:t>
      </w:r>
      <w:r>
        <w:rPr>
          <w:rFonts w:hint="eastAsia" w:ascii="Times New Roman" w:hAnsi="Times New Roman" w:cs="Times New Roman"/>
          <w:sz w:val="24"/>
          <w:lang w:eastAsia="zh-CN"/>
        </w:rPr>
        <w:t>，</w:t>
      </w:r>
      <w:r>
        <w:rPr>
          <w:rFonts w:hint="eastAsia" w:ascii="Times New Roman" w:hAnsi="Times New Roman" w:cs="Times New Roman"/>
          <w:sz w:val="24"/>
          <w:highlight w:val="none"/>
          <w:lang w:eastAsia="zh-CN"/>
        </w:rPr>
        <w:t>引进蒙藏中医</w:t>
      </w:r>
      <w:r>
        <w:rPr>
          <w:rFonts w:hint="eastAsia" w:ascii="Times New Roman" w:hAnsi="Times New Roman" w:cs="Times New Roman"/>
          <w:sz w:val="24"/>
          <w:highlight w:val="none"/>
        </w:rPr>
        <w:t>等</w:t>
      </w:r>
      <w:r>
        <w:rPr>
          <w:rFonts w:hint="eastAsia" w:ascii="Times New Roman" w:hAnsi="Times New Roman" w:cs="Times New Roman"/>
          <w:sz w:val="24"/>
          <w:highlight w:val="none"/>
          <w:lang w:eastAsia="zh-CN"/>
        </w:rPr>
        <w:t>医疗服务</w:t>
      </w:r>
      <w:r>
        <w:rPr>
          <w:rFonts w:hint="eastAsia" w:ascii="Times New Roman" w:hAnsi="Times New Roman" w:cs="Times New Roman"/>
          <w:sz w:val="24"/>
          <w:highlight w:val="none"/>
        </w:rPr>
        <w:t>，</w:t>
      </w:r>
      <w:r>
        <w:rPr>
          <w:rFonts w:hint="eastAsia" w:ascii="Times New Roman" w:hAnsi="Times New Roman" w:cs="Times New Roman"/>
          <w:sz w:val="24"/>
          <w:highlight w:val="none"/>
          <w:lang w:eastAsia="zh-CN"/>
        </w:rPr>
        <w:t>打造健康服务产业，构建康养旅游新业态，</w:t>
      </w:r>
      <w:r>
        <w:rPr>
          <w:rFonts w:hint="eastAsia" w:ascii="Times New Roman" w:hAnsi="Times New Roman" w:cs="Times New Roman"/>
          <w:sz w:val="24"/>
        </w:rPr>
        <w:t>满足游客多样化的旅游需求，增加游客深度体验和参与感。</w:t>
      </w:r>
    </w:p>
    <w:p>
      <w:pPr>
        <w:pStyle w:val="4"/>
        <w:ind w:firstLine="480"/>
        <w:rPr>
          <w:rFonts w:ascii="Times New Roman" w:hAnsi="Times New Roman" w:cs="Times New Roman"/>
        </w:rPr>
      </w:pPr>
      <w:bookmarkStart w:id="392" w:name="_Toc872"/>
      <w:bookmarkStart w:id="393" w:name="_Toc28472"/>
      <w:bookmarkStart w:id="394" w:name="_Toc11247"/>
      <w:bookmarkStart w:id="395" w:name="_Toc13273"/>
      <w:bookmarkStart w:id="396" w:name="_Toc30920"/>
      <w:bookmarkStart w:id="397" w:name="_Toc16477"/>
      <w:r>
        <w:rPr>
          <w:rFonts w:hint="eastAsia" w:ascii="Times New Roman" w:hAnsi="Times New Roman" w:cs="Times New Roman"/>
        </w:rPr>
        <w:t>（四）红海子湿地</w:t>
      </w:r>
      <w:bookmarkEnd w:id="392"/>
      <w:bookmarkEnd w:id="393"/>
      <w:bookmarkEnd w:id="394"/>
      <w:bookmarkEnd w:id="395"/>
      <w:bookmarkEnd w:id="396"/>
      <w:bookmarkEnd w:id="397"/>
      <w:bookmarkStart w:id="398" w:name="_Toc26489"/>
    </w:p>
    <w:p>
      <w:pPr>
        <w:spacing w:line="360" w:lineRule="auto"/>
        <w:ind w:firstLine="482" w:firstLineChars="200"/>
        <w:rPr>
          <w:rFonts w:ascii="Times New Roman" w:hAnsi="Times New Roman" w:cs="Times New Roman"/>
          <w:b/>
          <w:bCs/>
          <w:sz w:val="24"/>
        </w:rPr>
      </w:pPr>
      <w:r>
        <w:rPr>
          <w:rFonts w:hint="eastAsia" w:ascii="Times New Roman" w:hAnsi="Times New Roman" w:cs="Times New Roman"/>
          <w:b/>
          <w:bCs/>
          <w:sz w:val="24"/>
        </w:rPr>
        <w:t>1.提升思路</w:t>
      </w:r>
      <w:bookmarkEnd w:id="398"/>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红海子湿地旅游景区分为东红海子和西红海子，东西红海子以前是两个自然湖泊，后来因为严重的干旱出现过干涸，旗委、旗政府为了恢复红海子往日的秀美风光，在2011年3月开始了对红海子湿地的保护建设，目前红海子湿地生态环境恢复较好，处于开发建设的初始阶段，要坚持绿色生态的开发原则，在保护的基础上进行旅游开发，通过不断完善基础服务设施，打造东红海子城市居民休闲度假的城市公园目的地；通过依托</w:t>
      </w:r>
      <w:r>
        <w:rPr>
          <w:rFonts w:hint="eastAsia" w:ascii="Times New Roman" w:hAnsi="Times New Roman" w:cs="Times New Roman"/>
          <w:sz w:val="24"/>
          <w:lang w:eastAsia="zh-CN"/>
        </w:rPr>
        <w:t>鄂尔多斯文化产业园</w:t>
      </w:r>
      <w:r>
        <w:rPr>
          <w:rFonts w:hint="eastAsia" w:ascii="Times New Roman" w:hAnsi="Times New Roman" w:cs="Times New Roman"/>
          <w:sz w:val="24"/>
        </w:rPr>
        <w:t>旅游发展带动西红海子旅游发展，打造西红海子湿地公园。</w:t>
      </w:r>
      <w:bookmarkStart w:id="399" w:name="_Toc21090"/>
    </w:p>
    <w:p>
      <w:pPr>
        <w:spacing w:line="360" w:lineRule="auto"/>
        <w:ind w:firstLine="482" w:firstLineChars="200"/>
        <w:rPr>
          <w:rFonts w:ascii="Times New Roman" w:hAnsi="Times New Roman" w:eastAsia="宋体" w:cs="宋体"/>
          <w:b/>
          <w:bCs/>
          <w:sz w:val="24"/>
        </w:rPr>
      </w:pPr>
      <w:r>
        <w:rPr>
          <w:rFonts w:hint="eastAsia" w:ascii="Times New Roman" w:hAnsi="Times New Roman" w:eastAsia="宋体" w:cs="宋体"/>
          <w:b/>
          <w:bCs/>
          <w:sz w:val="24"/>
        </w:rPr>
        <w:t>2.发展重点</w:t>
      </w:r>
      <w:bookmarkEnd w:id="399"/>
    </w:p>
    <w:p>
      <w:pPr>
        <w:spacing w:line="360" w:lineRule="auto"/>
        <w:ind w:left="420" w:leftChars="200"/>
        <w:rPr>
          <w:rFonts w:ascii="Times New Roman" w:hAnsi="Times New Roman" w:cs="Times New Roman"/>
          <w:sz w:val="24"/>
        </w:rPr>
      </w:pPr>
      <w:r>
        <w:rPr>
          <w:rFonts w:hint="eastAsia" w:ascii="Times New Roman" w:hAnsi="Times New Roman" w:cs="Times New Roman"/>
          <w:sz w:val="24"/>
        </w:rPr>
        <w:t>（1）完善休闲服务设施</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配备齐全的休闲服务设施和娱乐设施，支持鼓励后期红海子湿地的相关项目建成落地，新建摄影长廊、生态停车场、休闲广场、景观大道、叠翠码头、电瓶车停靠站、自行车租赁点、生态旅游厕所等，以园区现有的11公里环形道为核心，打造集电瓶车、自行车、栈道、游船码头、智慧旅游等多元化的游憩方式，完善红海子湿地周边休闲服务设施体系。</w:t>
      </w:r>
    </w:p>
    <w:p>
      <w:pPr>
        <w:spacing w:line="360" w:lineRule="auto"/>
        <w:ind w:left="400"/>
        <w:rPr>
          <w:rFonts w:ascii="Times New Roman" w:hAnsi="Times New Roman" w:cs="Times New Roman"/>
          <w:sz w:val="24"/>
        </w:rPr>
      </w:pPr>
      <w:r>
        <w:rPr>
          <w:rFonts w:hint="eastAsia" w:ascii="Times New Roman" w:hAnsi="Times New Roman" w:cs="Times New Roman"/>
          <w:sz w:val="24"/>
        </w:rPr>
        <w:t>（2）打造东红海子城市公园</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东红海子湿地生态美、文化美、景色美，目前景区建有垂钓区、美食广场、水上娱乐区、烧烤区等，在完善休闲服务设施的基础上新建二层集装箱，开设餐厅、酒吧、文创馆、咖啡厅、饮吧、屋顶影院、亲子室内DIY馆等，并在室外设置多个公共休憩空间，打造集餐饮、娱乐、休闲、购物于一体的商业街区，内设置供游客休憩的公共空间，营造商业氛围，打造其进一步成为城市居民休闲度假的城市公园，以伊金霍洛旗及周边城市为主要目标市场，开发建设一批城市休闲度假旅游产品。</w:t>
      </w:r>
    </w:p>
    <w:p>
      <w:pPr>
        <w:spacing w:line="360" w:lineRule="auto"/>
        <w:ind w:left="400"/>
        <w:rPr>
          <w:rFonts w:ascii="Times New Roman" w:hAnsi="Times New Roman" w:cs="Times New Roman"/>
          <w:sz w:val="24"/>
        </w:rPr>
      </w:pPr>
      <w:r>
        <w:rPr>
          <w:rFonts w:hint="eastAsia" w:ascii="Times New Roman" w:hAnsi="Times New Roman" w:cs="Times New Roman"/>
          <w:sz w:val="24"/>
        </w:rPr>
        <w:t>（3）打造西红海子湿地公园</w:t>
      </w:r>
    </w:p>
    <w:p>
      <w:pPr>
        <w:spacing w:line="360" w:lineRule="auto"/>
        <w:ind w:firstLine="480" w:firstLineChars="200"/>
        <w:rPr>
          <w:rFonts w:ascii="Times New Roman" w:hAnsi="Times New Roman" w:cs="Times New Roman"/>
        </w:rPr>
      </w:pPr>
      <w:r>
        <w:rPr>
          <w:rFonts w:hint="eastAsia" w:ascii="Times New Roman" w:hAnsi="Times New Roman" w:cs="Times New Roman"/>
          <w:sz w:val="24"/>
        </w:rPr>
        <w:t>在尊重西红海子现状、保障湿地内水量充足、对水禽栖息地修复和恢复的前提下，配置不同的湿地植被群落和景观小品，以丰富湿地景观内容。在湿地公园内规划建设湿地休闲广场，旅游服务中心等区域服务、休闲设施；配套相应的基础服务设施，如停车场、访客中心、游船码头、灯光系统、音响系统、观景亭等；依托</w:t>
      </w:r>
      <w:r>
        <w:rPr>
          <w:rFonts w:hint="eastAsia" w:ascii="Times New Roman" w:hAnsi="Times New Roman" w:cs="Times New Roman"/>
          <w:sz w:val="24"/>
          <w:lang w:eastAsia="zh-CN"/>
        </w:rPr>
        <w:t>鄂尔多斯文化产业园</w:t>
      </w:r>
      <w:r>
        <w:rPr>
          <w:rFonts w:hint="eastAsia" w:ascii="Times New Roman" w:hAnsi="Times New Roman" w:cs="Times New Roman"/>
          <w:sz w:val="24"/>
        </w:rPr>
        <w:t>打造一批水上、陆上娱乐项目；采取石刻、标牌标识（动植物的种类）、博物馆、学习基地等方式，丰富科普宣教说明，进一步强化湿地范围内的科普宣教功能，并通过提高湿地公园的可游性，增强湿地公园的体验性，延长游客停留时间。</w:t>
      </w:r>
    </w:p>
    <w:p>
      <w:pPr>
        <w:pStyle w:val="3"/>
        <w:ind w:firstLine="560" w:firstLineChars="200"/>
        <w:rPr>
          <w:rFonts w:ascii="Times New Roman" w:hAnsi="Times New Roman" w:cs="Times New Roman"/>
          <w14:textFill>
            <w14:gradFill>
              <w14:gsLst>
                <w14:gs w14:pos="0">
                  <w14:srgbClr w14:val="FE4444"/>
                </w14:gs>
                <w14:gs w14:pos="100000">
                  <w14:srgbClr w14:val="832B2B"/>
                </w14:gs>
              </w14:gsLst>
              <w14:lin w14:ang="0" w14:scaled="0"/>
            </w14:gradFill>
          </w14:textFill>
        </w:rPr>
      </w:pPr>
      <w:bookmarkStart w:id="400" w:name="_Toc18892"/>
      <w:bookmarkStart w:id="401" w:name="_Toc16284"/>
      <w:bookmarkStart w:id="402" w:name="_Toc419"/>
      <w:bookmarkStart w:id="403" w:name="_Toc5742"/>
      <w:bookmarkStart w:id="404" w:name="_Toc30660"/>
      <w:bookmarkStart w:id="405" w:name="_Toc31285"/>
      <w:bookmarkStart w:id="406" w:name="_Toc25133"/>
      <w:r>
        <w:rPr>
          <w:rFonts w:hint="eastAsia" w:ascii="Times New Roman" w:hAnsi="Times New Roman" w:cs="Times New Roman"/>
        </w:rPr>
        <w:t>五、建设</w:t>
      </w:r>
      <w:r>
        <w:rPr>
          <w:rFonts w:hint="eastAsia" w:ascii="Times New Roman" w:hAnsi="Times New Roman" w:cs="Times New Roman"/>
          <w:lang w:eastAsia="zh-CN"/>
        </w:rPr>
        <w:t>五</w:t>
      </w:r>
      <w:r>
        <w:rPr>
          <w:rFonts w:hint="eastAsia" w:ascii="Times New Roman" w:hAnsi="Times New Roman" w:cs="Times New Roman"/>
        </w:rPr>
        <w:t>大创新文旅项目</w:t>
      </w:r>
      <w:bookmarkEnd w:id="400"/>
      <w:bookmarkEnd w:id="401"/>
      <w:bookmarkEnd w:id="402"/>
      <w:bookmarkEnd w:id="403"/>
      <w:bookmarkEnd w:id="404"/>
      <w:bookmarkEnd w:id="405"/>
      <w:bookmarkEnd w:id="406"/>
    </w:p>
    <w:p>
      <w:pPr>
        <w:pStyle w:val="4"/>
        <w:ind w:firstLine="480"/>
        <w:rPr>
          <w:rFonts w:ascii="Times New Roman" w:hAnsi="Times New Roman" w:cs="Times New Roman"/>
        </w:rPr>
      </w:pPr>
      <w:bookmarkStart w:id="407" w:name="_Toc29524"/>
      <w:bookmarkStart w:id="408" w:name="_Toc11335"/>
      <w:bookmarkStart w:id="409" w:name="_Toc8401"/>
      <w:bookmarkStart w:id="410" w:name="_Toc20070"/>
      <w:bookmarkStart w:id="411" w:name="_Toc252"/>
      <w:bookmarkStart w:id="412" w:name="_Toc15108"/>
      <w:r>
        <w:rPr>
          <w:rFonts w:hint="eastAsia" w:ascii="Times New Roman" w:hAnsi="Times New Roman" w:cs="Times New Roman"/>
        </w:rPr>
        <w:t>（</w:t>
      </w:r>
      <w:r>
        <w:rPr>
          <w:rFonts w:hint="eastAsia" w:ascii="Times New Roman" w:hAnsi="Times New Roman" w:cs="Times New Roman"/>
          <w:lang w:eastAsia="zh-CN"/>
        </w:rPr>
        <w:t>一</w:t>
      </w:r>
      <w:r>
        <w:rPr>
          <w:rFonts w:hint="eastAsia" w:ascii="Times New Roman" w:hAnsi="Times New Roman" w:cs="Times New Roman"/>
        </w:rPr>
        <w:t>）国家级休闲度假小镇</w:t>
      </w:r>
      <w:bookmarkEnd w:id="407"/>
      <w:bookmarkEnd w:id="408"/>
      <w:bookmarkEnd w:id="409"/>
      <w:bookmarkEnd w:id="410"/>
      <w:bookmarkEnd w:id="411"/>
      <w:bookmarkEnd w:id="412"/>
      <w:bookmarkStart w:id="413" w:name="_Toc15095"/>
    </w:p>
    <w:p>
      <w:pPr>
        <w:pStyle w:val="9"/>
        <w:spacing w:line="360" w:lineRule="auto"/>
        <w:ind w:firstLine="482" w:firstLineChars="200"/>
        <w:jc w:val="left"/>
        <w:rPr>
          <w:rFonts w:ascii="Times New Roman" w:hAnsi="Times New Roman" w:cs="Times New Roman"/>
          <w:b/>
          <w:bCs/>
          <w:sz w:val="24"/>
        </w:rPr>
      </w:pPr>
      <w:r>
        <w:rPr>
          <w:rFonts w:hint="eastAsia" w:ascii="Times New Roman" w:hAnsi="Times New Roman" w:cs="Times New Roman"/>
          <w:b/>
          <w:bCs/>
          <w:sz w:val="24"/>
        </w:rPr>
        <w:t>1.发展思路</w:t>
      </w:r>
      <w:bookmarkEnd w:id="413"/>
    </w:p>
    <w:p>
      <w:pPr>
        <w:pStyle w:val="9"/>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依托阿镇乌兰木伦河景色、类型多样的广场、公园以及良好的气候条件和便利的交通，整合提升现有的文化自然资源、城市休闲设施、旅游公共服务设施，以创建“国家级休闲度假小镇”和建设鄂尔多斯旅游集散中心为抓手，形成伊金霍洛旗及周边区域休闲度假中心。</w:t>
      </w:r>
      <w:bookmarkStart w:id="414" w:name="_Toc16896"/>
    </w:p>
    <w:p>
      <w:pPr>
        <w:pStyle w:val="9"/>
        <w:spacing w:line="360" w:lineRule="auto"/>
        <w:ind w:firstLine="482" w:firstLineChars="200"/>
        <w:jc w:val="left"/>
        <w:rPr>
          <w:rFonts w:ascii="Times New Roman" w:hAnsi="Times New Roman" w:eastAsia="宋体" w:cs="宋体"/>
          <w:b/>
          <w:bCs/>
          <w:sz w:val="24"/>
        </w:rPr>
      </w:pPr>
      <w:r>
        <w:rPr>
          <w:rFonts w:hint="eastAsia" w:ascii="Times New Roman" w:hAnsi="Times New Roman" w:eastAsia="宋体" w:cs="宋体"/>
          <w:b/>
          <w:bCs/>
          <w:sz w:val="24"/>
        </w:rPr>
        <w:t>2.发展重点</w:t>
      </w:r>
      <w:bookmarkEnd w:id="414"/>
    </w:p>
    <w:p>
      <w:pPr>
        <w:pStyle w:val="9"/>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（1）明确阿镇主题形象定位，以“休闲度假小镇”为形象，积极推动和创新营销工作。</w:t>
      </w:r>
    </w:p>
    <w:p>
      <w:pPr>
        <w:pStyle w:val="9"/>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（2）提升阿镇整体环境品质。实施区域旅游环境品质大提升行动，应用智慧旅游技术，提高综合服务水平，抓好景区景点、城市居民秩序和环境卫生整治。</w:t>
      </w:r>
    </w:p>
    <w:p>
      <w:pPr>
        <w:pStyle w:val="9"/>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3）新建旅游度假综合体。阿镇现有景区周边及城市内均缺乏体系完善的旅游度假综合。拟建以乌兰木伦河和水岸新城为依托，协调建设风貌，挖掘地区文化内涵，塑造街区特色景观，打造具有阿镇地方文化特色的城市景观，整合周边广场、公园，将河周边打造成一个集休闲养生、观光、旅游、度假、购物，为一体的国际文化旅游综合体。</w:t>
      </w:r>
    </w:p>
    <w:p>
      <w:pPr>
        <w:pStyle w:val="9"/>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（4）新建特色商业街区、步行街区。通过科学选择建成一批特色商业街区、美食街区、休闲街区等；鼓励发展夜经济，完善休闲度假配套设施设备，延长游客停留时间。</w:t>
      </w:r>
    </w:p>
    <w:p>
      <w:pPr>
        <w:pStyle w:val="9"/>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5）丰富娱乐购物业态。充分挖掘民族文化和本土历史文化资源内涵，形成一批以乌兰牧骑为代表的演艺团队，打造特色演出；深度开发特色旅游纪念品、工艺品、消费品、当季农产品等，进一步完善旅游消费体系。</w:t>
      </w:r>
    </w:p>
    <w:p>
      <w:pPr>
        <w:pStyle w:val="9"/>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6）形成多层次的住宿接待体系。商务酒店、特色民宿、自驾营地等住宿设施不完善，多层次的住宿接待体系还未形成，具有鲜明文化特色的主题度假酒店、具有环保低碳意义的特色住宿接待设施、舒适型住宿接待设施和家庭型住宿接待设施等所占比例均不高。</w:t>
      </w:r>
    </w:p>
    <w:p>
      <w:pPr>
        <w:pStyle w:val="9"/>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（7）完善多种类的交通出行系统。区内大交通设施已经</w:t>
      </w:r>
      <w:r>
        <w:rPr>
          <w:rFonts w:hint="eastAsia" w:ascii="Times New Roman" w:hAnsi="Times New Roman" w:cs="Times New Roman"/>
          <w:sz w:val="24"/>
          <w:lang w:eastAsia="zh-CN"/>
        </w:rPr>
        <w:t>建设得较为</w:t>
      </w:r>
      <w:r>
        <w:rPr>
          <w:rFonts w:hint="eastAsia" w:ascii="Times New Roman" w:hAnsi="Times New Roman" w:cs="Times New Roman"/>
          <w:sz w:val="24"/>
        </w:rPr>
        <w:t>齐备，但是区域内的特色交通、慢行系统、旅游专线等建设相对滞后。</w:t>
      </w:r>
    </w:p>
    <w:p>
      <w:pPr>
        <w:pStyle w:val="4"/>
        <w:ind w:firstLine="480"/>
        <w:rPr>
          <w:rFonts w:ascii="Times New Roman" w:hAnsi="Times New Roman" w:cs="Times New Roman"/>
        </w:rPr>
      </w:pPr>
      <w:bookmarkStart w:id="415" w:name="_Toc16809"/>
      <w:bookmarkStart w:id="416" w:name="_Toc13712"/>
      <w:bookmarkStart w:id="417" w:name="_Toc20142"/>
      <w:bookmarkStart w:id="418" w:name="_Toc3718"/>
      <w:bookmarkStart w:id="419" w:name="_Toc10772"/>
      <w:bookmarkStart w:id="420" w:name="_Toc18223"/>
      <w:r>
        <w:rPr>
          <w:rFonts w:hint="eastAsia" w:ascii="Times New Roman" w:hAnsi="Times New Roman" w:cs="Times New Roman"/>
        </w:rPr>
        <w:t>（</w:t>
      </w:r>
      <w:r>
        <w:rPr>
          <w:rFonts w:hint="eastAsia" w:ascii="Times New Roman" w:hAnsi="Times New Roman" w:cs="Times New Roman"/>
          <w:lang w:eastAsia="zh-CN"/>
        </w:rPr>
        <w:t>二</w:t>
      </w:r>
      <w:r>
        <w:rPr>
          <w:rFonts w:hint="eastAsia" w:ascii="Times New Roman" w:hAnsi="Times New Roman" w:cs="Times New Roman"/>
        </w:rPr>
        <w:t>）苏布尔嘎非遗嘎查</w:t>
      </w:r>
      <w:bookmarkEnd w:id="415"/>
      <w:bookmarkEnd w:id="416"/>
      <w:bookmarkEnd w:id="417"/>
      <w:bookmarkEnd w:id="418"/>
      <w:bookmarkEnd w:id="419"/>
      <w:bookmarkEnd w:id="420"/>
      <w:bookmarkStart w:id="421" w:name="_Toc10576"/>
    </w:p>
    <w:p>
      <w:pPr>
        <w:pStyle w:val="9"/>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1.项目地简介</w:t>
      </w:r>
      <w:bookmarkEnd w:id="421"/>
    </w:p>
    <w:p>
      <w:pPr>
        <w:pStyle w:val="9"/>
        <w:spacing w:line="360" w:lineRule="auto"/>
        <w:ind w:firstLine="480" w:firstLineChars="200"/>
        <w:rPr>
          <w:rFonts w:ascii="Times New Roman" w:hAnsi="Times New Roman" w:eastAsia="宋体" w:cs="宋体"/>
          <w:bCs/>
          <w:sz w:val="24"/>
        </w:rPr>
      </w:pPr>
      <w:r>
        <w:rPr>
          <w:rFonts w:hint="eastAsia" w:ascii="Times New Roman" w:hAnsi="Times New Roman" w:cs="Times New Roman"/>
          <w:bCs/>
          <w:sz w:val="24"/>
        </w:rPr>
        <w:t>苏布尔嘎镇苏布尔嘎嘎查为非遗嘎查项目建设所在地，总面积153.3平方公里，辖8个社，常住户171户337人，有牧家乐25户。苏布尔嘎嘎查非遗项目种类繁多、各具特色，非遗项目种类包含鄂尔多斯婚礼、蒙古包制作技艺、鄂尔多斯马文化、哈日苏力德祭祀、包格希塔尔、蒙古族服饰、蒙古象棋、剪纸、奶酒、长调、祭火、蒙古族刺绣等。此外，当地文化旅游资源丰富，有</w:t>
      </w:r>
      <w:r>
        <w:rPr>
          <w:rFonts w:hint="eastAsia" w:ascii="Times New Roman" w:hAnsi="Times New Roman" w:cs="Times New Roman"/>
          <w:bCs/>
          <w:sz w:val="24"/>
          <w:lang w:eastAsia="zh-CN"/>
        </w:rPr>
        <w:t>国家4A级旅游景区</w:t>
      </w:r>
      <w:r>
        <w:rPr>
          <w:rFonts w:hint="eastAsia" w:ascii="Times New Roman" w:hAnsi="Times New Roman" w:cs="Times New Roman"/>
          <w:bCs/>
          <w:sz w:val="24"/>
        </w:rPr>
        <w:t>苏泊罕大草原、神海子、白塔景区、马道、赛马场等旅游资源。非遗嘎查建设利用嘎查现有的基础设施建设，把握原始建筑特点，博采众长，取长补短，充分体现乡村传统内涵和草原风情特点。打造一个以非物质文化和蒙古族文化为内核，融商业、文化、休闲度假、生态游憩于一体的“非遗嘎查”，包含游客服务</w:t>
      </w:r>
      <w:r>
        <w:rPr>
          <w:rFonts w:hint="eastAsia" w:ascii="Times New Roman" w:hAnsi="Times New Roman" w:eastAsia="宋体" w:cs="宋体"/>
          <w:bCs/>
          <w:sz w:val="24"/>
        </w:rPr>
        <w:t>中心、村史馆、非遗展览馆、非遗传习所等。</w:t>
      </w:r>
      <w:bookmarkStart w:id="422" w:name="_Toc4004"/>
    </w:p>
    <w:p>
      <w:pPr>
        <w:pStyle w:val="9"/>
        <w:spacing w:line="360" w:lineRule="auto"/>
        <w:ind w:firstLine="482" w:firstLineChars="200"/>
        <w:rPr>
          <w:rFonts w:ascii="Times New Roman" w:hAnsi="Times New Roman" w:eastAsia="宋体" w:cs="宋体"/>
          <w:b/>
          <w:sz w:val="24"/>
        </w:rPr>
      </w:pPr>
      <w:r>
        <w:rPr>
          <w:rFonts w:hint="eastAsia" w:ascii="Times New Roman" w:hAnsi="Times New Roman" w:eastAsia="宋体" w:cs="宋体"/>
          <w:b/>
          <w:sz w:val="24"/>
        </w:rPr>
        <w:t>2.完善基础设施建设</w:t>
      </w:r>
      <w:bookmarkEnd w:id="422"/>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利用嘎查现有的5000平方米土地，建设一个游客接待中心、一个展览馆和一个</w:t>
      </w:r>
      <w:r>
        <w:rPr>
          <w:rFonts w:hint="eastAsia" w:ascii="Times New Roman" w:hAnsi="Times New Roman" w:cs="Times New Roman"/>
          <w:bCs/>
          <w:sz w:val="24"/>
          <w:lang w:eastAsia="zh-CN"/>
        </w:rPr>
        <w:t>规模以上</w:t>
      </w:r>
      <w:r>
        <w:rPr>
          <w:rFonts w:hint="eastAsia" w:ascii="Times New Roman" w:hAnsi="Times New Roman" w:cs="Times New Roman"/>
          <w:bCs/>
          <w:sz w:val="24"/>
        </w:rPr>
        <w:t>非遗传习所，并完善苏布尔嘎嘎查旅游服务设施（交通、厕所、农牧家乐等）和整治乡村整体环境。</w:t>
      </w:r>
      <w:bookmarkStart w:id="423" w:name="_Toc20798"/>
    </w:p>
    <w:p>
      <w:pPr>
        <w:pStyle w:val="9"/>
        <w:spacing w:line="360" w:lineRule="auto"/>
        <w:ind w:firstLine="482" w:firstLineChars="200"/>
        <w:rPr>
          <w:rFonts w:ascii="Times New Roman" w:hAnsi="Times New Roman" w:eastAsia="宋体" w:cs="宋体"/>
          <w:b/>
          <w:sz w:val="24"/>
        </w:rPr>
      </w:pPr>
      <w:r>
        <w:rPr>
          <w:rFonts w:hint="eastAsia" w:ascii="Times New Roman" w:hAnsi="Times New Roman" w:eastAsia="宋体" w:cs="宋体"/>
          <w:b/>
          <w:sz w:val="24"/>
        </w:rPr>
        <w:t>3.打造一批非遗牧家乐</w:t>
      </w:r>
      <w:bookmarkEnd w:id="423"/>
    </w:p>
    <w:p>
      <w:pPr>
        <w:pStyle w:val="9"/>
        <w:spacing w:line="360" w:lineRule="auto"/>
        <w:ind w:firstLine="480" w:firstLineChars="200"/>
        <w:rPr>
          <w:rFonts w:ascii="Times New Roman" w:hAnsi="Times New Roman" w:eastAsia="宋体" w:cs="宋体"/>
          <w:bCs/>
          <w:sz w:val="24"/>
        </w:rPr>
      </w:pPr>
      <w:r>
        <w:rPr>
          <w:rFonts w:hint="eastAsia" w:ascii="Times New Roman" w:hAnsi="Times New Roman" w:cs="Times New Roman"/>
          <w:bCs/>
          <w:sz w:val="24"/>
        </w:rPr>
        <w:t>对部分有基础的牧户进行合理规划设计，实现非遗手工坊、非遗美食户、非遗展演户、实景民俗体验户、非遗研学基地、非遗学术交流基地等，并串联成一条体验非遗、欣赏非遗、传承非遗，感受北方地广人稀、天蓝气清的乡村文化旅</w:t>
      </w:r>
      <w:r>
        <w:rPr>
          <w:rFonts w:hint="eastAsia" w:ascii="Times New Roman" w:hAnsi="Times New Roman" w:eastAsia="宋体" w:cs="宋体"/>
          <w:bCs/>
          <w:sz w:val="24"/>
        </w:rPr>
        <w:t>游基本路线。</w:t>
      </w:r>
      <w:bookmarkStart w:id="424" w:name="_Toc2397"/>
    </w:p>
    <w:p>
      <w:pPr>
        <w:pStyle w:val="9"/>
        <w:spacing w:line="360" w:lineRule="auto"/>
        <w:ind w:firstLine="482" w:firstLineChars="200"/>
        <w:rPr>
          <w:rFonts w:ascii="Times New Roman" w:hAnsi="Times New Roman" w:eastAsia="宋体" w:cs="宋体"/>
          <w:b/>
          <w:sz w:val="24"/>
        </w:rPr>
      </w:pPr>
      <w:r>
        <w:rPr>
          <w:rFonts w:hint="eastAsia" w:ascii="Times New Roman" w:hAnsi="Times New Roman" w:eastAsia="宋体" w:cs="宋体"/>
          <w:b/>
          <w:sz w:val="24"/>
        </w:rPr>
        <w:t>4.引进外来非遗户</w:t>
      </w:r>
      <w:bookmarkEnd w:id="424"/>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截至目前，伊金霍洛旗已公布的各级各类非遗代表性项目共35项。其中国家级2项，自治区级4项，市级15项，旗级</w:t>
      </w:r>
      <w:r>
        <w:rPr>
          <w:rFonts w:hint="eastAsia" w:ascii="Times New Roman" w:hAnsi="Times New Roman" w:cs="Times New Roman"/>
          <w:bCs/>
          <w:sz w:val="24"/>
          <w:lang w:val="en-US" w:eastAsia="zh-CN"/>
        </w:rPr>
        <w:t>34</w:t>
      </w:r>
      <w:r>
        <w:rPr>
          <w:rFonts w:hint="eastAsia" w:ascii="Times New Roman" w:hAnsi="Times New Roman" w:cs="Times New Roman"/>
          <w:bCs/>
          <w:sz w:val="24"/>
        </w:rPr>
        <w:t>项。在项目的建设过程中，引进周边及外来非遗户入驻非遗嘎查，在丰富本地区非遗资源的同时带动周边地区非遗发展和人员就业，另一方面力求将非遗嘎查打造成为一个集世界级、国家级、自治区级以及盟市、旗县有代表性的非遗项目展示为主的非遗文化的活态展示平台。</w:t>
      </w:r>
      <w:bookmarkStart w:id="425" w:name="_Toc28745"/>
      <w:bookmarkStart w:id="426" w:name="_Toc3192"/>
      <w:bookmarkStart w:id="427" w:name="_Toc1091"/>
      <w:bookmarkStart w:id="428" w:name="_Toc5516"/>
      <w:bookmarkStart w:id="429" w:name="_Toc6702"/>
    </w:p>
    <w:p>
      <w:pPr>
        <w:pStyle w:val="4"/>
        <w:ind w:firstLine="480"/>
        <w:rPr>
          <w:rFonts w:ascii="Times New Roman" w:hAnsi="Times New Roman" w:cs="Times New Roman"/>
        </w:rPr>
      </w:pPr>
      <w:bookmarkStart w:id="430" w:name="_Toc30546"/>
      <w:r>
        <w:rPr>
          <w:rFonts w:hint="eastAsia" w:ascii="Times New Roman" w:hAnsi="Times New Roman" w:cs="Times New Roman"/>
        </w:rPr>
        <w:t>（</w:t>
      </w:r>
      <w:r>
        <w:rPr>
          <w:rFonts w:hint="eastAsia" w:ascii="Times New Roman" w:hAnsi="Times New Roman" w:cs="Times New Roman"/>
          <w:lang w:eastAsia="zh-CN"/>
        </w:rPr>
        <w:t>三</w:t>
      </w:r>
      <w:r>
        <w:rPr>
          <w:rFonts w:hint="eastAsia" w:ascii="Times New Roman" w:hAnsi="Times New Roman" w:cs="Times New Roman"/>
        </w:rPr>
        <w:t>）伊金霍洛旗博物馆</w:t>
      </w:r>
      <w:bookmarkEnd w:id="425"/>
      <w:bookmarkEnd w:id="426"/>
      <w:bookmarkEnd w:id="427"/>
      <w:bookmarkEnd w:id="428"/>
      <w:bookmarkEnd w:id="429"/>
      <w:bookmarkEnd w:id="430"/>
      <w:bookmarkStart w:id="431" w:name="_Toc27743"/>
    </w:p>
    <w:p>
      <w:pPr>
        <w:pStyle w:val="9"/>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1.博物馆建设</w:t>
      </w:r>
      <w:bookmarkEnd w:id="431"/>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伊金霍洛旗博物馆历史文化遗产和非物质文化遗产丰富、文化价值较高，但是缺乏系统、</w:t>
      </w:r>
      <w:r>
        <w:rPr>
          <w:rFonts w:hint="eastAsia" w:ascii="Times New Roman" w:hAnsi="Times New Roman" w:cs="Times New Roman"/>
          <w:bCs/>
          <w:sz w:val="24"/>
          <w:lang w:eastAsia="zh-CN"/>
        </w:rPr>
        <w:t>完整地保护</w:t>
      </w:r>
      <w:r>
        <w:rPr>
          <w:rFonts w:hint="eastAsia" w:ascii="Times New Roman" w:hAnsi="Times New Roman" w:cs="Times New Roman"/>
          <w:bCs/>
          <w:sz w:val="24"/>
        </w:rPr>
        <w:t>和传承体系和措施，因此，新建伊金霍洛旗博物馆对历史文化遗产进行保护，并且可以进一步丰富居民和游客的文化生活。博物馆总面积为2万㎡，共三层。一层：服务区、办公区、 文物库房、文创产品；二层：通史展、革命文物展；三层：蒙古族草原文化展、临展，并参照《博物馆建筑设计规范》JGJ66-2015进行建筑设计、藏品保存、采光照明、结构设备等方面建设。</w:t>
      </w:r>
      <w:bookmarkStart w:id="432" w:name="_Toc5964"/>
    </w:p>
    <w:p>
      <w:pPr>
        <w:pStyle w:val="9"/>
        <w:spacing w:line="360" w:lineRule="auto"/>
        <w:ind w:firstLine="482" w:firstLineChars="200"/>
        <w:rPr>
          <w:rFonts w:ascii="Times New Roman" w:hAnsi="Times New Roman" w:eastAsia="宋体" w:cs="宋体"/>
          <w:b/>
          <w:bCs/>
          <w:sz w:val="24"/>
        </w:rPr>
      </w:pPr>
      <w:r>
        <w:rPr>
          <w:rFonts w:hint="eastAsia" w:ascii="Times New Roman" w:hAnsi="Times New Roman" w:eastAsia="宋体" w:cs="宋体"/>
          <w:b/>
          <w:bCs/>
          <w:sz w:val="24"/>
        </w:rPr>
        <w:t>2.博物馆管理模式</w:t>
      </w:r>
      <w:bookmarkEnd w:id="432"/>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转变传统的博物馆管理模式，博物馆不能坐等观众，要主动深入关注，实现办馆模式由传统封闭型向现代开放型转变；注重培养观众，加大宣传力度，提高博物馆的知名度，让更多的观众走进博物馆。</w:t>
      </w:r>
      <w:bookmarkStart w:id="433" w:name="_Toc25523"/>
    </w:p>
    <w:p>
      <w:pPr>
        <w:pStyle w:val="9"/>
        <w:spacing w:line="360" w:lineRule="auto"/>
        <w:ind w:firstLine="482" w:firstLineChars="200"/>
        <w:rPr>
          <w:rFonts w:ascii="Times New Roman" w:hAnsi="Times New Roman" w:eastAsia="宋体" w:cs="宋体"/>
          <w:b/>
          <w:sz w:val="24"/>
        </w:rPr>
      </w:pPr>
      <w:r>
        <w:rPr>
          <w:rFonts w:hint="eastAsia" w:ascii="Times New Roman" w:hAnsi="Times New Roman" w:eastAsia="宋体" w:cs="宋体"/>
          <w:b/>
          <w:sz w:val="24"/>
        </w:rPr>
        <w:t>3.博物馆旅游项目开发</w:t>
      </w:r>
      <w:bookmarkEnd w:id="433"/>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通过有效的发掘、整合文物资源，</w:t>
      </w:r>
      <w:r>
        <w:rPr>
          <w:rFonts w:hint="eastAsia" w:ascii="Times New Roman" w:hAnsi="Times New Roman" w:cs="Times New Roman"/>
          <w:bCs/>
          <w:sz w:val="24"/>
          <w:lang w:eastAsia="zh-CN"/>
        </w:rPr>
        <w:t>作出</w:t>
      </w:r>
      <w:r>
        <w:rPr>
          <w:rFonts w:hint="eastAsia" w:ascii="Times New Roman" w:hAnsi="Times New Roman" w:cs="Times New Roman"/>
          <w:bCs/>
          <w:sz w:val="24"/>
        </w:rPr>
        <w:t>一批各具特色的文物项目；围绕文化旅游产业的发展，合理配置文物资源，形成精品陈列或特色展览，体现“一馆一品”、“一（旗）县一特色”；通过高科技的加入实现文物“活化”，提高观众的参与性和体验性；开发一系列具有伊金霍洛旗博物馆文化特色的多档次的旅游纪念品；围绕特色历史文物打造科普研学基地。</w:t>
      </w:r>
    </w:p>
    <w:p>
      <w:pPr>
        <w:pStyle w:val="4"/>
        <w:ind w:firstLine="480"/>
        <w:rPr>
          <w:rFonts w:ascii="Times New Roman" w:hAnsi="Times New Roman" w:cs="Times New Roman"/>
        </w:rPr>
      </w:pPr>
      <w:bookmarkStart w:id="434" w:name="_Toc16869"/>
      <w:bookmarkStart w:id="435" w:name="_Toc31411"/>
      <w:bookmarkStart w:id="436" w:name="_Toc16576"/>
      <w:bookmarkStart w:id="437" w:name="_Toc29009"/>
      <w:bookmarkStart w:id="438" w:name="_Toc5376"/>
      <w:bookmarkStart w:id="439" w:name="_Toc19054"/>
      <w:r>
        <w:rPr>
          <w:rFonts w:hint="eastAsia" w:ascii="Times New Roman" w:hAnsi="Times New Roman" w:cs="Times New Roman"/>
        </w:rPr>
        <w:t>（</w:t>
      </w:r>
      <w:r>
        <w:rPr>
          <w:rFonts w:hint="eastAsia" w:ascii="Times New Roman" w:hAnsi="Times New Roman" w:cs="Times New Roman"/>
          <w:lang w:eastAsia="zh-CN"/>
        </w:rPr>
        <w:t>四</w:t>
      </w:r>
      <w:r>
        <w:rPr>
          <w:rFonts w:hint="eastAsia" w:ascii="Times New Roman" w:hAnsi="Times New Roman" w:cs="Times New Roman"/>
        </w:rPr>
        <w:t>）特色实景演出</w:t>
      </w:r>
      <w:bookmarkEnd w:id="434"/>
      <w:bookmarkEnd w:id="435"/>
      <w:bookmarkEnd w:id="436"/>
      <w:bookmarkEnd w:id="437"/>
      <w:bookmarkEnd w:id="438"/>
      <w:bookmarkEnd w:id="439"/>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以自然风光景观为舞台，将伊金霍洛旗独特的成吉思汗文化、草原文化、民族文化、走西口文化和各种传说故事等融入舞台表演并巧妙地与舞台灯光、舞台机械、投影技术等融为一体，以虚实结合的手法，通过真实的自然视觉元素将抽象、象征隐喻、虚报等艺术表现手法具象化地呈现出来，使观众在整个舞台演出中产生想象、回忆、联想，进而达到与观众产生情感共鸣的艺术境界，最终反映出舞台演出背后深刻的文化内涵。</w:t>
      </w:r>
    </w:p>
    <w:p>
      <w:pPr>
        <w:pStyle w:val="9"/>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1.真山真水</w:t>
      </w:r>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真山真水是否奇特美丽，是实景演出成功的基本条件。实景本身的美感是不可移动、不可替代的，这也就成为演出难以复制的核心竞争力。伊金霍洛旗草原风景壮美，是打造实景演出的重要舞台，贴近自然的真山真水实景舞台往往比室内舞台更能打动人心。</w:t>
      </w:r>
    </w:p>
    <w:p>
      <w:pPr>
        <w:pStyle w:val="5"/>
        <w:ind w:firstLine="482"/>
        <w:rPr>
          <w:rFonts w:ascii="Times New Roman" w:hAnsi="Times New Roman" w:cs="Times New Roman" w:eastAsiaTheme="minorEastAsia"/>
        </w:rPr>
      </w:pPr>
      <w:bookmarkStart w:id="440" w:name="_Toc12428"/>
      <w:r>
        <w:rPr>
          <w:rFonts w:hint="eastAsia" w:ascii="Times New Roman" w:hAnsi="Times New Roman" w:cs="Times New Roman" w:eastAsiaTheme="minorEastAsia"/>
        </w:rPr>
        <w:t>2.突出伊金霍洛旗特色</w:t>
      </w:r>
      <w:bookmarkEnd w:id="440"/>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打造伊金霍洛旗特色实景演出要注重对伊金霍洛旗中的成吉思汗文化、草原文化、民族文化、走西口文化等的深度挖掘，突出伊金霍洛旗文化特色，演员以当地人为主，坚持“此山、此水、此人”的天人合一的原则。</w:t>
      </w:r>
    </w:p>
    <w:p>
      <w:pPr>
        <w:pStyle w:val="5"/>
        <w:ind w:firstLine="482"/>
        <w:rPr>
          <w:rFonts w:ascii="Times New Roman" w:hAnsi="Times New Roman" w:cs="Times New Roman" w:eastAsiaTheme="minorEastAsia"/>
        </w:rPr>
      </w:pPr>
      <w:bookmarkStart w:id="441" w:name="_Toc16923"/>
      <w:r>
        <w:rPr>
          <w:rFonts w:hint="eastAsia" w:ascii="Times New Roman" w:hAnsi="Times New Roman" w:cs="Times New Roman" w:eastAsiaTheme="minorEastAsia"/>
        </w:rPr>
        <w:t>3.运用高科技</w:t>
      </w:r>
      <w:bookmarkEnd w:id="441"/>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结合现代的声、光、电等高科技手段，形成绚丽的舞台效果，以强烈的视觉、听觉冲击带给游客震撼的感官体验，同时利用高科技将地方的山水、风光、文化，甚至气场完全融到一起，让舞台表演成为自然的一部分，打造高品质的实景演出。</w:t>
      </w:r>
    </w:p>
    <w:p>
      <w:pPr>
        <w:pStyle w:val="5"/>
        <w:ind w:firstLine="482"/>
        <w:rPr>
          <w:rFonts w:ascii="Times New Roman" w:hAnsi="Times New Roman" w:cs="Times New Roman" w:eastAsiaTheme="minorEastAsia"/>
        </w:rPr>
      </w:pPr>
      <w:bookmarkStart w:id="442" w:name="_Toc14456"/>
      <w:r>
        <w:rPr>
          <w:rFonts w:hint="eastAsia" w:ascii="Times New Roman" w:hAnsi="Times New Roman" w:cs="Times New Roman" w:eastAsiaTheme="minorEastAsia"/>
        </w:rPr>
        <w:t>4.完善配套设施</w:t>
      </w:r>
      <w:bookmarkEnd w:id="442"/>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完备的旅游基础设施条件的配合是实景演出长远发展的条件之一，如交通、餐饮、住宿等，因此，通过完善相关旅游配套设施，助力实景演出全面发展。</w:t>
      </w:r>
    </w:p>
    <w:p>
      <w:pPr>
        <w:pStyle w:val="4"/>
        <w:ind w:firstLine="480"/>
        <w:rPr>
          <w:rFonts w:ascii="Times New Roman" w:hAnsi="Times New Roman" w:cs="Times New Roman"/>
        </w:rPr>
      </w:pPr>
      <w:bookmarkStart w:id="443" w:name="_Toc431"/>
      <w:r>
        <w:rPr>
          <w:rFonts w:hint="eastAsia" w:ascii="Times New Roman" w:hAnsi="Times New Roman" w:cs="Times New Roman"/>
        </w:rPr>
        <w:t>（</w:t>
      </w:r>
      <w:r>
        <w:rPr>
          <w:rFonts w:hint="eastAsia" w:ascii="Times New Roman" w:hAnsi="Times New Roman" w:cs="Times New Roman"/>
          <w:lang w:eastAsia="zh-CN"/>
        </w:rPr>
        <w:t>五</w:t>
      </w:r>
      <w:r>
        <w:rPr>
          <w:rFonts w:hint="eastAsia" w:ascii="Times New Roman" w:hAnsi="Times New Roman" w:cs="Times New Roman"/>
        </w:rPr>
        <w:t>）康养旅游项目</w:t>
      </w:r>
      <w:bookmarkEnd w:id="443"/>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近年来，在快速城市化和现代性压力下，城市居民对于健康与养生的需求迅速崛起，而新冠疫情的爆发，更是唤醒了国民的健康意识，大健康是未来趋势，人们将更加注重身体和心理健康。对旅游的诉求，从走马观花的“景观赏析”，到休闲游憩的“短期度假”，逐渐向慢病疗愈的“康养度假”侧重。</w:t>
      </w:r>
    </w:p>
    <w:p>
      <w:pPr>
        <w:pStyle w:val="9"/>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1.发展思路</w:t>
      </w:r>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以内蒙古自治区健康促进旗为依托，积极打造医疗康养旅游区，全面发展以休闲度假、康体养生、医疗保健为主体的健康旅游产业。</w:t>
      </w:r>
    </w:p>
    <w:p>
      <w:pPr>
        <w:pStyle w:val="5"/>
        <w:ind w:firstLine="482"/>
        <w:rPr>
          <w:rFonts w:ascii="Times New Roman" w:hAnsi="Times New Roman" w:cs="Times New Roman" w:eastAsiaTheme="minorEastAsia"/>
        </w:rPr>
      </w:pPr>
      <w:r>
        <w:rPr>
          <w:rFonts w:hint="eastAsia" w:ascii="Times New Roman" w:hAnsi="Times New Roman" w:cs="Times New Roman" w:eastAsiaTheme="minorEastAsia"/>
        </w:rPr>
        <w:t>2.发展重点</w:t>
      </w:r>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sz w:val="24"/>
        </w:rPr>
        <w:t>（1）建设康养旅游服务中心。</w:t>
      </w:r>
      <w:r>
        <w:rPr>
          <w:rFonts w:hint="eastAsia" w:ascii="Times New Roman" w:hAnsi="Times New Roman" w:cs="Times New Roman"/>
          <w:bCs/>
          <w:sz w:val="24"/>
        </w:rPr>
        <w:t>依托阿镇的建设，整合周边优势资源，培育伊金霍洛旗康养旅游服务中心，为全旗康养产业提供示范和综合性服务。</w:t>
      </w:r>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sz w:val="24"/>
        </w:rPr>
        <w:t>（2）布局康养产业项目。</w:t>
      </w:r>
      <w:r>
        <w:rPr>
          <w:rFonts w:hint="eastAsia" w:ascii="Times New Roman" w:hAnsi="Times New Roman" w:cs="Times New Roman"/>
          <w:bCs/>
          <w:sz w:val="24"/>
        </w:rPr>
        <w:t>充分利用</w:t>
      </w:r>
      <w:r>
        <w:rPr>
          <w:rFonts w:hint="eastAsia" w:ascii="Times New Roman" w:hAnsi="Times New Roman" w:cs="Times New Roman"/>
          <w:bCs/>
          <w:sz w:val="24"/>
          <w:lang w:eastAsia="zh-CN"/>
        </w:rPr>
        <w:t>颐和生态文化博览园</w:t>
      </w:r>
      <w:r>
        <w:rPr>
          <w:rFonts w:hint="eastAsia" w:ascii="Times New Roman" w:hAnsi="Times New Roman" w:cs="Times New Roman"/>
          <w:bCs/>
          <w:sz w:val="24"/>
        </w:rPr>
        <w:t>、东西红海子、哈沙图村乡村旅游点等生态资源优势，重点打造以健康养生为主要竞争力的旅游产品，积极探索健康养生旅游新模式，以推动建设</w:t>
      </w:r>
      <w:r>
        <w:rPr>
          <w:rFonts w:hint="eastAsia" w:ascii="Times New Roman" w:hAnsi="Times New Roman" w:cs="Times New Roman"/>
          <w:bCs/>
          <w:sz w:val="24"/>
          <w:lang w:eastAsia="zh-CN"/>
        </w:rPr>
        <w:t>阿吉泰健康城</w:t>
      </w:r>
      <w:r>
        <w:rPr>
          <w:rFonts w:hint="eastAsia" w:ascii="Times New Roman" w:hAnsi="Times New Roman" w:cs="Times New Roman"/>
          <w:bCs/>
          <w:sz w:val="24"/>
        </w:rPr>
        <w:t>康养项目、宜华集团康阳城项目、“鄂尔多斯阿吉泰健康养护中心”项目、“蒙京医养健康城”项目、“幸福9号”养老项目为抓手，丰富旅游项目，提升旅游要素，融合相关产业，打造国内知名健康养生旅游目的地。</w:t>
      </w:r>
    </w:p>
    <w:p>
      <w:pPr>
        <w:pStyle w:val="9"/>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（3）推出多种康养产品。推出包括乡村田园康养产品、田园康养民宿、民族文化康养产品、草原康体运动产品、蒙医康养产品等多种多样的康养产品。</w:t>
      </w:r>
    </w:p>
    <w:p>
      <w:pPr>
        <w:pStyle w:val="3"/>
        <w:ind w:firstLine="560" w:firstLineChars="200"/>
        <w:rPr>
          <w:rFonts w:ascii="Times New Roman" w:hAnsi="Times New Roman" w:cs="Times New Roman"/>
        </w:rPr>
      </w:pPr>
      <w:bookmarkStart w:id="444" w:name="_Toc19221"/>
      <w:bookmarkStart w:id="445" w:name="_Toc6906"/>
      <w:bookmarkStart w:id="446" w:name="_Toc11562"/>
      <w:bookmarkStart w:id="447" w:name="_Toc456"/>
      <w:bookmarkStart w:id="448" w:name="_Toc17258"/>
      <w:bookmarkStart w:id="449" w:name="_Toc6482"/>
      <w:bookmarkStart w:id="450" w:name="_Toc2197"/>
      <w:r>
        <w:rPr>
          <w:rFonts w:hint="eastAsia" w:ascii="Times New Roman" w:hAnsi="Times New Roman" w:cs="Times New Roman"/>
        </w:rPr>
        <w:t>六、培育一批</w:t>
      </w:r>
      <w:r>
        <w:rPr>
          <w:rFonts w:hint="eastAsia" w:ascii="Times New Roman" w:hAnsi="Times New Roman" w:cs="Times New Roman"/>
          <w:lang w:eastAsia="zh-CN"/>
        </w:rPr>
        <w:t>新型</w:t>
      </w:r>
      <w:r>
        <w:rPr>
          <w:rFonts w:hint="eastAsia" w:ascii="Times New Roman" w:hAnsi="Times New Roman" w:cs="Times New Roman"/>
        </w:rPr>
        <w:t>乡村旅游项目</w:t>
      </w:r>
      <w:bookmarkEnd w:id="444"/>
      <w:bookmarkEnd w:id="445"/>
      <w:bookmarkEnd w:id="446"/>
      <w:bookmarkEnd w:id="447"/>
      <w:bookmarkEnd w:id="448"/>
      <w:bookmarkEnd w:id="449"/>
      <w:bookmarkEnd w:id="450"/>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结合乡村振兴与美丽乡村建设，发展生态科普园</w:t>
      </w:r>
      <w:r>
        <w:rPr>
          <w:rFonts w:hint="eastAsia" w:ascii="Times New Roman" w:hAnsi="Times New Roman" w:cs="Times New Roman"/>
          <w:bCs/>
          <w:sz w:val="24"/>
        </w:rPr>
        <w:t>、研学农庄、乡村博物馆、遗址公园、乡创基地</w:t>
      </w:r>
      <w:r>
        <w:rPr>
          <w:rFonts w:hint="eastAsia" w:ascii="Times New Roman" w:hAnsi="Times New Roman" w:cs="Times New Roman"/>
          <w:sz w:val="24"/>
        </w:rPr>
        <w:t>等乡村旅游项目。</w:t>
      </w:r>
    </w:p>
    <w:p>
      <w:pPr>
        <w:pStyle w:val="4"/>
        <w:ind w:firstLine="480"/>
        <w:rPr>
          <w:rFonts w:ascii="Times New Roman" w:hAnsi="Times New Roman" w:cs="Times New Roman"/>
        </w:rPr>
      </w:pPr>
      <w:bookmarkStart w:id="451" w:name="_Toc21181"/>
      <w:bookmarkStart w:id="452" w:name="_Toc19992"/>
      <w:bookmarkStart w:id="453" w:name="_Toc24979"/>
      <w:bookmarkStart w:id="454" w:name="_Toc24482"/>
      <w:bookmarkStart w:id="455" w:name="_Toc27751"/>
      <w:r>
        <w:rPr>
          <w:rFonts w:hint="eastAsia" w:ascii="Times New Roman" w:hAnsi="Times New Roman" w:cs="Times New Roman"/>
        </w:rPr>
        <w:t>（一）生态科普园</w:t>
      </w:r>
      <w:bookmarkEnd w:id="451"/>
      <w:bookmarkEnd w:id="452"/>
      <w:bookmarkEnd w:id="453"/>
      <w:bookmarkEnd w:id="454"/>
      <w:bookmarkEnd w:id="455"/>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农业的发展是与文化的进步紧密相连的，把科普教育融入生态园区建设，不仅可以优化园区人文环境，还能以更生动、更直观的教育形式，使游客易于接受和记忆，寓教于乐。</w:t>
      </w:r>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乌兰木伦镇的哈沙图村田园综合体就是以蔬菜、花卉、鱼菜共生系统为主，采用温室生产种植形式进行的，未来可以依托现有资源、设施条件，挖掘其内在的文化资源，提高整个生态科普园的文化品位，同时加以宣传和活动来营造生态园区的科普氛围。</w:t>
      </w:r>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伊金霍洛旗具有的鲜明特色的高新农业、珍奇花卉、环保科技、特殊气候、沙漠、湿地等地域特色的资源基础，因地制宜，可以营造极具观赏性和互动性的植物公园环境，利用实物、模型、照片、图件、文字、影视多媒体及信息系统等多种形式，向游客全面介绍生态农园的资源、地质及其他景观、自然和社会环境，向游客进行科学知识宣传和环境保护意识的教育，实现景观资源的高水平利用。使游人在园区内不仅能感受回归自然的惬意，还能饱览现代科学技术，接受现代农业和环境科学的教育，使生态农园成为功能独特的宣教基地。</w:t>
      </w:r>
    </w:p>
    <w:p>
      <w:pPr>
        <w:pStyle w:val="4"/>
        <w:ind w:firstLine="480"/>
        <w:rPr>
          <w:rFonts w:ascii="Times New Roman" w:hAnsi="Times New Roman" w:cs="Times New Roman"/>
        </w:rPr>
      </w:pPr>
      <w:bookmarkStart w:id="456" w:name="_Toc22245"/>
      <w:bookmarkStart w:id="457" w:name="_Toc30369"/>
      <w:bookmarkStart w:id="458" w:name="_Toc6133"/>
      <w:bookmarkStart w:id="459" w:name="_Toc12345"/>
      <w:bookmarkStart w:id="460" w:name="_Toc14876"/>
      <w:r>
        <w:rPr>
          <w:rFonts w:hint="eastAsia" w:ascii="Times New Roman" w:hAnsi="Times New Roman" w:cs="Times New Roman"/>
        </w:rPr>
        <w:t>（二）研学农庄</w:t>
      </w:r>
      <w:bookmarkEnd w:id="456"/>
      <w:bookmarkEnd w:id="457"/>
      <w:bookmarkEnd w:id="458"/>
      <w:bookmarkEnd w:id="459"/>
      <w:bookmarkEnd w:id="460"/>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研学旅游已经成为家庭出游的重点选择，亲子研学旅行、食育教育愈发兴起，在市场的推动下，开始出现一些“农业+教育+旅游”模式的研学农庄，帮助青少年拓展视野、丰富知识，加深自然和文化的亲近感，增加对集体生活方式和社会公共道德的体验。</w:t>
      </w:r>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龙虎渠村是伊金霍洛旗研学基地中独具代表性的一个，它不仅利用当地丰沃的土地资源发展了时尚、健康的“土地认养”，而且依托当地丰富生态及人文资源如火如荼地发展着研学基地建设。未来可以依托其现有的资源条件，与其文旅投集团合作，在龙虎渠村大力发展农业体验活动，如在农场做零活、农作物种植、动手做饭与搭建房屋、认养奶牛、研究乳制品、观察与培养种子发育，学习气象学、农场经济学、土地测量等，将其打造成一个集观光、游览、体验、育学为一体的研学农庄。</w:t>
      </w:r>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伊金霍洛旗各乡村都有自己独特的景观、风貌、文化，可以依托不同乡村的资源和设施建设不同侧重点、不同主题的研学农庄，从而打造研学教育的新示范、新标杆，构建良好的社会实践活动平台，不仅能成为研学旅行的好去处，而且能够推动当地乡村文旅融合发展。</w:t>
      </w:r>
    </w:p>
    <w:p>
      <w:pPr>
        <w:pStyle w:val="4"/>
        <w:ind w:firstLine="480"/>
        <w:rPr>
          <w:rFonts w:ascii="Times New Roman" w:hAnsi="Times New Roman" w:cs="Times New Roman"/>
        </w:rPr>
      </w:pPr>
      <w:bookmarkStart w:id="461" w:name="_Toc11333"/>
      <w:bookmarkStart w:id="462" w:name="_Toc6012"/>
      <w:bookmarkStart w:id="463" w:name="_Toc15035"/>
      <w:bookmarkStart w:id="464" w:name="_Toc22004"/>
      <w:bookmarkStart w:id="465" w:name="_Toc3915"/>
      <w:r>
        <w:rPr>
          <w:rFonts w:hint="eastAsia" w:ascii="Times New Roman" w:hAnsi="Times New Roman" w:cs="Times New Roman"/>
        </w:rPr>
        <w:t>（三）乡村博物馆</w:t>
      </w:r>
      <w:bookmarkEnd w:id="461"/>
      <w:bookmarkEnd w:id="462"/>
      <w:bookmarkEnd w:id="463"/>
      <w:bookmarkEnd w:id="464"/>
      <w:bookmarkEnd w:id="465"/>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乡村博物馆是寄托乡土文化，展示乡土文化的平台；是守护传统农业文明，保护农业文明的主阵地；是丰富乡村文化生活的重要场所。</w:t>
      </w:r>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草原深处有农家，蒙汉情缘话桑麻。一座座乡村博物馆正在伊金霍洛旗的乡村崛起，并融入乡村人民生活，成为展示乡村文化、树立文化自信的重要平台。比如伊金霍洛旗的查干柴达木活态博物馆以变迁、乡音、习俗和员外家、萌动园为展区，以张在成等文化传承户为体验馆，展示查干柴达木村的历史文化和民俗文化传承。</w:t>
      </w:r>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依托伊金霍洛旗丰富的乡村旅游资源，因地制宜建设民俗、生态等乡村博物馆，收集和展览富有地域特色、活态文化特色和群体记忆的文化遗产。乡村博物馆的规划设计，要遵循天人合一、顺应自然的文化理念，了解村落的自然环境、历史文化传统、经济社会发展现状、资源优势等各方面，找到最适合当地规划、保护与发展的路径，全面协调发展目的，形成丰富多彩的风格。增设配套的公共基础设施，发展商业、娱乐休闲产业，实现产业融合，使乡村记忆在新的时空条件下展现新的内涵，产生新的凝聚力。走乡间小路，听村庄故事；住村民小屋，品传承滋味。</w:t>
      </w:r>
    </w:p>
    <w:p>
      <w:pPr>
        <w:pStyle w:val="4"/>
        <w:ind w:firstLine="480"/>
        <w:rPr>
          <w:rFonts w:ascii="Times New Roman" w:hAnsi="Times New Roman" w:cs="Times New Roman"/>
        </w:rPr>
      </w:pPr>
      <w:bookmarkStart w:id="466" w:name="_Toc23517"/>
      <w:bookmarkStart w:id="467" w:name="_Toc9624"/>
      <w:bookmarkStart w:id="468" w:name="_Toc22082"/>
      <w:bookmarkStart w:id="469" w:name="_Toc16787"/>
      <w:bookmarkStart w:id="470" w:name="_Toc29642"/>
      <w:r>
        <w:rPr>
          <w:rFonts w:hint="eastAsia" w:ascii="Times New Roman" w:hAnsi="Times New Roman" w:cs="Times New Roman"/>
        </w:rPr>
        <w:t>（四）遗址公园</w:t>
      </w:r>
      <w:bookmarkEnd w:id="466"/>
      <w:bookmarkEnd w:id="467"/>
      <w:bookmarkEnd w:id="468"/>
      <w:bookmarkEnd w:id="469"/>
      <w:bookmarkEnd w:id="470"/>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伊金霍洛旗以郡王府、朱开沟、</w:t>
      </w:r>
      <w:r>
        <w:rPr>
          <w:rFonts w:hint="eastAsia" w:ascii="Times New Roman" w:hAnsi="Times New Roman" w:cs="Times New Roman"/>
          <w:sz w:val="24"/>
          <w:lang w:eastAsia="zh-CN"/>
        </w:rPr>
        <w:t>战国</w:t>
      </w:r>
      <w:r>
        <w:rPr>
          <w:rFonts w:hint="eastAsia" w:ascii="Times New Roman" w:hAnsi="Times New Roman" w:cs="Times New Roman"/>
          <w:sz w:val="24"/>
        </w:rPr>
        <w:t>秦长城、札萨克王爷府遗址为代表的文化遗址丰富且等级较高，通过建成一批遗址公园实现对文化遗址的有效保护和开发利用。遗址公园的建设集遗址保护、文化展示、美化环境于一体，将遗址保护与公园规划设计相结合，运用保护、修复、创新等一系列手法，对历史文化资源进行重新整合、再生、再现，既充分挖掘伊金霍洛旗的历史文化内涵，体现城市文脉的延续性，又满足现代文化生活的需要。</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公园建成后可进一步作为广大人民和青少年进行爱国主义教育的基地，成为展示伊金霍洛旗历史文化的窗口，对于提升伊金霍洛旗对外招商引资的吸引和竞争力，改善伊金霍洛旗城市环境和城市形象，加快伊金霍洛旗社会经济的发展都将起到积极的推动作用。</w:t>
      </w:r>
    </w:p>
    <w:p>
      <w:pPr>
        <w:pStyle w:val="4"/>
        <w:ind w:firstLine="480"/>
        <w:rPr>
          <w:rFonts w:ascii="Times New Roman" w:hAnsi="Times New Roman" w:cs="Times New Roman"/>
        </w:rPr>
      </w:pPr>
      <w:bookmarkStart w:id="471" w:name="_Toc22332"/>
      <w:bookmarkStart w:id="472" w:name="_Toc16065"/>
      <w:bookmarkStart w:id="473" w:name="_Toc10587"/>
      <w:bookmarkStart w:id="474" w:name="_Toc5654"/>
      <w:bookmarkStart w:id="475" w:name="_Toc17611"/>
      <w:r>
        <w:rPr>
          <w:rFonts w:hint="eastAsia" w:ascii="Times New Roman" w:hAnsi="Times New Roman" w:cs="Times New Roman"/>
        </w:rPr>
        <w:t>（五）乡创基地</w:t>
      </w:r>
      <w:bookmarkEnd w:id="471"/>
      <w:bookmarkEnd w:id="472"/>
      <w:bookmarkEnd w:id="473"/>
      <w:bookmarkEnd w:id="474"/>
      <w:bookmarkEnd w:id="475"/>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乡创基地是创意资本向乡村流动、推进产品创新、解决乡村发展人才瓶颈问题的重要举措，对拓展就业创业空间、缓解城市就业压力、培育乡村创意资本、促进乡村旅游转型升级、推进城乡协调发展等起到重要的促进作用。伊金霍洛旗应积极引导和支持大学毕业生、返乡农民工、城镇退休职工、艺术家、专业技术人员等通过开展乡村旅游实现自主创业，鼓励文化界、艺术界、科技界专业人员在有条件的乡村进行创作创业，打造一批以龙虎渠村、苏布尔嘎查、花亥图村等为代表的生态环境优美、文化内涵充足的乡村作为乡创基地。</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通过完善乡村基础设施和公共服务，形成以乡村生态、乡村民俗、传统手工艺、乡村农产品等为主要元素的旅游产业链条，坚持“美在生态、富在产业、根在文化”的理念，打造特色乡创品牌。发挥电商和新媒体的优势，借助乡村创新创业平台推动伊金霍洛旗特色农业品牌“走出去”。搭建创客交流平台，汇聚志同道合的创业者，形成创客“朋友圈”，引人才促交流，并结合各创业品牌在设计、销售等方面的优势，实现合作共赢。形成“创客+游客+原住民”三位一体的乡创基地搭建模式，保证各方利益协调，共同携手为乡村基地的健康发展创造一个良好的发展环境。</w:t>
      </w:r>
    </w:p>
    <w:p>
      <w:pPr>
        <w:rPr>
          <w:rFonts w:ascii="Times New Roman" w:hAnsi="Times New Roman" w:cs="Times New Roman"/>
          <w:sz w:val="24"/>
        </w:rPr>
      </w:pPr>
      <w:r>
        <w:rPr>
          <w:rFonts w:hint="eastAsia" w:ascii="Times New Roman" w:hAnsi="Times New Roman" w:cs="Times New Roman"/>
          <w:sz w:val="24"/>
        </w:rPr>
        <w:br w:type="page"/>
      </w:r>
    </w:p>
    <w:p>
      <w:pPr>
        <w:pStyle w:val="2"/>
        <w:rPr>
          <w:rFonts w:hint="eastAsia" w:ascii="Times New Roman" w:hAnsi="Times New Roman" w:cs="Times New Roman" w:eastAsiaTheme="minorEastAsia"/>
          <w:lang w:eastAsia="zh-CN"/>
        </w:rPr>
      </w:pPr>
      <w:bookmarkStart w:id="476" w:name="_Toc11334"/>
      <w:bookmarkStart w:id="477" w:name="_Toc26483"/>
      <w:r>
        <w:rPr>
          <w:rFonts w:hint="eastAsia" w:ascii="Times New Roman" w:hAnsi="Times New Roman" w:cs="Times New Roman" w:eastAsiaTheme="minorEastAsia"/>
        </w:rPr>
        <w:t>第七章 科学有效，推进</w:t>
      </w:r>
      <w:r>
        <w:rPr>
          <w:rFonts w:hint="eastAsia" w:ascii="Times New Roman" w:hAnsi="Times New Roman" w:cs="Times New Roman" w:eastAsiaTheme="minorEastAsia"/>
          <w:lang w:eastAsia="zh-CN"/>
        </w:rPr>
        <w:t>文化遗产</w:t>
      </w:r>
      <w:r>
        <w:rPr>
          <w:rFonts w:hint="eastAsia" w:ascii="Times New Roman" w:hAnsi="Times New Roman" w:cs="Times New Roman" w:eastAsiaTheme="minorEastAsia"/>
        </w:rPr>
        <w:t>保护</w:t>
      </w:r>
      <w:bookmarkEnd w:id="476"/>
      <w:r>
        <w:rPr>
          <w:rFonts w:hint="eastAsia" w:ascii="Times New Roman" w:hAnsi="Times New Roman" w:cs="Times New Roman" w:eastAsiaTheme="minorEastAsia"/>
        </w:rPr>
        <w:t>传承</w:t>
      </w:r>
      <w:bookmarkEnd w:id="477"/>
      <w:r>
        <w:rPr>
          <w:rFonts w:hint="eastAsia" w:ascii="Times New Roman" w:hAnsi="Times New Roman" w:cs="Times New Roman" w:eastAsiaTheme="minorEastAsia"/>
          <w:lang w:eastAsia="zh-CN"/>
        </w:rPr>
        <w:t>利用</w:t>
      </w:r>
    </w:p>
    <w:p>
      <w:pPr>
        <w:spacing w:after="120" w:line="360" w:lineRule="auto"/>
        <w:ind w:firstLine="480" w:firstLineChars="200"/>
        <w:rPr>
          <w:rFonts w:ascii="Times New Roman" w:hAnsi="Times New Roman" w:cs="Times New Roman"/>
          <w:bCs/>
          <w:color w:val="000000"/>
          <w:sz w:val="24"/>
        </w:rPr>
      </w:pPr>
      <w:r>
        <w:rPr>
          <w:rFonts w:hint="eastAsia" w:ascii="Times New Roman" w:hAnsi="Times New Roman" w:cs="Times New Roman"/>
          <w:bCs/>
          <w:color w:val="000000"/>
          <w:sz w:val="24"/>
        </w:rPr>
        <w:t>党的十八大以来，习近平总书记站在实现中华民族伟大复兴中国梦的战略高度，围绕努力走出一条符合国情的文物保护利用之路这一重大主题，就传承发展中华优秀传统文化、切实加强文物工作发表了系列重要论述，</w:t>
      </w:r>
      <w:r>
        <w:rPr>
          <w:rFonts w:hint="eastAsia" w:ascii="Times New Roman" w:hAnsi="Times New Roman" w:cs="Times New Roman"/>
          <w:bCs/>
          <w:color w:val="000000"/>
          <w:sz w:val="24"/>
          <w:lang w:eastAsia="zh-CN"/>
        </w:rPr>
        <w:t>作出</w:t>
      </w:r>
      <w:r>
        <w:rPr>
          <w:rFonts w:hint="eastAsia" w:ascii="Times New Roman" w:hAnsi="Times New Roman" w:cs="Times New Roman"/>
          <w:bCs/>
          <w:color w:val="000000"/>
          <w:sz w:val="24"/>
        </w:rPr>
        <w:t>了系列重要指示批示，提出了系列新思想新观点新要求，立意高远、内涵丰富，为统筹推进文物事业发展赋予了历史担当、指明了前进方向、提供了澎湃动能。</w:t>
      </w:r>
    </w:p>
    <w:p>
      <w:pPr>
        <w:pStyle w:val="3"/>
        <w:ind w:firstLine="560" w:firstLineChars="200"/>
        <w:rPr>
          <w:rFonts w:ascii="Times New Roman" w:hAnsi="Times New Roman" w:cs="Times New Roman"/>
        </w:rPr>
      </w:pPr>
      <w:bookmarkStart w:id="478" w:name="_Toc19894"/>
      <w:r>
        <w:rPr>
          <w:rFonts w:hint="eastAsia" w:ascii="Times New Roman" w:hAnsi="Times New Roman" w:cs="Times New Roman"/>
        </w:rPr>
        <w:t>一、加强文物资源保护</w:t>
      </w:r>
      <w:bookmarkEnd w:id="478"/>
    </w:p>
    <w:p>
      <w:pPr>
        <w:spacing w:after="120" w:line="360" w:lineRule="auto"/>
        <w:ind w:firstLine="480" w:firstLineChars="200"/>
        <w:rPr>
          <w:rFonts w:ascii="Times New Roman" w:hAnsi="Times New Roman" w:cs="Times New Roman"/>
          <w:bCs/>
          <w:color w:val="000000"/>
          <w:sz w:val="24"/>
        </w:rPr>
      </w:pPr>
      <w:r>
        <w:rPr>
          <w:rFonts w:hint="eastAsia" w:ascii="Times New Roman" w:hAnsi="Times New Roman" w:cs="Times New Roman"/>
          <w:bCs/>
          <w:color w:val="000000"/>
          <w:sz w:val="24"/>
        </w:rPr>
        <w:t>以“保护为主、抢救第一、合理利用、加强管理”为原则，以文化资源保护为核心，按照上级文物部门的要求部署，统筹兼顾、有序落实推进，全面加强文物保护基础，实施文物保护工程、文物平安工程。</w:t>
      </w:r>
    </w:p>
    <w:p>
      <w:pPr>
        <w:pStyle w:val="4"/>
        <w:ind w:firstLine="480"/>
        <w:rPr>
          <w:rFonts w:ascii="Times New Roman" w:hAnsi="Times New Roman" w:cs="Times New Roman"/>
        </w:rPr>
      </w:pPr>
      <w:bookmarkStart w:id="479" w:name="_Toc9534"/>
      <w:r>
        <w:rPr>
          <w:rFonts w:hint="eastAsia" w:ascii="Times New Roman" w:hAnsi="Times New Roman" w:cs="Times New Roman"/>
        </w:rPr>
        <w:t>（一）加快编制各类文物保护规划</w:t>
      </w:r>
      <w:bookmarkEnd w:id="479"/>
    </w:p>
    <w:p>
      <w:pPr>
        <w:spacing w:after="120" w:line="360" w:lineRule="auto"/>
        <w:ind w:firstLine="480" w:firstLineChars="200"/>
        <w:rPr>
          <w:rFonts w:ascii="Times New Roman" w:hAnsi="Times New Roman" w:cs="Times New Roman"/>
          <w:bCs/>
          <w:color w:val="000000"/>
          <w:sz w:val="24"/>
        </w:rPr>
      </w:pPr>
      <w:r>
        <w:rPr>
          <w:rFonts w:hint="eastAsia" w:ascii="Times New Roman" w:hAnsi="Times New Roman" w:cs="Times New Roman"/>
          <w:bCs/>
          <w:color w:val="000000"/>
          <w:sz w:val="24"/>
        </w:rPr>
        <w:t>进一步加强文物资源保护的规划工作。认真做好国家级、自治区级文保单位保护规划的编制工作。积极推进战国秦长城、朱开沟遗址、陶亥召、三套石圈</w:t>
      </w:r>
      <w:r>
        <w:rPr>
          <w:rFonts w:hint="eastAsia" w:ascii="Times New Roman" w:hAnsi="Times New Roman" w:cs="Times New Roman"/>
          <w:bCs/>
          <w:color w:val="000000"/>
          <w:sz w:val="24"/>
          <w:lang w:eastAsia="zh-CN"/>
        </w:rPr>
        <w:t>遗址</w:t>
      </w:r>
      <w:r>
        <w:rPr>
          <w:rFonts w:hint="eastAsia" w:ascii="Times New Roman" w:hAnsi="Times New Roman" w:cs="Times New Roman"/>
          <w:bCs/>
          <w:color w:val="000000"/>
          <w:sz w:val="24"/>
        </w:rPr>
        <w:t>等文保单位保护规划和重要文物专项保护规划的编制工作。抓紧做好已编制完成规划的报批工作。</w:t>
      </w:r>
    </w:p>
    <w:p>
      <w:pPr>
        <w:pStyle w:val="4"/>
        <w:ind w:firstLine="480"/>
        <w:rPr>
          <w:rFonts w:ascii="Times New Roman" w:hAnsi="Times New Roman" w:cs="Times New Roman"/>
        </w:rPr>
      </w:pPr>
      <w:bookmarkStart w:id="480" w:name="_Toc31713"/>
      <w:r>
        <w:rPr>
          <w:rFonts w:hint="eastAsia" w:ascii="Times New Roman" w:hAnsi="Times New Roman" w:cs="Times New Roman"/>
        </w:rPr>
        <w:t>（二）继续推进文物资源普查工作</w:t>
      </w:r>
      <w:bookmarkEnd w:id="480"/>
    </w:p>
    <w:p>
      <w:pPr>
        <w:spacing w:after="120" w:line="360" w:lineRule="auto"/>
        <w:ind w:firstLine="480" w:firstLineChars="200"/>
        <w:rPr>
          <w:rFonts w:ascii="Times New Roman" w:hAnsi="Times New Roman" w:cs="Times New Roman"/>
          <w:bCs/>
          <w:color w:val="000000"/>
          <w:sz w:val="24"/>
        </w:rPr>
      </w:pPr>
      <w:r>
        <w:rPr>
          <w:rFonts w:hint="eastAsia" w:ascii="Times New Roman" w:hAnsi="Times New Roman" w:cs="Times New Roman"/>
          <w:bCs/>
          <w:color w:val="000000"/>
          <w:sz w:val="24"/>
        </w:rPr>
        <w:t>在原有普查数据的基础上，继续推进全旗境内文物资源普查工作，健全完善全旗文物资源名录。推进文物资源分级管理，遴选、推荐申报工作。确保旗区级以上重点文物保护单位的“四有</w:t>
      </w:r>
      <w:r>
        <w:rPr>
          <w:rFonts w:hint="eastAsia" w:ascii="Times New Roman" w:hAnsi="Times New Roman" w:cs="Times New Roman"/>
          <w:bCs/>
          <w:color w:val="000000"/>
          <w:sz w:val="24"/>
          <w:lang w:eastAsia="zh-CN"/>
        </w:rPr>
        <w:t>（</w:t>
      </w:r>
      <w:r>
        <w:rPr>
          <w:rFonts w:hint="eastAsia" w:ascii="Times New Roman" w:hAnsi="Times New Roman" w:cs="Times New Roman"/>
          <w:bCs/>
          <w:color w:val="000000"/>
          <w:sz w:val="24"/>
        </w:rPr>
        <w:t>有保护机构、有保护范围、有保护标识、有记录档案</w:t>
      </w:r>
      <w:r>
        <w:rPr>
          <w:rFonts w:hint="eastAsia" w:ascii="Times New Roman" w:hAnsi="Times New Roman" w:cs="Times New Roman"/>
          <w:bCs/>
          <w:color w:val="000000"/>
          <w:sz w:val="24"/>
          <w:lang w:eastAsia="zh-CN"/>
        </w:rPr>
        <w:t>）</w:t>
      </w:r>
      <w:r>
        <w:rPr>
          <w:rFonts w:hint="eastAsia" w:ascii="Times New Roman" w:hAnsi="Times New Roman" w:cs="Times New Roman"/>
          <w:bCs/>
          <w:color w:val="000000"/>
          <w:sz w:val="24"/>
        </w:rPr>
        <w:t>”建设基本健全。建设准确权威、开放共享的文物资源公共数据平台。统筹推进实物保存与数字保存，推动</w:t>
      </w:r>
      <w:r>
        <w:rPr>
          <w:rFonts w:hint="eastAsia" w:ascii="Times New Roman" w:hAnsi="Times New Roman" w:cs="Times New Roman"/>
          <w:bCs/>
          <w:color w:val="000000"/>
          <w:sz w:val="24"/>
          <w:lang w:eastAsia="zh-CN"/>
        </w:rPr>
        <w:t>伊金霍洛旗</w:t>
      </w:r>
      <w:r>
        <w:rPr>
          <w:rFonts w:hint="eastAsia" w:ascii="Times New Roman" w:hAnsi="Times New Roman" w:cs="Times New Roman"/>
          <w:bCs/>
          <w:color w:val="000000"/>
          <w:sz w:val="24"/>
        </w:rPr>
        <w:t>各类文化遗产资源基础档案、影像素材的数字化、可视化进程，对文化遗产资源实行线上线下相统一的科学管理，实现资源集聚化、管理平台化、应用多元化。</w:t>
      </w:r>
    </w:p>
    <w:p>
      <w:pPr>
        <w:pStyle w:val="4"/>
        <w:ind w:firstLine="480"/>
        <w:rPr>
          <w:rFonts w:ascii="Times New Roman" w:hAnsi="Times New Roman" w:cs="Times New Roman"/>
        </w:rPr>
      </w:pPr>
      <w:bookmarkStart w:id="481" w:name="_Toc11189"/>
      <w:r>
        <w:rPr>
          <w:rFonts w:hint="eastAsia" w:ascii="Times New Roman" w:hAnsi="Times New Roman" w:cs="Times New Roman"/>
        </w:rPr>
        <w:t>（三）有力推动文物资源保护工作</w:t>
      </w:r>
      <w:bookmarkEnd w:id="481"/>
    </w:p>
    <w:p>
      <w:pPr>
        <w:spacing w:after="120" w:line="360" w:lineRule="auto"/>
        <w:ind w:firstLine="480" w:firstLineChars="200"/>
        <w:rPr>
          <w:rFonts w:ascii="Times New Roman" w:hAnsi="Times New Roman" w:cs="Times New Roman"/>
          <w:bCs/>
          <w:color w:val="000000"/>
          <w:sz w:val="24"/>
        </w:rPr>
      </w:pPr>
      <w:r>
        <w:rPr>
          <w:rFonts w:ascii="Times New Roman" w:hAnsi="Times New Roman" w:cs="Times New Roman"/>
          <w:bCs/>
          <w:color w:val="000000"/>
          <w:sz w:val="24"/>
        </w:rPr>
        <w:t>常态化开展文物安全隐患排查整治工作，加强日常维护保养，推动由抢救性保护为主向抢救性与预防性保护并重转变，注重与周边环境相协调，重视岁修，减少大修，防止因维修不当造成损坏，严禁擅自迁移或拆除不可移动文物。以国家级重点文物保护单位和珍贵文物为抓手，推动实施纳林塔战国秦长城抢险加固，新庙（陶亥召）壁画修复及珍贵文物预防性保护等系列文物保护工程。依据全</w:t>
      </w:r>
      <w:r>
        <w:rPr>
          <w:rFonts w:hint="eastAsia" w:ascii="Times New Roman" w:hAnsi="Times New Roman" w:cs="Times New Roman"/>
          <w:bCs/>
          <w:color w:val="000000"/>
          <w:sz w:val="24"/>
        </w:rPr>
        <w:t>旗</w:t>
      </w:r>
      <w:r>
        <w:rPr>
          <w:rFonts w:ascii="Times New Roman" w:hAnsi="Times New Roman" w:cs="Times New Roman"/>
          <w:bCs/>
          <w:color w:val="000000"/>
          <w:sz w:val="24"/>
        </w:rPr>
        <w:t>革命文物分布实际，统筹推进革命文物连片保护利工作。协调好城乡建设与文物保护的关系，坚持修旧如旧、原址保护原则，加强管控各级文物保护单位周边建设。</w:t>
      </w:r>
    </w:p>
    <w:p>
      <w:pPr>
        <w:spacing w:after="120" w:line="360" w:lineRule="auto"/>
        <w:ind w:firstLine="480" w:firstLineChars="200"/>
        <w:rPr>
          <w:rFonts w:ascii="Times New Roman" w:hAnsi="Times New Roman" w:cs="Times New Roman"/>
          <w:bCs/>
          <w:color w:val="000000"/>
          <w:sz w:val="24"/>
        </w:rPr>
      </w:pPr>
      <w:r>
        <w:rPr>
          <w:rFonts w:hint="eastAsia" w:ascii="Times New Roman" w:hAnsi="Times New Roman" w:cs="Times New Roman"/>
          <w:bCs/>
          <w:color w:val="000000"/>
          <w:sz w:val="24"/>
        </w:rPr>
        <w:t>政府加大财政支持。文物保护与管理文物保护需要大量资金，需要得到地方财政和国家的资金支持和保证。充足的资金保障是完成文物保护和管理工作的首要前提。</w:t>
      </w:r>
    </w:p>
    <w:p>
      <w:pPr>
        <w:spacing w:after="120" w:line="360" w:lineRule="auto"/>
        <w:ind w:firstLine="480" w:firstLineChars="200"/>
        <w:rPr>
          <w:rFonts w:ascii="Times New Roman" w:hAnsi="Times New Roman" w:cs="Times New Roman"/>
          <w:bCs/>
          <w:color w:val="000000"/>
          <w:sz w:val="24"/>
        </w:rPr>
      </w:pPr>
      <w:r>
        <w:rPr>
          <w:rFonts w:hint="eastAsia" w:ascii="Times New Roman" w:hAnsi="Times New Roman" w:cs="Times New Roman"/>
          <w:bCs/>
          <w:color w:val="000000"/>
          <w:sz w:val="24"/>
        </w:rPr>
        <w:t>处理好文物保护与基本建设方面的关系，严格执行重大建设工程项目审批、核准和备案制度。凡涉及文物保护事项的基本建设项目，必须依法在项目批准前征求文物行政部门的意见，在进行必要的考古勘探、发掘并落实文物保护措施以后方可实施。在建设工程施工和其他生产活动中发现文物的，应当立即采取相应保护措施，并报告当地文物部门。建设单位和文物部门要加强沟通，做好建设工程中的文物保护工作，实现基本建设和文物保护协调发展。</w:t>
      </w:r>
    </w:p>
    <w:p>
      <w:pPr>
        <w:spacing w:after="120" w:line="360" w:lineRule="auto"/>
        <w:ind w:firstLine="480" w:firstLineChars="200"/>
        <w:rPr>
          <w:rFonts w:ascii="Times New Roman" w:hAnsi="Times New Roman" w:cs="Times New Roman"/>
          <w:bCs/>
          <w:color w:val="000000"/>
          <w:sz w:val="24"/>
        </w:rPr>
      </w:pPr>
      <w:r>
        <w:rPr>
          <w:rFonts w:hint="eastAsia" w:ascii="Times New Roman" w:hAnsi="Times New Roman" w:cs="Times New Roman"/>
          <w:bCs/>
          <w:color w:val="000000"/>
          <w:sz w:val="24"/>
        </w:rPr>
        <w:t>大力强化全旗文物保护意识，对战国秦长城、朱开沟遗址等文化遗址进行修复和保护，对郡王府等优秀的历史文化旅游资源进行保护、开发和利用。加强对伊金霍洛旗文化遗产、文物保护单位、遗址、工业遗址、历史文化名城名镇名村和非物质文化遗产等珍贵遗产资源保护，推动遗产资源合理利用。</w:t>
      </w:r>
    </w:p>
    <w:p>
      <w:pPr>
        <w:spacing w:after="120" w:line="360" w:lineRule="auto"/>
        <w:ind w:firstLine="480" w:firstLineChars="200"/>
        <w:rPr>
          <w:rFonts w:ascii="Times New Roman" w:hAnsi="Times New Roman" w:cs="Times New Roman"/>
          <w:bCs/>
          <w:color w:val="000000"/>
          <w:sz w:val="24"/>
        </w:rPr>
      </w:pPr>
      <w:r>
        <w:rPr>
          <w:rFonts w:hint="eastAsia" w:ascii="Times New Roman" w:hAnsi="Times New Roman" w:cs="Times New Roman"/>
          <w:bCs/>
          <w:color w:val="000000"/>
          <w:sz w:val="24"/>
        </w:rPr>
        <w:t>加强伊金霍洛旗馆藏文物保护和修复。建立健全伊金霍洛旗的文物督察制度，完善文物登录制度。加强考古发掘和整理研究。健全文化遗产保护制度。加大执法力度，做到有法可依，有法必依。加大惩罚力度，对于破坏文物的行为给予重罚，在全社会引起重视，才能够从制度上与法律上增强文物保护。加大宣传力度，提高人民大众的文化文物保护意识，使人们能够意识到文物的不可修复性特点，营造出全民保护文物的良好氛围。</w:t>
      </w:r>
    </w:p>
    <w:p>
      <w:pPr>
        <w:pStyle w:val="4"/>
        <w:ind w:firstLine="480"/>
        <w:rPr>
          <w:rFonts w:ascii="Times New Roman" w:hAnsi="Times New Roman" w:cs="Times New Roman"/>
        </w:rPr>
      </w:pPr>
      <w:bookmarkStart w:id="482" w:name="_Toc24245"/>
      <w:r>
        <w:rPr>
          <w:rFonts w:hint="eastAsia" w:ascii="Times New Roman" w:hAnsi="Times New Roman" w:cs="Times New Roman"/>
        </w:rPr>
        <w:t>（四）强化文物安全管理工作</w:t>
      </w:r>
      <w:bookmarkEnd w:id="482"/>
    </w:p>
    <w:p>
      <w:pPr>
        <w:spacing w:after="120" w:line="360" w:lineRule="auto"/>
        <w:ind w:firstLine="480" w:firstLineChars="200"/>
        <w:rPr>
          <w:rFonts w:ascii="Times New Roman" w:hAnsi="Times New Roman" w:cs="Times New Roman"/>
          <w:bCs/>
          <w:color w:val="000000"/>
          <w:sz w:val="24"/>
        </w:rPr>
      </w:pPr>
      <w:r>
        <w:rPr>
          <w:rFonts w:hint="eastAsia" w:ascii="Times New Roman" w:hAnsi="Times New Roman" w:cs="Times New Roman"/>
          <w:bCs/>
          <w:color w:val="000000"/>
          <w:sz w:val="24"/>
        </w:rPr>
        <w:t>全面夯实文物保护地方主体责任、部门监管责任和管理使用者的直接责任。在“文物长”制工作试点的基础上，总结经验、完善机制，推广施行“文物长”工作机制，完善全旗文物保护“网格化管理”模式。运用云计算、大数据、“互联网＋”等现代信息技术，建立全旗不可移动文物数据库和应用平台，实现保护、监管一体化。通过无人机巡查、文物保护管理员实地看护和视频实时监控相结合的方式，加大田野文物的巡查工作力度，积极构建文物平安工程。</w:t>
      </w:r>
    </w:p>
    <w:p>
      <w:pPr>
        <w:pStyle w:val="4"/>
        <w:ind w:firstLine="480"/>
        <w:rPr>
          <w:rFonts w:ascii="Times New Roman" w:hAnsi="Times New Roman" w:cs="Times New Roman"/>
        </w:rPr>
      </w:pPr>
      <w:bookmarkStart w:id="483" w:name="_Toc9517"/>
      <w:r>
        <w:rPr>
          <w:rFonts w:hint="eastAsia" w:ascii="Times New Roman" w:hAnsi="Times New Roman" w:cs="Times New Roman"/>
        </w:rPr>
        <w:t>（五）开展文物资源研究阐释工作</w:t>
      </w:r>
      <w:bookmarkEnd w:id="483"/>
    </w:p>
    <w:p>
      <w:pPr>
        <w:spacing w:after="120" w:line="360" w:lineRule="auto"/>
        <w:ind w:firstLine="480" w:firstLineChars="200"/>
        <w:rPr>
          <w:rFonts w:ascii="Times New Roman" w:hAnsi="Times New Roman" w:cs="Times New Roman"/>
          <w:bCs/>
          <w:color w:val="000000"/>
          <w:sz w:val="24"/>
        </w:rPr>
      </w:pPr>
      <w:r>
        <w:rPr>
          <w:rFonts w:hint="eastAsia" w:ascii="Times New Roman" w:hAnsi="Times New Roman" w:cs="Times New Roman"/>
          <w:bCs/>
          <w:color w:val="000000"/>
          <w:sz w:val="24"/>
        </w:rPr>
        <w:t>积极开展对包括战国秦长城、朱开沟遗址等文物资源的研究阐释等工作。争取朱开沟遗址、战国秦长城相关研究课题的立项。深入挖掘、整理文物资源的内涵，拓展课题的广度和深度，大力提升</w:t>
      </w:r>
      <w:r>
        <w:rPr>
          <w:rFonts w:hint="eastAsia" w:ascii="Times New Roman" w:hAnsi="Times New Roman" w:cs="Times New Roman"/>
          <w:bCs/>
          <w:color w:val="000000"/>
          <w:sz w:val="24"/>
          <w:lang w:eastAsia="zh-CN"/>
        </w:rPr>
        <w:t>伊金霍洛旗</w:t>
      </w:r>
      <w:r>
        <w:rPr>
          <w:rFonts w:hint="eastAsia" w:ascii="Times New Roman" w:hAnsi="Times New Roman" w:cs="Times New Roman"/>
          <w:bCs/>
          <w:color w:val="000000"/>
          <w:sz w:val="24"/>
        </w:rPr>
        <w:t>文物资源研究的学术水平和学术地位。充分发挥文化遗产品牌效应，积极、主动地开展以文物资源和传统文化等为媒介的学术研讨和文化节庆活动，提高</w:t>
      </w:r>
      <w:r>
        <w:rPr>
          <w:rFonts w:hint="eastAsia" w:ascii="Times New Roman" w:hAnsi="Times New Roman" w:cs="Times New Roman"/>
          <w:bCs/>
          <w:color w:val="000000"/>
          <w:sz w:val="24"/>
          <w:lang w:eastAsia="zh-CN"/>
        </w:rPr>
        <w:t>伊金霍洛旗</w:t>
      </w:r>
      <w:r>
        <w:rPr>
          <w:rFonts w:hint="eastAsia" w:ascii="Times New Roman" w:hAnsi="Times New Roman" w:cs="Times New Roman"/>
          <w:bCs/>
          <w:color w:val="000000"/>
          <w:sz w:val="24"/>
        </w:rPr>
        <w:t>文化的影响力和辐射力。</w:t>
      </w:r>
    </w:p>
    <w:p>
      <w:pPr>
        <w:pStyle w:val="3"/>
        <w:ind w:firstLine="560" w:firstLineChars="200"/>
        <w:rPr>
          <w:rFonts w:ascii="Times New Roman" w:hAnsi="Times New Roman" w:cs="Times New Roman"/>
        </w:rPr>
      </w:pPr>
      <w:bookmarkStart w:id="484" w:name="_Toc32396"/>
      <w:r>
        <w:rPr>
          <w:rFonts w:hint="eastAsia" w:ascii="Times New Roman" w:hAnsi="Times New Roman" w:cs="Times New Roman"/>
        </w:rPr>
        <w:t>二、加大非物质文化遗产保护力度</w:t>
      </w:r>
      <w:bookmarkEnd w:id="484"/>
    </w:p>
    <w:p>
      <w:pPr>
        <w:spacing w:after="120" w:line="360" w:lineRule="auto"/>
        <w:ind w:firstLine="480" w:firstLineChars="200"/>
        <w:rPr>
          <w:rFonts w:ascii="Times New Roman" w:hAnsi="Times New Roman" w:cs="Times New Roman"/>
          <w:bCs/>
          <w:color w:val="000000"/>
          <w:sz w:val="24"/>
        </w:rPr>
      </w:pPr>
      <w:r>
        <w:rPr>
          <w:rFonts w:hint="eastAsia" w:ascii="Times New Roman" w:hAnsi="Times New Roman" w:cs="Times New Roman"/>
          <w:bCs/>
          <w:color w:val="000000"/>
          <w:sz w:val="24"/>
        </w:rPr>
        <w:t>非物质文化遗产是指各族人民世代相传并视为其文化遗产组成部分的各种传统文化表现形式，以及与传统文化表现</w:t>
      </w:r>
      <w:r>
        <w:fldChar w:fldCharType="begin"/>
      </w:r>
      <w:r>
        <w:instrText xml:space="preserve"> HYPERLINK "https://baike.so.com/doc/5330123-5565297.html" \t "https://baike.so.com/doc/_blank" </w:instrText>
      </w:r>
      <w:r>
        <w:fldChar w:fldCharType="separate"/>
      </w:r>
      <w:r>
        <w:rPr>
          <w:rFonts w:ascii="Times New Roman" w:hAnsi="Times New Roman" w:cs="Times New Roman"/>
          <w:bCs/>
          <w:color w:val="000000"/>
          <w:sz w:val="24"/>
        </w:rPr>
        <w:t>形式</w:t>
      </w:r>
      <w:r>
        <w:rPr>
          <w:rFonts w:ascii="Times New Roman" w:hAnsi="Times New Roman" w:cs="Times New Roman"/>
          <w:bCs/>
          <w:color w:val="000000"/>
          <w:sz w:val="24"/>
        </w:rPr>
        <w:fldChar w:fldCharType="end"/>
      </w:r>
      <w:r>
        <w:rPr>
          <w:rFonts w:ascii="Times New Roman" w:hAnsi="Times New Roman" w:cs="Times New Roman"/>
          <w:bCs/>
          <w:color w:val="000000"/>
          <w:sz w:val="24"/>
        </w:rPr>
        <w:t>相关的实物和场所。</w:t>
      </w:r>
      <w:r>
        <w:rPr>
          <w:rFonts w:hint="eastAsia" w:ascii="Times New Roman" w:hAnsi="Times New Roman" w:cs="Times New Roman"/>
          <w:bCs/>
          <w:color w:val="000000"/>
          <w:sz w:val="24"/>
        </w:rPr>
        <w:t>不少非物质文化遗产赖以生存的传统文化生态环境正经历着巨大的变化，一些依靠口授和行为传承的传统文化和传统技艺加速消亡和失传的危机日趋显现，十四五期间要坚持以政府为主导，充分调动全社会保护利用非物质文化遗产的积极性，形成工作合力，推动</w:t>
      </w:r>
      <w:r>
        <w:rPr>
          <w:rFonts w:hint="eastAsia" w:ascii="Times New Roman" w:hAnsi="Times New Roman" w:cs="Times New Roman"/>
          <w:bCs/>
          <w:color w:val="000000"/>
          <w:sz w:val="24"/>
          <w:lang w:eastAsia="zh-CN"/>
        </w:rPr>
        <w:t>伊金霍洛旗</w:t>
      </w:r>
      <w:r>
        <w:rPr>
          <w:rFonts w:hint="eastAsia" w:ascii="Times New Roman" w:hAnsi="Times New Roman" w:cs="Times New Roman"/>
          <w:bCs/>
          <w:color w:val="000000"/>
          <w:sz w:val="24"/>
        </w:rPr>
        <w:t>非物质文化遗产保护利用工作再上新台阶。</w:t>
      </w:r>
    </w:p>
    <w:p>
      <w:pPr>
        <w:pStyle w:val="4"/>
        <w:ind w:firstLine="480"/>
        <w:rPr>
          <w:rFonts w:ascii="Times New Roman" w:hAnsi="Times New Roman" w:cs="Times New Roman"/>
        </w:rPr>
      </w:pPr>
      <w:bookmarkStart w:id="485" w:name="_Toc19088"/>
      <w:r>
        <w:rPr>
          <w:rFonts w:hint="eastAsia" w:ascii="Times New Roman" w:hAnsi="Times New Roman" w:cs="Times New Roman"/>
        </w:rPr>
        <w:t>（一）加强挖掘整理，夯实非遗保护基础</w:t>
      </w:r>
      <w:bookmarkEnd w:id="485"/>
    </w:p>
    <w:p>
      <w:pPr>
        <w:spacing w:after="120" w:line="360" w:lineRule="auto"/>
        <w:ind w:firstLine="480" w:firstLineChars="200"/>
        <w:rPr>
          <w:rFonts w:ascii="Times New Roman" w:hAnsi="Times New Roman" w:cs="Times New Roman"/>
          <w:bCs/>
          <w:color w:val="000000"/>
          <w:sz w:val="24"/>
        </w:rPr>
      </w:pPr>
      <w:r>
        <w:rPr>
          <w:rFonts w:hint="eastAsia" w:ascii="宋体" w:hAnsi="宋体" w:eastAsia="宋体" w:cs="宋体"/>
          <w:color w:val="000000"/>
          <w:sz w:val="24"/>
        </w:rPr>
        <w:t>完善非遗资料。做好全旗</w:t>
      </w:r>
      <w:r>
        <w:rPr>
          <w:rFonts w:hint="eastAsia" w:ascii="Times New Roman" w:hAnsi="Times New Roman" w:cs="Times New Roman"/>
          <w:bCs/>
          <w:color w:val="000000"/>
          <w:sz w:val="24"/>
        </w:rPr>
        <w:t>非物质文化遗产普查，确定一批有保护价值的项目，进行系统论证和整理挖掘。加快非物质文化遗产数据库建设工作，编辑出版非物质文化遗产普查丛书。进一步做好与非物质文化遗产项目相关的珍贵实物、文献等资料的登记、征集和保管工作。</w:t>
      </w:r>
    </w:p>
    <w:p>
      <w:pPr>
        <w:pStyle w:val="4"/>
        <w:ind w:firstLine="480"/>
        <w:rPr>
          <w:rFonts w:ascii="Times New Roman" w:hAnsi="Times New Roman" w:cs="Times New Roman"/>
        </w:rPr>
      </w:pPr>
      <w:bookmarkStart w:id="486" w:name="_Toc718"/>
      <w:r>
        <w:rPr>
          <w:rFonts w:hint="eastAsia" w:ascii="Times New Roman" w:hAnsi="Times New Roman" w:cs="Times New Roman"/>
        </w:rPr>
        <w:t>（二）加强宣传展示，提升非遗保护意识</w:t>
      </w:r>
      <w:bookmarkEnd w:id="486"/>
    </w:p>
    <w:p>
      <w:pPr>
        <w:spacing w:after="120"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加快推进非遗文化展示博物馆的建设，为非遗常态化展示提供良好平台。充分利用传统节日，大力组织开展非物质文化遗产保护和展览、演出等宣传展示活动。依靠舆论引导，依靠有效的宣传与教育，使非遗保护不断深入人心，营造全民参与非遗产保护的良好氛围，提高全社会保护意识。</w:t>
      </w:r>
    </w:p>
    <w:p>
      <w:pPr>
        <w:pStyle w:val="4"/>
        <w:ind w:firstLine="480"/>
        <w:rPr>
          <w:rFonts w:ascii="Times New Roman" w:hAnsi="Times New Roman" w:cs="Times New Roman"/>
        </w:rPr>
      </w:pPr>
      <w:bookmarkStart w:id="487" w:name="_Toc22306"/>
      <w:r>
        <w:rPr>
          <w:rFonts w:hint="eastAsia" w:ascii="Times New Roman" w:hAnsi="Times New Roman" w:cs="Times New Roman"/>
        </w:rPr>
        <w:t>（三）加强项目建设，打造非遗文化品牌</w:t>
      </w:r>
      <w:bookmarkEnd w:id="487"/>
    </w:p>
    <w:p>
      <w:pPr>
        <w:spacing w:after="120"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以传承人保护为中心，打造一批重点非遗项目。继续抓好旗级非物质文化遗产名录的遴选命名工作。积极推荐旗级项目申报市级、自治区级、国家级非物质文化遗产名录。推荐和培育非物质文化遗产代表性传承人和传承基地。十四五期</w:t>
      </w:r>
      <w:r>
        <w:rPr>
          <w:rFonts w:hint="eastAsia" w:ascii="Times New Roman" w:hAnsi="Times New Roman" w:cs="Times New Roman"/>
          <w:bCs/>
          <w:color w:val="000000"/>
          <w:sz w:val="24"/>
        </w:rPr>
        <w:t>间，新增1项国家级项目，新增3项省级项目，新增3项市级项目，新增30项县级项目。</w:t>
      </w:r>
      <w:r>
        <w:rPr>
          <w:rFonts w:hint="eastAsia" w:ascii="宋体" w:hAnsi="宋体" w:eastAsia="宋体" w:cs="宋体"/>
          <w:color w:val="000000"/>
          <w:sz w:val="24"/>
        </w:rPr>
        <w:t>积极组织</w:t>
      </w:r>
      <w:r>
        <w:rPr>
          <w:rFonts w:hint="eastAsia" w:ascii="宋体" w:hAnsi="宋体" w:eastAsia="宋体" w:cs="宋体"/>
          <w:color w:val="000000"/>
          <w:sz w:val="24"/>
          <w:lang w:eastAsia="zh-CN"/>
        </w:rPr>
        <w:t>伊金霍洛旗</w:t>
      </w:r>
      <w:r>
        <w:rPr>
          <w:rFonts w:hint="eastAsia" w:ascii="宋体" w:hAnsi="宋体" w:eastAsia="宋体" w:cs="宋体"/>
          <w:color w:val="000000"/>
          <w:sz w:val="24"/>
        </w:rPr>
        <w:t>的非物质文化遗产项目参加区内外大型的节日庆典和交流调演活动。逐步推进非遗本地化利用和品牌化创建工作。通过建立非遗传习基地，非遗嘎查，打造精品节目，对外交流展示等方式，不断提升非遗的群众普及率和品牌影响力。</w:t>
      </w:r>
    </w:p>
    <w:p>
      <w:pPr>
        <w:pStyle w:val="4"/>
        <w:ind w:firstLine="480"/>
        <w:rPr>
          <w:rFonts w:ascii="Times New Roman" w:hAnsi="Times New Roman" w:cs="Times New Roman"/>
        </w:rPr>
      </w:pPr>
      <w:bookmarkStart w:id="488" w:name="_Toc11566"/>
      <w:r>
        <w:rPr>
          <w:rFonts w:hint="eastAsia" w:ascii="Times New Roman" w:hAnsi="Times New Roman" w:cs="Times New Roman"/>
        </w:rPr>
        <w:t>（四）加强合理利用，推动非遗+模式深度开发</w:t>
      </w:r>
      <w:bookmarkEnd w:id="488"/>
    </w:p>
    <w:p>
      <w:pPr>
        <w:spacing w:after="120"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在非物质文化遗产的合理开发和转化利用中，坚持以开展促保护的工作思路，创新保护工作思路，充分利用不同舞台展示、项目宣传、非遗产品开发等不同的创意形式进行深度开发。积极探索、寻找非遗+“文化、旅游、扶贫、互联网、科技数字”模式，促进传统文化创造性转化和创新性发展。不断开发非遗手工艺品、非遗文创产品、非遗表演、非遗服饰、非遗医药、非遗景观、非遗餐饮、数字化非遗，打造非遗文化品牌。重点加强非遗与旅游的深度融合，在旅游区开设非物质文化遗产项目展示，从而达到以文促旅，以旅彰文的良好效果。</w:t>
      </w:r>
    </w:p>
    <w:p>
      <w:pPr>
        <w:pStyle w:val="3"/>
        <w:ind w:firstLine="560" w:firstLineChars="200"/>
        <w:rPr>
          <w:rFonts w:ascii="Times New Roman" w:hAnsi="Times New Roman" w:cs="Times New Roman"/>
        </w:rPr>
      </w:pPr>
      <w:bookmarkStart w:id="489" w:name="_Toc4958"/>
      <w:r>
        <w:rPr>
          <w:rFonts w:hint="eastAsia" w:ascii="Times New Roman" w:hAnsi="Times New Roman" w:cs="Times New Roman"/>
        </w:rPr>
        <w:t>三、推动文化遗产活化利用</w:t>
      </w:r>
      <w:bookmarkEnd w:id="489"/>
    </w:p>
    <w:p>
      <w:pPr>
        <w:spacing w:after="120" w:line="360" w:lineRule="auto"/>
        <w:ind w:firstLine="480" w:firstLineChars="200"/>
        <w:rPr>
          <w:rFonts w:ascii="Times New Roman" w:hAnsi="Times New Roman" w:cs="Times New Roman"/>
          <w:bCs/>
          <w:color w:val="000000"/>
          <w:sz w:val="24"/>
        </w:rPr>
      </w:pPr>
      <w:r>
        <w:rPr>
          <w:rFonts w:hint="eastAsia" w:ascii="Times New Roman" w:hAnsi="Times New Roman" w:cs="Times New Roman"/>
          <w:bCs/>
          <w:color w:val="000000"/>
          <w:sz w:val="24"/>
        </w:rPr>
        <w:t>加强文化遗产科学保护和综合利用，深度开发再现、活化、衍生系列主题旅游产品，让文物“</w:t>
      </w:r>
      <w:r>
        <w:rPr>
          <w:rFonts w:hint="eastAsia" w:ascii="Times New Roman" w:hAnsi="Times New Roman" w:cs="Times New Roman"/>
          <w:bCs/>
          <w:color w:val="000000"/>
          <w:sz w:val="24"/>
          <w:lang w:eastAsia="zh-CN"/>
        </w:rPr>
        <w:t>活</w:t>
      </w:r>
      <w:r>
        <w:rPr>
          <w:rFonts w:hint="eastAsia" w:ascii="Times New Roman" w:hAnsi="Times New Roman" w:cs="Times New Roman"/>
          <w:bCs/>
          <w:color w:val="000000"/>
          <w:sz w:val="24"/>
        </w:rPr>
        <w:t>”起来、传统“走”出来。伊金霍洛旗文化遗产活化工作中需要进一步解决以下三大问题：一是如何适度降低对政策的依赖，形成具有自我“造血”功能的良性循环；二是如何实现对文化遗产保护与利用过程中“度”的掌握，既不能过分保护，更不能无序开发，而是要在保护与开发的矛盾中寻找平衡；三是如何让文化遗产具有“活”的灵魂，在与现代社会新兴文化融合的基础上，还需寻求更加多维的途径。</w:t>
      </w:r>
    </w:p>
    <w:p>
      <w:pPr>
        <w:pStyle w:val="4"/>
        <w:ind w:firstLine="480"/>
        <w:rPr>
          <w:rFonts w:ascii="Times New Roman" w:hAnsi="Times New Roman" w:cs="Times New Roman"/>
        </w:rPr>
      </w:pPr>
      <w:bookmarkStart w:id="490" w:name="_Toc17285"/>
      <w:r>
        <w:rPr>
          <w:rFonts w:hint="eastAsia" w:ascii="Times New Roman" w:hAnsi="Times New Roman" w:cs="Times New Roman"/>
        </w:rPr>
        <w:t>（一）实施文化遗产“历史再现”工程</w:t>
      </w:r>
      <w:bookmarkEnd w:id="490"/>
    </w:p>
    <w:p>
      <w:pPr>
        <w:spacing w:after="120" w:line="360" w:lineRule="auto"/>
        <w:ind w:firstLine="480" w:firstLineChars="200"/>
        <w:rPr>
          <w:rFonts w:ascii="Times New Roman" w:hAnsi="Times New Roman" w:cs="Times New Roman"/>
          <w:bCs/>
          <w:color w:val="000000"/>
          <w:sz w:val="24"/>
        </w:rPr>
      </w:pPr>
      <w:r>
        <w:rPr>
          <w:rFonts w:hint="eastAsia" w:ascii="Times New Roman" w:hAnsi="Times New Roman" w:cs="Times New Roman"/>
          <w:bCs/>
          <w:color w:val="000000"/>
          <w:sz w:val="24"/>
        </w:rPr>
        <w:t>在加强保护的同时，加快推进伊金霍洛旗文化遗产活化。推进伊金霍洛旗非遗嘎查的建设，鼓励开发具有民族传统和地域特色的成吉思汗祭典、诈马宴、蒙古包制作工艺、鄂尔多斯马文化、民族服饰等非遗项目，扶持民间剧团的发展，支持农村牧区民间工艺美术产业的发展。对各种蒙古族传统手艺技艺等非物质文化遗产，借助现代传播手段，拍摄纪录片，增加体验项目，让文化遗产贴近当代生活，引发大众的情感共鸣。通过营销手段，让文化产品从深闺走向市场，充分发挥文化遗产扶贫功效，推动文博单位开发相关具有伊金霍洛旗特色文化创意产品、旅游纪念品。</w:t>
      </w:r>
    </w:p>
    <w:p>
      <w:pPr>
        <w:pStyle w:val="4"/>
        <w:ind w:firstLine="480"/>
        <w:rPr>
          <w:rFonts w:ascii="Times New Roman" w:hAnsi="Times New Roman" w:cs="Times New Roman"/>
        </w:rPr>
      </w:pPr>
      <w:bookmarkStart w:id="491" w:name="_Toc30685"/>
      <w:r>
        <w:rPr>
          <w:rFonts w:hint="eastAsia" w:ascii="Times New Roman" w:hAnsi="Times New Roman" w:cs="Times New Roman"/>
        </w:rPr>
        <w:t>（二）明确文化遗产利益分享政策</w:t>
      </w:r>
      <w:bookmarkEnd w:id="491"/>
    </w:p>
    <w:p>
      <w:pPr>
        <w:spacing w:after="120" w:line="360" w:lineRule="auto"/>
        <w:ind w:firstLine="480" w:firstLineChars="200"/>
        <w:rPr>
          <w:rFonts w:ascii="Times New Roman" w:hAnsi="Times New Roman" w:cs="Times New Roman"/>
          <w:bCs/>
          <w:color w:val="000000"/>
          <w:sz w:val="24"/>
        </w:rPr>
      </w:pPr>
      <w:r>
        <w:rPr>
          <w:rFonts w:hint="eastAsia" w:ascii="Times New Roman" w:hAnsi="Times New Roman" w:cs="Times New Roman"/>
          <w:bCs/>
          <w:color w:val="000000"/>
          <w:sz w:val="24"/>
        </w:rPr>
        <w:t>作为文化遗产活化工作的参与者，他们在参与过程中不仅为文化遗产的保护</w:t>
      </w:r>
      <w:r>
        <w:rPr>
          <w:rFonts w:hint="eastAsia" w:ascii="Times New Roman" w:hAnsi="Times New Roman" w:cs="Times New Roman"/>
          <w:bCs/>
          <w:color w:val="000000"/>
          <w:sz w:val="24"/>
          <w:lang w:eastAsia="zh-CN"/>
        </w:rPr>
        <w:t>作出</w:t>
      </w:r>
      <w:r>
        <w:rPr>
          <w:rFonts w:hint="eastAsia" w:ascii="Times New Roman" w:hAnsi="Times New Roman" w:cs="Times New Roman"/>
          <w:bCs/>
          <w:color w:val="000000"/>
          <w:sz w:val="24"/>
        </w:rPr>
        <w:t>了自己的贡献，而且会存在不同的利益诉求。调整好各方利益，特别是当地民众的利益，有效地调动各方的积极性，是促进文化遗产保护“活化”的重要条件。在实际工作中，各方应以整体利益和目标为导向，做到局部利益服从全局利益，短期利益服从长远利益，最后在整体的工作推进中，完成整体目标，使各方都能受益。</w:t>
      </w:r>
    </w:p>
    <w:p>
      <w:pPr>
        <w:pStyle w:val="4"/>
        <w:ind w:firstLine="480"/>
        <w:rPr>
          <w:rFonts w:ascii="Times New Roman" w:hAnsi="Times New Roman" w:cs="Times New Roman"/>
        </w:rPr>
      </w:pPr>
      <w:bookmarkStart w:id="492" w:name="_Toc1439"/>
      <w:r>
        <w:rPr>
          <w:rFonts w:hint="eastAsia" w:ascii="Times New Roman" w:hAnsi="Times New Roman" w:cs="Times New Roman"/>
        </w:rPr>
        <w:t>（三）丰富文化遗产社会参与形式</w:t>
      </w:r>
      <w:bookmarkEnd w:id="492"/>
    </w:p>
    <w:p>
      <w:pPr>
        <w:spacing w:after="120" w:line="360" w:lineRule="auto"/>
        <w:ind w:firstLine="480" w:firstLineChars="200"/>
        <w:rPr>
          <w:rFonts w:ascii="Times New Roman" w:hAnsi="Times New Roman" w:cs="Times New Roman"/>
          <w:bCs/>
          <w:color w:val="000000"/>
          <w:sz w:val="24"/>
        </w:rPr>
      </w:pPr>
      <w:r>
        <w:rPr>
          <w:rFonts w:hint="eastAsia" w:ascii="Times New Roman" w:hAnsi="Times New Roman" w:cs="Times New Roman"/>
          <w:bCs/>
          <w:color w:val="000000"/>
          <w:sz w:val="24"/>
        </w:rPr>
        <w:t>文化遗产保护“活化”核心是人的参与，它实际上是反映某一个时代的生产、生活和生态状态。早期的文化遗产更多是存在于政府、传承人与被传承人之间，随着时间推移，有了组织、学者、游客甚至资本的社会参与，这对于文化遗产保护与传承尤为重要，尤其在价值传播方面，公众参与是价值传播的条件，旅游是公众参与的主要方法。中办国办印发的《关于实施中华优秀传统文化传承发展工程的意见》中提出，文化遗产要坚持以保护为主，同时也要合理利用、加强传播。目前新的价值观就是走大众化路线，让各个阶层、社会机构、组织和个人都有参与的感觉，充分利用社会力量加强文化遗产保护与传承。</w:t>
      </w:r>
    </w:p>
    <w:p>
      <w:pPr>
        <w:pStyle w:val="4"/>
        <w:ind w:firstLine="480"/>
        <w:rPr>
          <w:rFonts w:ascii="Times New Roman" w:hAnsi="Times New Roman" w:cs="Times New Roman"/>
        </w:rPr>
      </w:pPr>
      <w:bookmarkStart w:id="493" w:name="_Toc12394"/>
      <w:r>
        <w:rPr>
          <w:rFonts w:hint="eastAsia" w:ascii="Times New Roman" w:hAnsi="Times New Roman" w:cs="Times New Roman"/>
        </w:rPr>
        <w:t>（四）聚焦文化遗产IP发展模式打造</w:t>
      </w:r>
      <w:bookmarkEnd w:id="493"/>
    </w:p>
    <w:p>
      <w:pPr>
        <w:spacing w:after="120" w:line="360" w:lineRule="auto"/>
        <w:ind w:firstLine="480" w:firstLineChars="200"/>
        <w:rPr>
          <w:rFonts w:ascii="Times New Roman" w:hAnsi="Times New Roman" w:cs="Times New Roman"/>
          <w:bCs/>
          <w:color w:val="000000"/>
          <w:sz w:val="24"/>
        </w:rPr>
      </w:pPr>
      <w:r>
        <w:rPr>
          <w:rFonts w:hint="eastAsia" w:ascii="Times New Roman" w:hAnsi="Times New Roman" w:cs="Times New Roman"/>
          <w:bCs/>
          <w:color w:val="000000"/>
          <w:sz w:val="24"/>
        </w:rPr>
        <w:t>从运营角度看，IP代表着某一个品牌、无形资产，可以通过商业化运营、产业化融合，转化为消费品，实现价值变现。在数字文化产业时代，运用全新的技术与设计，发展文化遗产IP+品牌合作、文化遗产IP+授权经济等多种形式，正在引领新的潮流。通过挖掘文化遗产的物质与精神内涵，结合当下优质的原创内容，并将其衍生为影视剧、游戏等方式，扩大受众群体，从而带来大量经济效益。结合实际，推动文化遗产与特色小镇、乡村振兴、文创产业融合发展，举办与文化遗产相关的节庆活动，为文化遗产的运营营销注入活力。加强对伊金霍洛旗传统工艺的传承保护和开发创新，挖掘技术与文化双重价值。推动传统工艺走进现代生活，运用现代设计改进传统工艺，促进传统工艺提高品质、形成品牌，让“文化遗产”成为“文化财产”。</w:t>
      </w:r>
    </w:p>
    <w:p>
      <w:pPr>
        <w:spacing w:line="360" w:lineRule="auto"/>
        <w:ind w:firstLine="480" w:firstLineChars="200"/>
        <w:rPr>
          <w:rFonts w:ascii="Times New Roman" w:hAnsi="Times New Roman" w:cs="Times New Roman"/>
          <w:sz w:val="24"/>
        </w:rPr>
      </w:pPr>
    </w:p>
    <w:p>
      <w:pPr>
        <w:spacing w:after="120" w:line="360" w:lineRule="auto"/>
        <w:ind w:firstLine="480" w:firstLineChars="200"/>
        <w:rPr>
          <w:rFonts w:ascii="Times New Roman" w:hAnsi="Times New Roman" w:cs="Times New Roman"/>
          <w:bCs/>
          <w:color w:val="000000"/>
          <w:sz w:val="24"/>
        </w:rPr>
      </w:pPr>
      <w:bookmarkStart w:id="494" w:name="_Toc11040"/>
    </w:p>
    <w:bookmarkEnd w:id="494"/>
    <w:p>
      <w:pPr>
        <w:rPr>
          <w:rFonts w:ascii="Times New Roman" w:hAnsi="Times New Roman" w:cs="Times New Roman"/>
          <w:bCs/>
          <w:sz w:val="24"/>
        </w:rPr>
      </w:pPr>
      <w:r>
        <w:rPr>
          <w:rFonts w:hint="eastAsia" w:ascii="Times New Roman" w:hAnsi="Times New Roman" w:cs="Times New Roman"/>
          <w:bCs/>
          <w:sz w:val="24"/>
        </w:rPr>
        <w:br w:type="page"/>
      </w:r>
    </w:p>
    <w:p>
      <w:pPr>
        <w:pStyle w:val="2"/>
        <w:rPr>
          <w:rFonts w:ascii="Times New Roman" w:hAnsi="Times New Roman" w:cs="Times New Roman" w:eastAsiaTheme="minorEastAsia"/>
        </w:rPr>
      </w:pPr>
      <w:bookmarkStart w:id="495" w:name="_Toc30343"/>
      <w:bookmarkStart w:id="496" w:name="_Toc20966"/>
      <w:bookmarkStart w:id="497" w:name="_Toc5265"/>
      <w:bookmarkStart w:id="498" w:name="_Toc13148"/>
      <w:r>
        <w:rPr>
          <w:rFonts w:hint="eastAsia" w:ascii="Times New Roman" w:hAnsi="Times New Roman" w:cs="Times New Roman" w:eastAsiaTheme="minorEastAsia"/>
        </w:rPr>
        <w:t>第八章 繁荣发展，丰富人民群众文化生活</w:t>
      </w:r>
      <w:bookmarkEnd w:id="495"/>
    </w:p>
    <w:p>
      <w:pPr>
        <w:pStyle w:val="3"/>
        <w:ind w:firstLine="560" w:firstLineChars="200"/>
        <w:rPr>
          <w:rFonts w:ascii="Times New Roman" w:hAnsi="Times New Roman" w:cs="Times New Roman"/>
        </w:rPr>
      </w:pPr>
      <w:bookmarkStart w:id="499" w:name="_Toc18599"/>
      <w:r>
        <w:rPr>
          <w:rFonts w:hint="eastAsia" w:ascii="Times New Roman" w:hAnsi="Times New Roman" w:cs="Times New Roman"/>
        </w:rPr>
        <w:t>一、培育社会主义核心价值观</w:t>
      </w:r>
      <w:bookmarkEnd w:id="499"/>
    </w:p>
    <w:p>
      <w:pPr>
        <w:pStyle w:val="9"/>
        <w:spacing w:line="360" w:lineRule="auto"/>
        <w:ind w:firstLine="480" w:firstLineChars="200"/>
        <w:rPr>
          <w:rFonts w:ascii="Times New Roman" w:hAnsi="Times New Roman" w:cs="Times New Roman"/>
          <w:bCs/>
          <w:color w:val="000000"/>
          <w:sz w:val="24"/>
        </w:rPr>
      </w:pPr>
      <w:r>
        <w:rPr>
          <w:rFonts w:hint="eastAsia" w:ascii="Times New Roman" w:hAnsi="Times New Roman" w:cs="Times New Roman"/>
          <w:bCs/>
          <w:color w:val="000000"/>
          <w:sz w:val="24"/>
        </w:rPr>
        <w:t>将培育和践行社会主义核心价值观作为重要战略任务，强化教育引导，注重实践养成，完善制度保障，将其</w:t>
      </w:r>
      <w:r>
        <w:rPr>
          <w:rFonts w:hint="eastAsia" w:ascii="Times New Roman" w:hAnsi="Times New Roman" w:cs="Times New Roman"/>
          <w:bCs/>
          <w:color w:val="000000"/>
          <w:sz w:val="24"/>
          <w:lang w:eastAsia="zh-CN"/>
        </w:rPr>
        <w:t>融会贯通</w:t>
      </w:r>
      <w:r>
        <w:rPr>
          <w:rFonts w:hint="eastAsia" w:ascii="Times New Roman" w:hAnsi="Times New Roman" w:cs="Times New Roman"/>
          <w:bCs/>
          <w:color w:val="000000"/>
          <w:sz w:val="24"/>
        </w:rPr>
        <w:t>于国民教育、精神文明建设、精神文化产品创作生产传播全过程，以之为文化的发展凝魂定向，为全民族的团结奋进凝聚共识。无论是文化事业还是文化产业，都要坚持这一价值引领，坚持文以载道、弘道兴文，繁荣有理想的文化事业、壮大有灵魂的文化产业。</w:t>
      </w:r>
    </w:p>
    <w:p>
      <w:pPr>
        <w:pStyle w:val="9"/>
        <w:spacing w:line="360" w:lineRule="auto"/>
        <w:ind w:firstLine="480" w:firstLineChars="200"/>
        <w:rPr>
          <w:rFonts w:ascii="Times New Roman" w:hAnsi="Times New Roman" w:cs="Times New Roman"/>
          <w:bCs/>
          <w:color w:val="000000"/>
          <w:sz w:val="24"/>
        </w:rPr>
      </w:pPr>
      <w:r>
        <w:rPr>
          <w:rFonts w:hint="eastAsia" w:ascii="Times New Roman" w:hAnsi="Times New Roman" w:cs="Times New Roman"/>
          <w:bCs/>
          <w:color w:val="000000"/>
          <w:sz w:val="24"/>
        </w:rPr>
        <w:t>自觉坚持以社会主义核心价值观为引领，就要通过各类文化载体，加强党史、新中国史、改革开放史、社会主义发展史教育，加强爱国主义、集体主义、社会主义教育，弘扬党和人民在各个历史时期奋斗中形成的伟大精神，涵养价值共识，推动形成适应新时代要求的思想观念、精神面貌、文明风尚、行为规范。广大文化工作者要把培育和弘扬社会主义核心价值观作为根本任务，创作属于这个时代、具有鲜明中国风格的优秀作品。各类文化企业要把握好意识形态属性和产业属性、社会效益和经济效益的关系，坚持正确导向，反映中国人民审美追求，维护国家文化安全和社会公共利益，维护社会公序良俗，积极履行社会责任和道德责任，创作生产更多健康向上、品质优良的文化产品，更好构筑中国精神、中国价值、中国力量。</w:t>
      </w:r>
    </w:p>
    <w:p>
      <w:pPr>
        <w:pStyle w:val="3"/>
        <w:ind w:firstLine="560" w:firstLineChars="200"/>
        <w:rPr>
          <w:rFonts w:hint="eastAsia" w:ascii="Times New Roman" w:hAnsi="Times New Roman" w:eastAsia="黑体" w:cs="Times New Roman"/>
          <w:color w:val="FF0000"/>
          <w:u w:val="none"/>
          <w:lang w:eastAsia="zh-CN"/>
        </w:rPr>
      </w:pPr>
      <w:bookmarkStart w:id="500" w:name="_Toc6476"/>
      <w:r>
        <w:rPr>
          <w:rFonts w:hint="eastAsia" w:ascii="Times New Roman" w:hAnsi="Times New Roman" w:cs="Times New Roman"/>
          <w:u w:val="none"/>
        </w:rPr>
        <w:t>二、推动文化艺术精品创作</w:t>
      </w:r>
      <w:r>
        <w:rPr>
          <w:rFonts w:hint="eastAsia" w:ascii="Times New Roman" w:hAnsi="Times New Roman" w:cs="Times New Roman"/>
          <w:color w:val="auto"/>
          <w:u w:val="none"/>
          <w:lang w:eastAsia="zh-CN"/>
        </w:rPr>
        <w:t>和展示交流</w:t>
      </w:r>
    </w:p>
    <w:p>
      <w:pPr>
        <w:spacing w:after="120" w:afterLines="0" w:line="360" w:lineRule="auto"/>
        <w:ind w:firstLine="480" w:firstLineChars="200"/>
        <w:rPr>
          <w:rFonts w:ascii="Times New Roman" w:hAnsi="Times New Roman" w:cs="Times New Roman"/>
          <w:bCs/>
          <w:color w:val="000000"/>
          <w:sz w:val="24"/>
          <w:u w:val="none"/>
        </w:rPr>
      </w:pPr>
      <w:r>
        <w:rPr>
          <w:rFonts w:hint="eastAsia" w:ascii="Times New Roman" w:hAnsi="Times New Roman" w:cs="Times New Roman"/>
          <w:bCs/>
          <w:color w:val="000000"/>
          <w:sz w:val="24"/>
          <w:u w:val="none"/>
        </w:rPr>
        <w:t>把“文化艺术精品创作生产”</w:t>
      </w:r>
      <w:r>
        <w:rPr>
          <w:rFonts w:hint="eastAsia" w:ascii="Times New Roman" w:hAnsi="Times New Roman" w:cs="Times New Roman"/>
          <w:bCs/>
          <w:color w:val="000000"/>
          <w:sz w:val="24"/>
          <w:u w:val="none"/>
          <w:lang w:eastAsia="zh-CN"/>
        </w:rPr>
        <w:t>重要任务</w:t>
      </w:r>
      <w:r>
        <w:rPr>
          <w:rFonts w:hint="eastAsia" w:ascii="Times New Roman" w:hAnsi="Times New Roman" w:cs="Times New Roman"/>
          <w:bCs/>
          <w:color w:val="000000"/>
          <w:sz w:val="24"/>
          <w:u w:val="none"/>
        </w:rPr>
        <w:t>，创作更多既能反映社会主义核心价值观，又能满足人民美好艺术文化生活的艺术作品。十四五期间，要充分发挥伊金霍洛旗文化艺术人才、资源、作品的优势，找准文旅结合点，扎实推动文化艺术精品创作</w:t>
      </w:r>
      <w:r>
        <w:rPr>
          <w:rFonts w:hint="eastAsia" w:ascii="Times New Roman" w:hAnsi="Times New Roman" w:cs="Times New Roman"/>
          <w:bCs/>
          <w:color w:val="000000"/>
          <w:sz w:val="24"/>
          <w:u w:val="none"/>
          <w:lang w:eastAsia="zh-CN"/>
        </w:rPr>
        <w:t>和展示交流</w:t>
      </w:r>
      <w:r>
        <w:rPr>
          <w:rFonts w:hint="eastAsia" w:ascii="Times New Roman" w:hAnsi="Times New Roman" w:cs="Times New Roman"/>
          <w:bCs/>
          <w:color w:val="000000"/>
          <w:sz w:val="24"/>
          <w:u w:val="none"/>
        </w:rPr>
        <w:t>。</w:t>
      </w:r>
    </w:p>
    <w:p>
      <w:pPr>
        <w:pStyle w:val="4"/>
        <w:ind w:firstLine="480"/>
        <w:rPr>
          <w:rFonts w:ascii="Times New Roman" w:hAnsi="Times New Roman" w:cs="Times New Roman"/>
          <w:u w:val="none"/>
        </w:rPr>
      </w:pPr>
      <w:bookmarkStart w:id="501" w:name="_Toc22262"/>
      <w:r>
        <w:rPr>
          <w:rFonts w:hint="eastAsia" w:ascii="Times New Roman" w:hAnsi="Times New Roman" w:cs="Times New Roman"/>
          <w:u w:val="none"/>
        </w:rPr>
        <w:t>（一）把握文化创作导向</w:t>
      </w:r>
      <w:bookmarkEnd w:id="501"/>
    </w:p>
    <w:p>
      <w:pPr>
        <w:spacing w:after="120" w:afterLines="0" w:line="360" w:lineRule="auto"/>
        <w:ind w:firstLine="480" w:firstLineChars="200"/>
        <w:rPr>
          <w:rFonts w:ascii="Times New Roman" w:hAnsi="Times New Roman" w:cs="Times New Roman"/>
          <w:bCs/>
          <w:color w:val="000000"/>
          <w:sz w:val="24"/>
          <w:u w:val="none"/>
        </w:rPr>
      </w:pPr>
      <w:r>
        <w:rPr>
          <w:rFonts w:hint="eastAsia" w:ascii="Times New Roman" w:hAnsi="Times New Roman" w:cs="Times New Roman"/>
          <w:bCs/>
          <w:color w:val="000000"/>
          <w:sz w:val="24"/>
          <w:u w:val="none"/>
        </w:rPr>
        <w:t>聚焦中国梦时代主题，以中华优秀传统文化为根脉，以创新为动力，大力弘扬社会主义核心价值观，唱响爱国主义主旋律。持续开展“深入生活、扎根人民”主题实践活动，建立健全长效机制。围绕重大节庆纪念活动，开展主题创作和展演展览活动。</w:t>
      </w:r>
    </w:p>
    <w:p>
      <w:pPr>
        <w:pStyle w:val="4"/>
        <w:ind w:firstLine="480"/>
        <w:rPr>
          <w:rFonts w:ascii="Times New Roman" w:hAnsi="Times New Roman" w:cs="Times New Roman"/>
          <w:u w:val="none"/>
        </w:rPr>
      </w:pPr>
      <w:bookmarkStart w:id="502" w:name="_Toc15771"/>
      <w:r>
        <w:rPr>
          <w:rFonts w:hint="eastAsia" w:ascii="Times New Roman" w:hAnsi="Times New Roman" w:cs="Times New Roman"/>
          <w:u w:val="none"/>
        </w:rPr>
        <w:t>（二）创作文化艺术精品</w:t>
      </w:r>
      <w:bookmarkEnd w:id="502"/>
    </w:p>
    <w:p>
      <w:pPr>
        <w:spacing w:after="120" w:afterLines="0" w:line="360" w:lineRule="auto"/>
        <w:ind w:firstLine="480" w:firstLineChars="200"/>
        <w:rPr>
          <w:rFonts w:ascii="Times New Roman" w:hAnsi="Times New Roman" w:cs="Times New Roman"/>
          <w:bCs/>
          <w:color w:val="auto"/>
          <w:sz w:val="24"/>
          <w:u w:val="none"/>
        </w:rPr>
      </w:pPr>
      <w:r>
        <w:rPr>
          <w:rFonts w:hint="eastAsia" w:ascii="Times New Roman" w:hAnsi="Times New Roman" w:cs="Times New Roman"/>
          <w:bCs/>
          <w:color w:val="000000"/>
          <w:sz w:val="24"/>
          <w:u w:val="none"/>
        </w:rPr>
        <w:t>通过深入挖掘伊金霍洛旗文化，用群众喜闻乐见的艺术形式，丰富文化内涵。发展网络文艺，加强网络文化产品创作生产，推动网络文学、网络剧、微电影等新兴文艺类型繁荣有序发展。</w:t>
      </w:r>
      <w:r>
        <w:rPr>
          <w:rFonts w:hint="eastAsia" w:ascii="Times New Roman" w:hAnsi="Times New Roman" w:cs="Times New Roman"/>
          <w:bCs/>
          <w:color w:val="000000"/>
          <w:sz w:val="24"/>
          <w:u w:val="none"/>
          <w:lang w:eastAsia="zh-CN"/>
        </w:rPr>
        <w:t>常态化开展</w:t>
      </w:r>
      <w:r>
        <w:rPr>
          <w:rFonts w:hint="eastAsia" w:ascii="Times New Roman" w:hAnsi="Times New Roman" w:cs="Times New Roman"/>
          <w:bCs/>
          <w:color w:val="000000"/>
          <w:sz w:val="24"/>
          <w:u w:val="none"/>
        </w:rPr>
        <w:t>国内优秀文艺剧节目来伊金霍洛旗演出，伊金霍洛旗乌兰牧骑和各文艺团队积极争取到国内外演出，扩大伊金霍洛旗文化的影响力。继续打造《鄂尔多斯婚礼》、《宫廷诈马宴》等有影响力的剧节目，推动全旗演出业的发展。</w:t>
      </w:r>
      <w:r>
        <w:rPr>
          <w:rFonts w:hint="eastAsia" w:ascii="Times New Roman" w:hAnsi="Times New Roman" w:cs="Times New Roman"/>
          <w:bCs/>
          <w:color w:val="auto"/>
          <w:sz w:val="24"/>
          <w:u w:val="none"/>
          <w:lang w:eastAsia="zh-CN"/>
        </w:rPr>
        <w:t>广泛开展农牧民汇演、广场舞大赛等品牌活动，争取各</w:t>
      </w:r>
      <w:r>
        <w:rPr>
          <w:rFonts w:hint="eastAsia" w:ascii="Times New Roman" w:hAnsi="Times New Roman" w:cs="Times New Roman"/>
          <w:bCs/>
          <w:color w:val="auto"/>
          <w:sz w:val="24"/>
          <w:u w:val="none"/>
          <w:lang w:val="en-US" w:eastAsia="zh-CN"/>
        </w:rPr>
        <w:t>1-2个作品获自治区“群星奖”和广场舞奖项。组织开展“乡村村晚”活动，打造示范品牌。</w:t>
      </w:r>
      <w:r>
        <w:rPr>
          <w:rFonts w:hint="eastAsia" w:ascii="Times New Roman" w:hAnsi="Times New Roman" w:cs="Times New Roman"/>
          <w:bCs/>
          <w:color w:val="auto"/>
          <w:sz w:val="24"/>
          <w:u w:val="none"/>
        </w:rPr>
        <w:t>推动传统文艺与网络文艺创新性融合，广泛开展丰富多彩的文化活动，加大文化艺术精品创作投入扶持力度，积极推进文化精品的内容和形式创新。</w:t>
      </w:r>
    </w:p>
    <w:p>
      <w:pPr>
        <w:pStyle w:val="9"/>
        <w:numPr>
          <w:ilvl w:val="0"/>
          <w:numId w:val="4"/>
        </w:numPr>
        <w:spacing w:line="360" w:lineRule="auto"/>
        <w:ind w:firstLine="480" w:firstLineChars="200"/>
        <w:rPr>
          <w:rFonts w:hint="eastAsia" w:ascii="Times New Roman" w:hAnsi="Times New Roman" w:eastAsia="宋体" w:cs="Times New Roman"/>
          <w:bCs/>
          <w:color w:val="auto"/>
          <w:kern w:val="2"/>
          <w:sz w:val="24"/>
          <w:szCs w:val="24"/>
          <w:u w:val="none"/>
          <w:lang w:val="en-US" w:eastAsia="zh-CN"/>
        </w:rPr>
      </w:pPr>
      <w:r>
        <w:rPr>
          <w:rFonts w:hint="eastAsia" w:ascii="Times New Roman" w:hAnsi="Times New Roman" w:eastAsia="宋体" w:cs="Times New Roman"/>
          <w:bCs/>
          <w:color w:val="auto"/>
          <w:kern w:val="2"/>
          <w:sz w:val="24"/>
          <w:szCs w:val="24"/>
          <w:u w:val="none"/>
          <w:lang w:val="en-US" w:eastAsia="zh-CN"/>
        </w:rPr>
        <w:t>实施全民艺术普及工程</w:t>
      </w:r>
    </w:p>
    <w:p>
      <w:pPr>
        <w:pStyle w:val="9"/>
        <w:numPr>
          <w:ilvl w:val="0"/>
          <w:numId w:val="0"/>
        </w:numPr>
        <w:spacing w:line="360" w:lineRule="auto"/>
        <w:ind w:firstLine="480" w:firstLineChars="200"/>
        <w:rPr>
          <w:rFonts w:hint="eastAsia" w:ascii="Times New Roman" w:hAnsi="Times New Roman" w:eastAsia="宋体" w:cs="Times New Roman"/>
          <w:bCs/>
          <w:color w:val="auto"/>
          <w:kern w:val="2"/>
          <w:sz w:val="24"/>
          <w:szCs w:val="24"/>
          <w:u w:val="none"/>
          <w:lang w:val="en-US" w:eastAsia="zh-CN"/>
        </w:rPr>
      </w:pPr>
      <w:r>
        <w:rPr>
          <w:rFonts w:hint="eastAsia" w:ascii="Times New Roman" w:hAnsi="Times New Roman" w:eastAsia="宋体" w:cs="Times New Roman"/>
          <w:bCs/>
          <w:color w:val="auto"/>
          <w:kern w:val="2"/>
          <w:sz w:val="24"/>
          <w:szCs w:val="24"/>
          <w:u w:val="none"/>
          <w:lang w:val="en-US" w:eastAsia="zh-CN"/>
        </w:rPr>
        <w:t>将全民艺术普及作为各级文化馆免费开放的重要内容，常年举办公益性文化艺术讲座、展演、展览、展示和培训活动。</w:t>
      </w:r>
      <w:r>
        <w:rPr>
          <w:rFonts w:hint="eastAsia" w:ascii="Times New Roman" w:hAnsi="Times New Roman" w:cs="Times New Roman"/>
          <w:bCs/>
          <w:color w:val="auto"/>
          <w:kern w:val="2"/>
          <w:sz w:val="24"/>
          <w:szCs w:val="24"/>
          <w:u w:val="none"/>
          <w:lang w:val="en-US" w:eastAsia="zh-CN"/>
        </w:rPr>
        <w:t>完善文化馆数字平台，实现</w:t>
      </w:r>
      <w:r>
        <w:rPr>
          <w:rFonts w:hint="eastAsia" w:ascii="Times New Roman" w:hAnsi="Times New Roman" w:eastAsia="宋体" w:cs="Times New Roman"/>
          <w:bCs/>
          <w:color w:val="auto"/>
          <w:kern w:val="2"/>
          <w:sz w:val="24"/>
          <w:szCs w:val="24"/>
          <w:u w:val="none"/>
          <w:lang w:val="en-US" w:eastAsia="zh-CN"/>
        </w:rPr>
        <w:t>线上线下有效联动。推动乡村艺术普及，结合民情、民风、民俗，策划实施民间艺术普及活动，激发乡村文化活力。组织全民艺术普及成果展示活动。</w:t>
      </w:r>
    </w:p>
    <w:p>
      <w:pPr>
        <w:pStyle w:val="9"/>
        <w:numPr>
          <w:ilvl w:val="0"/>
          <w:numId w:val="4"/>
        </w:numPr>
        <w:spacing w:line="360" w:lineRule="auto"/>
        <w:ind w:left="0" w:leftChars="0" w:firstLine="480" w:firstLineChars="200"/>
        <w:rPr>
          <w:rFonts w:hint="eastAsia" w:ascii="Times New Roman" w:hAnsi="Times New Roman" w:eastAsia="宋体" w:cs="Times New Roman"/>
          <w:bCs/>
          <w:color w:val="auto"/>
          <w:kern w:val="2"/>
          <w:sz w:val="24"/>
          <w:szCs w:val="24"/>
          <w:u w:val="none"/>
          <w:lang w:val="en-US" w:eastAsia="zh-CN"/>
        </w:rPr>
      </w:pPr>
      <w:r>
        <w:rPr>
          <w:rFonts w:hint="eastAsia" w:ascii="Times New Roman" w:hAnsi="Times New Roman" w:eastAsia="宋体" w:cs="Times New Roman"/>
          <w:bCs/>
          <w:color w:val="auto"/>
          <w:kern w:val="2"/>
          <w:sz w:val="24"/>
          <w:szCs w:val="24"/>
          <w:u w:val="none"/>
          <w:lang w:val="en-US" w:eastAsia="zh-CN"/>
        </w:rPr>
        <w:t>培育群众文艺团队和文艺骨干</w:t>
      </w:r>
    </w:p>
    <w:p>
      <w:pPr>
        <w:pStyle w:val="9"/>
        <w:numPr>
          <w:ilvl w:val="0"/>
          <w:numId w:val="0"/>
        </w:numPr>
        <w:spacing w:line="360" w:lineRule="auto"/>
        <w:ind w:firstLine="480" w:firstLineChars="200"/>
        <w:rPr>
          <w:rFonts w:hint="eastAsia" w:ascii="Times New Roman" w:hAnsi="Times New Roman" w:eastAsia="宋体" w:cs="Times New Roman"/>
          <w:bCs/>
          <w:color w:val="auto"/>
          <w:kern w:val="2"/>
          <w:sz w:val="24"/>
          <w:szCs w:val="24"/>
          <w:u w:val="none"/>
          <w:lang w:val="en-US" w:eastAsia="zh-CN"/>
        </w:rPr>
      </w:pPr>
      <w:r>
        <w:rPr>
          <w:rFonts w:hint="eastAsia" w:ascii="Times New Roman" w:hAnsi="Times New Roman" w:eastAsia="宋体" w:cs="Times New Roman"/>
          <w:bCs/>
          <w:color w:val="auto"/>
          <w:kern w:val="2"/>
          <w:sz w:val="24"/>
          <w:szCs w:val="24"/>
          <w:u w:val="none"/>
          <w:lang w:val="en-US" w:eastAsia="zh-CN"/>
        </w:rPr>
        <w:t>挖掘选拔一批有热情、有才华的优秀文艺人才，</w:t>
      </w:r>
      <w:r>
        <w:rPr>
          <w:rFonts w:hint="eastAsia" w:ascii="Times New Roman" w:hAnsi="Times New Roman" w:cs="Times New Roman"/>
          <w:bCs/>
          <w:color w:val="auto"/>
          <w:kern w:val="2"/>
          <w:sz w:val="24"/>
          <w:szCs w:val="24"/>
          <w:u w:val="none"/>
          <w:lang w:val="en-US" w:eastAsia="zh-CN"/>
        </w:rPr>
        <w:t>建立群众文艺团队、文艺辅导员、文化骨干等人才信息库，出台支持政策，加大对群众文艺团队和文艺辅导员等的扶持力度，培养一批示范性文艺团队群众活动带头人。加强艺术培训，建立文艺作品创作机制，征集一批文艺作品，开展展示交流活动。</w:t>
      </w:r>
    </w:p>
    <w:p>
      <w:pPr>
        <w:pStyle w:val="3"/>
        <w:ind w:firstLine="560" w:firstLineChars="200"/>
        <w:rPr>
          <w:rFonts w:ascii="Times New Roman" w:hAnsi="Times New Roman" w:cs="Times New Roman"/>
          <w:color w:val="auto"/>
          <w:u w:val="none"/>
        </w:rPr>
      </w:pPr>
      <w:bookmarkStart w:id="503" w:name="_Toc24468"/>
      <w:bookmarkStart w:id="504" w:name="_Toc3598"/>
      <w:r>
        <w:rPr>
          <w:rFonts w:hint="eastAsia" w:ascii="Times New Roman" w:hAnsi="Times New Roman" w:cs="Times New Roman"/>
          <w:color w:val="auto"/>
          <w:u w:val="none"/>
        </w:rPr>
        <w:t>三、完善公共文化服务体系</w:t>
      </w:r>
      <w:bookmarkEnd w:id="503"/>
    </w:p>
    <w:p>
      <w:pPr>
        <w:pStyle w:val="9"/>
        <w:spacing w:line="360" w:lineRule="auto"/>
        <w:ind w:firstLine="480" w:firstLineChars="200"/>
        <w:rPr>
          <w:rFonts w:ascii="Times New Roman" w:hAnsi="Times New Roman" w:cs="Times New Roman"/>
          <w:b w:val="0"/>
          <w:bCs/>
          <w:color w:val="auto"/>
          <w:sz w:val="24"/>
          <w:u w:val="none"/>
        </w:rPr>
      </w:pPr>
      <w:r>
        <w:rPr>
          <w:rFonts w:hint="eastAsia" w:ascii="Times New Roman" w:hAnsi="Times New Roman" w:cs="Times New Roman"/>
          <w:b w:val="0"/>
          <w:bCs/>
          <w:color w:val="auto"/>
          <w:sz w:val="24"/>
          <w:u w:val="none"/>
          <w:lang w:eastAsia="zh-CN"/>
        </w:rPr>
        <w:t>立足新发展阶段、贯彻新发展理念，着力推动国家公共文化服务体系示范区创新发展</w:t>
      </w:r>
      <w:r>
        <w:rPr>
          <w:rFonts w:hint="eastAsia" w:ascii="Times New Roman" w:hAnsi="Times New Roman" w:cs="Times New Roman"/>
          <w:b w:val="0"/>
          <w:bCs/>
          <w:color w:val="auto"/>
          <w:sz w:val="24"/>
          <w:u w:val="none"/>
        </w:rPr>
        <w:t>，</w:t>
      </w:r>
      <w:r>
        <w:rPr>
          <w:rFonts w:hint="eastAsia" w:ascii="Times New Roman" w:hAnsi="Times New Roman" w:cs="Times New Roman"/>
          <w:b w:val="0"/>
          <w:bCs/>
          <w:color w:val="auto"/>
          <w:sz w:val="24"/>
          <w:u w:val="none"/>
          <w:lang w:eastAsia="zh-CN"/>
        </w:rPr>
        <w:t>打造公共文化服务先行区、样板区，争创自治区公共文化服务建设示范旗和创新案例。</w:t>
      </w:r>
    </w:p>
    <w:p>
      <w:pPr>
        <w:pStyle w:val="4"/>
        <w:ind w:firstLine="480"/>
        <w:rPr>
          <w:rFonts w:ascii="Times New Roman" w:hAnsi="Times New Roman" w:cs="Times New Roman"/>
          <w:color w:val="auto"/>
          <w:u w:val="none"/>
        </w:rPr>
      </w:pPr>
      <w:bookmarkStart w:id="505" w:name="_Toc14467"/>
      <w:r>
        <w:rPr>
          <w:rFonts w:hint="eastAsia" w:ascii="Times New Roman" w:hAnsi="Times New Roman" w:cs="Times New Roman"/>
          <w:color w:val="auto"/>
          <w:u w:val="none"/>
        </w:rPr>
        <w:t>（一）公共文化设施网络建设</w:t>
      </w:r>
      <w:bookmarkEnd w:id="505"/>
    </w:p>
    <w:p>
      <w:pPr>
        <w:pStyle w:val="9"/>
        <w:spacing w:line="360" w:lineRule="auto"/>
        <w:ind w:firstLine="480" w:firstLineChars="200"/>
        <w:rPr>
          <w:rFonts w:ascii="Times New Roman" w:hAnsi="Times New Roman" w:cs="Times New Roman"/>
          <w:bCs/>
          <w:color w:val="auto"/>
          <w:sz w:val="24"/>
          <w:u w:val="none"/>
        </w:rPr>
      </w:pPr>
      <w:r>
        <w:rPr>
          <w:rFonts w:hint="eastAsia" w:ascii="Times New Roman" w:hAnsi="Times New Roman" w:cs="Times New Roman"/>
          <w:bCs/>
          <w:color w:val="auto"/>
          <w:sz w:val="24"/>
          <w:u w:val="none"/>
        </w:rPr>
        <w:t>坚持政府主导、社会参与、重心下移、共建共享，坚持缺什么补什么，注重有用、适用、综合、配套，统筹建设、使用与管理，不断完善标准化、均等化的公共文化服务设施，提高基本公共文化服务的覆盖面和适用性。</w:t>
      </w:r>
    </w:p>
    <w:p>
      <w:pPr>
        <w:spacing w:after="120" w:afterLines="0" w:line="360" w:lineRule="auto"/>
        <w:ind w:firstLine="480" w:firstLineChars="200"/>
        <w:rPr>
          <w:rFonts w:ascii="Times New Roman" w:hAnsi="Times New Roman" w:cs="Times New Roman"/>
          <w:b/>
          <w:bCs w:val="0"/>
          <w:color w:val="auto"/>
          <w:sz w:val="24"/>
          <w:u w:val="none"/>
        </w:rPr>
      </w:pPr>
      <w:r>
        <w:rPr>
          <w:rFonts w:hint="eastAsia" w:ascii="Times New Roman" w:hAnsi="Times New Roman" w:cs="Times New Roman"/>
          <w:bCs/>
          <w:color w:val="auto"/>
          <w:sz w:val="24"/>
          <w:u w:val="none"/>
        </w:rPr>
        <w:t>伊金霍洛旗现已建成一级文化馆、二级图书馆各1个，国有博物馆</w:t>
      </w:r>
      <w:r>
        <w:rPr>
          <w:rFonts w:hint="eastAsia" w:ascii="Times New Roman" w:hAnsi="Times New Roman" w:cs="Times New Roman"/>
          <w:bCs/>
          <w:color w:val="auto"/>
          <w:sz w:val="24"/>
          <w:u w:val="none"/>
          <w:lang w:val="en-US" w:eastAsia="zh-CN"/>
        </w:rPr>
        <w:t>3</w:t>
      </w:r>
      <w:r>
        <w:rPr>
          <w:rFonts w:hint="eastAsia" w:ascii="Times New Roman" w:hAnsi="Times New Roman" w:cs="Times New Roman"/>
          <w:bCs/>
          <w:color w:val="auto"/>
          <w:sz w:val="24"/>
          <w:u w:val="none"/>
        </w:rPr>
        <w:t>个，民营博物馆2个，</w:t>
      </w:r>
      <w:r>
        <w:rPr>
          <w:rFonts w:hint="eastAsia" w:ascii="Times New Roman" w:hAnsi="Times New Roman" w:cs="Times New Roman"/>
          <w:b w:val="0"/>
          <w:bCs/>
          <w:color w:val="auto"/>
          <w:sz w:val="24"/>
          <w:u w:val="none"/>
        </w:rPr>
        <w:t>全旗共有7个镇级综合文化服务中心，126个村级综合文化服务中心</w:t>
      </w:r>
      <w:r>
        <w:rPr>
          <w:rFonts w:hint="eastAsia" w:ascii="Times New Roman" w:hAnsi="Times New Roman" w:cs="Times New Roman"/>
          <w:b w:val="0"/>
          <w:bCs/>
          <w:color w:val="auto"/>
          <w:sz w:val="24"/>
          <w:u w:val="none"/>
          <w:lang w:eastAsia="zh-CN"/>
        </w:rPr>
        <w:t>，</w:t>
      </w:r>
      <w:r>
        <w:rPr>
          <w:rFonts w:hint="eastAsia" w:ascii="Times New Roman" w:hAnsi="Times New Roman" w:cs="Times New Roman"/>
          <w:b w:val="0"/>
          <w:bCs/>
          <w:color w:val="auto"/>
          <w:sz w:val="24"/>
          <w:u w:val="none"/>
        </w:rPr>
        <w:t>23个社区文化活动中心</w:t>
      </w:r>
      <w:r>
        <w:rPr>
          <w:rFonts w:hint="eastAsia" w:ascii="Times New Roman" w:hAnsi="Times New Roman" w:cs="Times New Roman"/>
          <w:b w:val="0"/>
          <w:bCs/>
          <w:color w:val="auto"/>
          <w:sz w:val="24"/>
          <w:u w:val="none"/>
          <w:lang w:eastAsia="zh-CN"/>
        </w:rPr>
        <w:t>。</w:t>
      </w:r>
    </w:p>
    <w:p>
      <w:pPr>
        <w:spacing w:after="120" w:afterLines="0" w:line="360" w:lineRule="auto"/>
        <w:ind w:firstLine="480" w:firstLineChars="200"/>
        <w:rPr>
          <w:rFonts w:ascii="Times New Roman" w:hAnsi="Times New Roman" w:cs="Times New Roman"/>
          <w:b w:val="0"/>
          <w:bCs/>
          <w:color w:val="auto"/>
          <w:sz w:val="24"/>
          <w:u w:val="none"/>
        </w:rPr>
      </w:pPr>
      <w:r>
        <w:rPr>
          <w:rFonts w:hint="eastAsia" w:ascii="Times New Roman" w:hAnsi="Times New Roman" w:cs="Times New Roman"/>
          <w:bCs/>
          <w:color w:val="auto"/>
          <w:sz w:val="24"/>
          <w:u w:val="none"/>
        </w:rPr>
        <w:t>十四五期间持续完善公共文化设施。</w:t>
      </w:r>
      <w:r>
        <w:rPr>
          <w:rFonts w:hint="eastAsia" w:ascii="Times New Roman" w:hAnsi="Times New Roman" w:cs="Times New Roman"/>
          <w:b w:val="0"/>
          <w:bCs/>
          <w:color w:val="auto"/>
          <w:sz w:val="24"/>
          <w:u w:val="none"/>
          <w:lang w:eastAsia="zh-CN"/>
        </w:rPr>
        <w:t>补短板，</w:t>
      </w:r>
      <w:r>
        <w:rPr>
          <w:rFonts w:hint="eastAsia" w:ascii="Times New Roman" w:hAnsi="Times New Roman" w:cs="Times New Roman"/>
          <w:b w:val="0"/>
          <w:bCs/>
          <w:color w:val="auto"/>
          <w:sz w:val="24"/>
          <w:u w:val="none"/>
        </w:rPr>
        <w:t>高标准建设</w:t>
      </w:r>
      <w:r>
        <w:rPr>
          <w:rFonts w:hint="eastAsia" w:ascii="Times New Roman" w:hAnsi="Times New Roman" w:cs="Times New Roman"/>
          <w:b w:val="0"/>
          <w:bCs/>
          <w:color w:val="auto"/>
          <w:sz w:val="24"/>
          <w:u w:val="none"/>
          <w:lang w:eastAsia="zh-CN"/>
        </w:rPr>
        <w:t>伊金霍洛旗</w:t>
      </w:r>
      <w:r>
        <w:rPr>
          <w:rFonts w:hint="eastAsia" w:ascii="Times New Roman" w:hAnsi="Times New Roman" w:cs="Times New Roman"/>
          <w:b w:val="0"/>
          <w:bCs/>
          <w:color w:val="auto"/>
          <w:sz w:val="24"/>
          <w:u w:val="none"/>
        </w:rPr>
        <w:t>博物馆</w:t>
      </w:r>
      <w:r>
        <w:rPr>
          <w:rFonts w:hint="eastAsia" w:ascii="Times New Roman" w:hAnsi="Times New Roman" w:cs="Times New Roman"/>
          <w:b w:val="0"/>
          <w:bCs/>
          <w:color w:val="auto"/>
          <w:sz w:val="24"/>
          <w:u w:val="none"/>
          <w:lang w:eastAsia="zh-CN"/>
        </w:rPr>
        <w:t>；图书馆继续完善馆藏资源，打造地方文献、古籍等特色资源库，整合社会资源，开展联合阅读推广活动，培养一批阅读推广人群，深入开展“你阅读、我买单”、数字文化蒙古包、鸿雁阅读计划等项目，立足建设智慧图书馆，争创国家一级图书馆；文化馆持续推进数字文化馆建设，加强公共文化数字化平台建设，实现与基层文化站互通互联</w:t>
      </w:r>
      <w:r>
        <w:rPr>
          <w:rFonts w:hint="eastAsia" w:ascii="Times New Roman" w:hAnsi="Times New Roman" w:cs="Times New Roman"/>
          <w:b w:val="0"/>
          <w:bCs/>
          <w:color w:val="auto"/>
          <w:sz w:val="24"/>
          <w:u w:val="none"/>
        </w:rPr>
        <w:t>；</w:t>
      </w:r>
      <w:r>
        <w:rPr>
          <w:rFonts w:hint="eastAsia" w:ascii="Times New Roman" w:hAnsi="Times New Roman" w:cs="Times New Roman"/>
          <w:b w:val="0"/>
          <w:bCs/>
          <w:color w:val="auto"/>
          <w:sz w:val="24"/>
          <w:u w:val="none"/>
          <w:lang w:eastAsia="zh-CN"/>
        </w:rPr>
        <w:t>推进公共文化数字化网络化智能化建设，</w:t>
      </w:r>
      <w:r>
        <w:rPr>
          <w:rFonts w:hint="eastAsia" w:ascii="Times New Roman" w:hAnsi="Times New Roman" w:cs="Times New Roman"/>
          <w:bCs/>
          <w:color w:val="auto"/>
          <w:sz w:val="24"/>
          <w:u w:val="none"/>
        </w:rPr>
        <w:t>加强“三馆”环境、设施、技术装备建设，在馆内引入机器助手、虚拟现实等技术，进行自助借还、引领参观、全景漫游</w:t>
      </w:r>
      <w:r>
        <w:rPr>
          <w:rFonts w:hint="eastAsia" w:ascii="Times New Roman" w:hAnsi="Times New Roman" w:cs="Times New Roman"/>
          <w:bCs/>
          <w:color w:val="auto"/>
          <w:sz w:val="24"/>
          <w:u w:val="none"/>
          <w:lang w:eastAsia="zh-CN"/>
        </w:rPr>
        <w:t>、沉浸式</w:t>
      </w:r>
      <w:r>
        <w:rPr>
          <w:rFonts w:hint="eastAsia" w:ascii="Times New Roman" w:hAnsi="Times New Roman" w:cs="Times New Roman"/>
          <w:bCs/>
          <w:color w:val="auto"/>
          <w:sz w:val="24"/>
          <w:u w:val="none"/>
        </w:rPr>
        <w:t>等服务，在馆外建设智能系统，网上借阅、在线课堂、共享直播、活动预约等，打造拥有信息化、网络化、智能化多种服务功能的现代化场馆。</w:t>
      </w:r>
      <w:r>
        <w:rPr>
          <w:rFonts w:hint="eastAsia" w:ascii="Times New Roman" w:hAnsi="Times New Roman" w:cs="Times New Roman"/>
          <w:b w:val="0"/>
          <w:bCs/>
          <w:color w:val="auto"/>
          <w:sz w:val="24"/>
          <w:u w:val="none"/>
          <w:lang w:eastAsia="zh-CN"/>
        </w:rPr>
        <w:t>创新培育城市公共文化空间，推动社区文化“嵌入式”服务，将文化创意融入社会生活场景，将社区文化设施建设纳入城市更新计划，鼓励社会力量参与，结合老旧小区、老旧厂区、拆迁改造等，创新打造一批具有鲜明特色和人文品质的新型公共文化空间。</w:t>
      </w:r>
    </w:p>
    <w:p>
      <w:pPr>
        <w:pStyle w:val="4"/>
        <w:ind w:firstLine="480"/>
        <w:rPr>
          <w:rFonts w:ascii="Times New Roman" w:hAnsi="Times New Roman" w:cs="Times New Roman"/>
          <w:color w:val="auto"/>
          <w:u w:val="none"/>
        </w:rPr>
      </w:pPr>
      <w:bookmarkStart w:id="506" w:name="_Toc17109"/>
      <w:r>
        <w:rPr>
          <w:rFonts w:hint="eastAsia" w:ascii="Times New Roman" w:hAnsi="Times New Roman" w:cs="Times New Roman"/>
          <w:color w:val="auto"/>
          <w:u w:val="none"/>
        </w:rPr>
        <w:t>（二）公共文化服务供给</w:t>
      </w:r>
      <w:bookmarkEnd w:id="506"/>
    </w:p>
    <w:p>
      <w:pPr>
        <w:spacing w:after="120" w:afterLines="0" w:line="360" w:lineRule="auto"/>
        <w:ind w:firstLine="480" w:firstLineChars="200"/>
        <w:rPr>
          <w:rFonts w:ascii="Times New Roman" w:hAnsi="Times New Roman" w:cs="Times New Roman"/>
          <w:b w:val="0"/>
          <w:bCs/>
          <w:color w:val="auto"/>
          <w:sz w:val="24"/>
          <w:u w:val="none"/>
        </w:rPr>
      </w:pPr>
      <w:r>
        <w:rPr>
          <w:rFonts w:hint="eastAsia" w:ascii="Times New Roman" w:hAnsi="Times New Roman" w:cs="Times New Roman"/>
          <w:bCs/>
          <w:color w:val="auto"/>
          <w:sz w:val="24"/>
          <w:u w:val="none"/>
        </w:rPr>
        <w:t>根据《国家基本公共文化服务标准》和自治区公共文化服务标准，制定与</w:t>
      </w:r>
      <w:r>
        <w:rPr>
          <w:rFonts w:hint="eastAsia" w:ascii="Times New Roman" w:hAnsi="Times New Roman" w:cs="Times New Roman"/>
          <w:bCs/>
          <w:color w:val="auto"/>
          <w:sz w:val="24"/>
          <w:u w:val="none"/>
          <w:lang w:eastAsia="zh-CN"/>
        </w:rPr>
        <w:t>伊金霍洛旗</w:t>
      </w:r>
      <w:r>
        <w:rPr>
          <w:rFonts w:hint="eastAsia" w:ascii="Times New Roman" w:hAnsi="Times New Roman" w:cs="Times New Roman"/>
          <w:bCs/>
          <w:color w:val="auto"/>
          <w:sz w:val="24"/>
          <w:u w:val="none"/>
        </w:rPr>
        <w:t>经济社会发展、具有地域特色的公共文化服务标准，提升农村地区公共文化服务水平，保障特殊群体公共文化服务，开设针对老人、未成年人、残疾人、生活困难群众的公共文化服务项目。</w:t>
      </w:r>
      <w:r>
        <w:rPr>
          <w:rFonts w:hint="eastAsia" w:ascii="Times New Roman" w:hAnsi="Times New Roman" w:cs="Times New Roman"/>
          <w:b w:val="0"/>
          <w:bCs/>
          <w:color w:val="auto"/>
          <w:sz w:val="24"/>
          <w:u w:val="none"/>
          <w:lang w:eastAsia="zh-CN"/>
        </w:rPr>
        <w:t>坚持把社会效益放在首位，推动有条件的公共文化机构盘活文化资源，开发文创产品。</w:t>
      </w:r>
      <w:r>
        <w:rPr>
          <w:rFonts w:hint="eastAsia" w:ascii="Times New Roman" w:hAnsi="Times New Roman" w:cs="Times New Roman"/>
          <w:bCs/>
          <w:color w:val="auto"/>
          <w:sz w:val="24"/>
          <w:u w:val="none"/>
        </w:rPr>
        <w:t>图书馆、文化馆、博物馆</w:t>
      </w:r>
      <w:r>
        <w:rPr>
          <w:rFonts w:hint="eastAsia" w:ascii="Times New Roman" w:hAnsi="Times New Roman" w:cs="Times New Roman"/>
          <w:bCs/>
          <w:color w:val="auto"/>
          <w:sz w:val="24"/>
          <w:u w:val="none"/>
          <w:lang w:eastAsia="zh-CN"/>
        </w:rPr>
        <w:t>落实</w:t>
      </w:r>
      <w:r>
        <w:rPr>
          <w:rFonts w:hint="eastAsia" w:ascii="Times New Roman" w:hAnsi="Times New Roman" w:cs="Times New Roman"/>
          <w:bCs/>
          <w:color w:val="auto"/>
          <w:sz w:val="24"/>
          <w:u w:val="none"/>
        </w:rPr>
        <w:t>免费开放</w:t>
      </w:r>
      <w:r>
        <w:rPr>
          <w:rFonts w:hint="eastAsia" w:ascii="Times New Roman" w:hAnsi="Times New Roman" w:cs="Times New Roman"/>
          <w:bCs/>
          <w:color w:val="auto"/>
          <w:sz w:val="24"/>
          <w:u w:val="none"/>
          <w:lang w:eastAsia="zh-CN"/>
        </w:rPr>
        <w:t>政策，积极开展延时、错时等服务形式</w:t>
      </w:r>
      <w:r>
        <w:rPr>
          <w:rFonts w:hint="eastAsia" w:ascii="Times New Roman" w:hAnsi="Times New Roman" w:cs="Times New Roman"/>
          <w:bCs/>
          <w:color w:val="auto"/>
          <w:sz w:val="24"/>
          <w:u w:val="none"/>
        </w:rPr>
        <w:t>。强化文化服务管理机制，</w:t>
      </w:r>
      <w:r>
        <w:rPr>
          <w:rFonts w:hint="eastAsia" w:ascii="Times New Roman" w:hAnsi="Times New Roman" w:cs="Times New Roman"/>
          <w:bCs/>
          <w:color w:val="auto"/>
          <w:sz w:val="24"/>
          <w:u w:val="none"/>
          <w:lang w:eastAsia="zh-CN"/>
        </w:rPr>
        <w:t>加强对文化管理员培训和考核评价</w:t>
      </w:r>
      <w:r>
        <w:rPr>
          <w:rFonts w:hint="eastAsia" w:ascii="Times New Roman" w:hAnsi="Times New Roman" w:cs="Times New Roman"/>
          <w:bCs/>
          <w:color w:val="auto"/>
          <w:sz w:val="24"/>
          <w:u w:val="none"/>
        </w:rPr>
        <w:t>，</w:t>
      </w:r>
      <w:r>
        <w:rPr>
          <w:rFonts w:hint="eastAsia" w:ascii="Times New Roman" w:hAnsi="Times New Roman" w:cs="Times New Roman"/>
          <w:bCs/>
          <w:color w:val="auto"/>
          <w:sz w:val="24"/>
          <w:u w:val="none"/>
          <w:lang w:eastAsia="zh-CN"/>
        </w:rPr>
        <w:t>引导其</w:t>
      </w:r>
      <w:r>
        <w:rPr>
          <w:rFonts w:hint="eastAsia" w:ascii="Times New Roman" w:hAnsi="Times New Roman" w:cs="Times New Roman"/>
          <w:bCs/>
          <w:color w:val="auto"/>
          <w:sz w:val="24"/>
          <w:u w:val="none"/>
        </w:rPr>
        <w:t>从事村文化室、书籍的管理以及群众文化工作开展等事宜，使群众文化生活进一步丰富，创新群众文化活动形式。图书馆、文化馆、博物馆、专业剧团要</w:t>
      </w:r>
      <w:r>
        <w:rPr>
          <w:rFonts w:hint="eastAsia" w:ascii="Times New Roman" w:hAnsi="Times New Roman" w:cs="Times New Roman"/>
          <w:bCs/>
          <w:color w:val="auto"/>
          <w:sz w:val="24"/>
          <w:u w:val="none"/>
          <w:lang w:eastAsia="zh-CN"/>
        </w:rPr>
        <w:t>利用流动服务车等形式</w:t>
      </w:r>
      <w:r>
        <w:rPr>
          <w:rFonts w:hint="eastAsia" w:ascii="Times New Roman" w:hAnsi="Times New Roman" w:cs="Times New Roman"/>
          <w:bCs/>
          <w:color w:val="auto"/>
          <w:sz w:val="24"/>
          <w:u w:val="none"/>
        </w:rPr>
        <w:t>，广泛开展图书借阅、文艺演出、文化展览等流动服务，为群众提供更加多元便捷的公共文化服务。</w:t>
      </w:r>
      <w:r>
        <w:rPr>
          <w:rFonts w:hint="eastAsia" w:ascii="Times New Roman" w:hAnsi="Times New Roman" w:cs="Times New Roman"/>
          <w:b w:val="0"/>
          <w:bCs/>
          <w:color w:val="auto"/>
          <w:sz w:val="24"/>
          <w:u w:val="none"/>
          <w:lang w:eastAsia="zh-CN"/>
        </w:rPr>
        <w:t>积极推动公共文化服务融合发展，完善公共文化服务进校园的常态化机制，通过设立课外教育基地等形式，建立与中小学的双向融合机制。推动公共文化服务与农业、卫生、科普、民政等领域惠民项目融合发展。深入推进公共文化服务领域军民融合工作，加快公共文化设施资源的共建共享。</w:t>
      </w:r>
    </w:p>
    <w:p>
      <w:pPr>
        <w:pStyle w:val="4"/>
        <w:ind w:firstLine="480"/>
        <w:rPr>
          <w:rFonts w:ascii="Times New Roman" w:hAnsi="Times New Roman" w:cs="Times New Roman"/>
          <w:color w:val="auto"/>
          <w:u w:val="none"/>
        </w:rPr>
      </w:pPr>
      <w:bookmarkStart w:id="507" w:name="_Toc17010"/>
      <w:r>
        <w:rPr>
          <w:rFonts w:hint="eastAsia" w:ascii="Times New Roman" w:hAnsi="Times New Roman" w:cs="Times New Roman"/>
          <w:color w:val="auto"/>
          <w:u w:val="none"/>
        </w:rPr>
        <w:t>（三）公共文化服务社会化建设</w:t>
      </w:r>
      <w:bookmarkEnd w:id="507"/>
    </w:p>
    <w:p>
      <w:pPr>
        <w:spacing w:after="120" w:afterLines="0" w:line="360" w:lineRule="auto"/>
        <w:ind w:firstLine="480" w:firstLineChars="200"/>
        <w:rPr>
          <w:rFonts w:hint="eastAsia" w:ascii="Times New Roman" w:hAnsi="Times New Roman" w:cs="Times New Roman"/>
          <w:bCs/>
          <w:color w:val="auto"/>
          <w:sz w:val="24"/>
          <w:u w:val="none"/>
        </w:rPr>
      </w:pPr>
      <w:r>
        <w:rPr>
          <w:rFonts w:hint="eastAsia" w:ascii="Times New Roman" w:hAnsi="Times New Roman" w:cs="Times New Roman"/>
          <w:bCs/>
          <w:color w:val="auto"/>
          <w:sz w:val="24"/>
          <w:u w:val="none"/>
        </w:rPr>
        <w:t>建立健全政府向社会力量购买公共文化服务机制，将政府购买公共文化服务资金纳入本地财政预算，促进公共文化服务提供主体和提供方式多元化。</w:t>
      </w:r>
      <w:r>
        <w:rPr>
          <w:rFonts w:hint="eastAsia" w:ascii="Times New Roman" w:hAnsi="Times New Roman" w:cs="Times New Roman"/>
          <w:b w:val="0"/>
          <w:bCs/>
          <w:color w:val="auto"/>
          <w:sz w:val="24"/>
          <w:u w:val="none"/>
          <w:lang w:eastAsia="zh-CN"/>
        </w:rPr>
        <w:t>培育一批具有较高服务水平、管理规范的文化类社会组织，积极探索社会力量参与公共文化服务的方式，鼓励社会力量参与公共文化服务和管理。</w:t>
      </w:r>
      <w:r>
        <w:rPr>
          <w:rFonts w:hint="eastAsia" w:ascii="Times New Roman" w:hAnsi="Times New Roman" w:cs="Times New Roman"/>
          <w:bCs/>
          <w:color w:val="auto"/>
          <w:sz w:val="24"/>
          <w:u w:val="none"/>
        </w:rPr>
        <w:t>鼓励和支持社会力量通过投资和捐助设施设备、兴办实体、资助项目、赞助活动等方式参与公共文化</w:t>
      </w:r>
      <w:r>
        <w:rPr>
          <w:rFonts w:hint="eastAsia" w:ascii="Times New Roman" w:hAnsi="Times New Roman" w:cs="Times New Roman"/>
          <w:bCs/>
          <w:color w:val="auto"/>
          <w:sz w:val="24"/>
          <w:u w:val="none"/>
          <w:lang w:eastAsia="zh-CN"/>
        </w:rPr>
        <w:t>服务</w:t>
      </w:r>
      <w:r>
        <w:rPr>
          <w:rFonts w:hint="eastAsia" w:ascii="Times New Roman" w:hAnsi="Times New Roman" w:cs="Times New Roman"/>
          <w:bCs/>
          <w:color w:val="auto"/>
          <w:sz w:val="24"/>
          <w:u w:val="none"/>
        </w:rPr>
        <w:t>体系建设。结合</w:t>
      </w:r>
      <w:r>
        <w:rPr>
          <w:rFonts w:hint="eastAsia" w:ascii="Times New Roman" w:hAnsi="Times New Roman" w:cs="Times New Roman"/>
          <w:bCs/>
          <w:color w:val="auto"/>
          <w:sz w:val="24"/>
          <w:u w:val="none"/>
          <w:lang w:eastAsia="zh-CN"/>
        </w:rPr>
        <w:t>伊金霍洛旗</w:t>
      </w:r>
      <w:r>
        <w:rPr>
          <w:rFonts w:hint="eastAsia" w:ascii="Times New Roman" w:hAnsi="Times New Roman" w:cs="Times New Roman"/>
          <w:bCs/>
          <w:color w:val="auto"/>
          <w:sz w:val="24"/>
          <w:u w:val="none"/>
        </w:rPr>
        <w:t>实际，</w:t>
      </w:r>
      <w:r>
        <w:rPr>
          <w:rFonts w:hint="eastAsia" w:ascii="Times New Roman" w:hAnsi="Times New Roman" w:cs="Times New Roman"/>
          <w:bCs/>
          <w:color w:val="auto"/>
          <w:sz w:val="24"/>
          <w:u w:val="none"/>
          <w:lang w:eastAsia="zh-CN"/>
        </w:rPr>
        <w:t>壮大文化志愿者队伍，</w:t>
      </w:r>
      <w:r>
        <w:rPr>
          <w:rFonts w:hint="eastAsia" w:ascii="Times New Roman" w:hAnsi="Times New Roman" w:cs="Times New Roman"/>
          <w:bCs/>
          <w:color w:val="auto"/>
          <w:sz w:val="24"/>
          <w:u w:val="none"/>
        </w:rPr>
        <w:t>发展文化志愿服务。出台培育和促进文化消费的相关政策，完善公益性演出补贴制度。通过票价补贴、剧场运营补贴等方式，支持艺术表演团体提供公益性演出。</w:t>
      </w:r>
    </w:p>
    <w:p>
      <w:pPr>
        <w:pStyle w:val="4"/>
        <w:numPr>
          <w:ilvl w:val="0"/>
          <w:numId w:val="5"/>
        </w:numPr>
        <w:ind w:left="-60" w:leftChars="0" w:firstLine="480" w:firstLineChars="0"/>
        <w:rPr>
          <w:rFonts w:hint="eastAsia" w:ascii="Times New Roman" w:hAnsi="Times New Roman" w:cs="Times New Roman"/>
          <w:b w:val="0"/>
          <w:bCs w:val="0"/>
          <w:color w:val="auto"/>
          <w:u w:val="none"/>
          <w:lang w:eastAsia="zh-CN"/>
        </w:rPr>
      </w:pPr>
      <w:r>
        <w:rPr>
          <w:rFonts w:hint="eastAsia" w:ascii="Times New Roman" w:hAnsi="Times New Roman" w:cs="Times New Roman"/>
          <w:b w:val="0"/>
          <w:bCs w:val="0"/>
          <w:color w:val="auto"/>
          <w:u w:val="none"/>
          <w:lang w:eastAsia="zh-CN"/>
        </w:rPr>
        <w:t>以文化繁荣助力乡村振兴</w:t>
      </w:r>
    </w:p>
    <w:p>
      <w:pPr>
        <w:spacing w:after="120" w:afterLines="0" w:line="360" w:lineRule="auto"/>
        <w:ind w:firstLine="480" w:firstLineChars="200"/>
        <w:rPr>
          <w:rFonts w:hint="eastAsia" w:ascii="Times New Roman" w:hAnsi="Times New Roman" w:cs="Times New Roman"/>
          <w:color w:val="auto"/>
          <w:u w:val="none"/>
        </w:rPr>
      </w:pPr>
      <w:r>
        <w:rPr>
          <w:rFonts w:hint="eastAsia" w:ascii="Times New Roman" w:hAnsi="Times New Roman" w:cs="Times New Roman"/>
          <w:b w:val="0"/>
          <w:bCs w:val="0"/>
          <w:color w:val="auto"/>
          <w:sz w:val="24"/>
          <w:u w:val="none"/>
          <w:lang w:eastAsia="zh-CN"/>
        </w:rPr>
        <w:t>充分发挥公共文化设施、资源、组织体系等方面的优势，推动与新时代文明实践中心功能融合，因地制宜假设小广场、小舞台、非遗传习所等主题功能空间。深入培育挖掘乡村文化资源，争取再申报成功</w:t>
      </w:r>
      <w:r>
        <w:rPr>
          <w:rFonts w:hint="eastAsia" w:ascii="Times New Roman" w:hAnsi="Times New Roman" w:cs="Times New Roman"/>
          <w:b w:val="0"/>
          <w:bCs w:val="0"/>
          <w:color w:val="auto"/>
          <w:sz w:val="24"/>
          <w:u w:val="none"/>
          <w:lang w:val="en-US" w:eastAsia="zh-CN"/>
        </w:rPr>
        <w:t>1-2个</w:t>
      </w:r>
      <w:r>
        <w:rPr>
          <w:rFonts w:hint="eastAsia" w:ascii="Times New Roman" w:hAnsi="Times New Roman" w:cs="Times New Roman"/>
          <w:b w:val="0"/>
          <w:bCs w:val="0"/>
          <w:color w:val="auto"/>
          <w:sz w:val="24"/>
          <w:u w:val="none"/>
          <w:lang w:eastAsia="zh-CN"/>
        </w:rPr>
        <w:t>“自治区民间文化艺术之乡”，推动“艺术乡村”建设，提升乡村文化建设品质。鼓励开展乡村节日民俗活动，举办“村晚”等群众广泛参与的文化活动。紧密结合美丽乡村建设，培育乡村网红，积极开展民族民俗文化旅游示范区建设试点，规划打造一批精品乡村旅游线路，推进乡村文化和旅游融合发展。</w:t>
      </w:r>
    </w:p>
    <w:p>
      <w:pPr>
        <w:pStyle w:val="3"/>
        <w:ind w:firstLine="560" w:firstLineChars="200"/>
        <w:rPr>
          <w:rFonts w:ascii="Times New Roman" w:hAnsi="Times New Roman" w:cs="Times New Roman"/>
          <w:color w:val="auto"/>
          <w:u w:val="none"/>
        </w:rPr>
      </w:pPr>
      <w:r>
        <w:rPr>
          <w:rFonts w:hint="eastAsia" w:ascii="Times New Roman" w:hAnsi="Times New Roman" w:cs="Times New Roman"/>
          <w:color w:val="auto"/>
          <w:u w:val="none"/>
        </w:rPr>
        <w:t>四、深入实施文化惠民工程</w:t>
      </w:r>
      <w:bookmarkEnd w:id="504"/>
    </w:p>
    <w:p>
      <w:pPr>
        <w:pStyle w:val="9"/>
        <w:spacing w:line="360" w:lineRule="auto"/>
        <w:ind w:firstLine="480" w:firstLineChars="200"/>
        <w:rPr>
          <w:rFonts w:hint="eastAsia" w:ascii="Times New Roman" w:hAnsi="Times New Roman" w:cs="Times New Roman"/>
          <w:bCs/>
          <w:color w:val="auto"/>
          <w:sz w:val="24"/>
          <w:u w:val="none"/>
          <w:lang w:val="en-US" w:eastAsia="zh-CN"/>
        </w:rPr>
      </w:pPr>
      <w:r>
        <w:rPr>
          <w:rFonts w:hint="eastAsia" w:ascii="Times New Roman" w:hAnsi="Times New Roman" w:cs="Times New Roman"/>
          <w:bCs/>
          <w:color w:val="auto"/>
          <w:sz w:val="24"/>
          <w:u w:val="none"/>
          <w:lang w:val="en-US" w:eastAsia="zh-CN"/>
        </w:rPr>
        <w:t>持续开展“天骄文化· 唱响四季”文化旅游品牌活动，春季举办天骄·春华读书节，夏季举办天骄·消夏文化旅游节，秋季举办天骄·秋实采风节，冬季举办天骄·圣火文化节，营造季季有精彩、全年有活动的良好文化氛围。举办摄影大奖赛、广场舞大赛、乡村文化旅游节等大型群众性文化活动。乌兰牧骑每年下乡慰问演出100场以上，图书馆广泛开展“阅读马拉松”“天骄闪读”“天骄读享”“暑期讲堂”等全民阅读系列推广活动。文化馆广泛开展民族舞、扬琴等各类文艺公益培训班，开展文艺创作、编排、辅导、送戏下乡和艺术普及。</w:t>
      </w:r>
    </w:p>
    <w:p>
      <w:pPr>
        <w:pStyle w:val="9"/>
        <w:spacing w:line="360" w:lineRule="auto"/>
        <w:ind w:firstLine="480" w:firstLineChars="200"/>
        <w:rPr>
          <w:color w:val="auto"/>
          <w:u w:val="none"/>
        </w:rPr>
      </w:pPr>
      <w:r>
        <w:rPr>
          <w:rFonts w:hint="eastAsia" w:ascii="Times New Roman" w:hAnsi="Times New Roman" w:cs="Times New Roman"/>
          <w:bCs/>
          <w:color w:val="auto"/>
          <w:sz w:val="24"/>
          <w:u w:val="none"/>
        </w:rPr>
        <w:t>积极组织开展农村牧区文化服务活动，农村牧区和社区依托传统节日、重大庆典活动和民族民间文化资源，开展群众喜闻乐见、丰富多彩的文体活动。规范农村牧区“文化日”活动和城镇“百日广场文化活动”，发展民族特色文化，将那达慕、敖包盛会等丰富多彩的民俗民间文化活动融入公共文化活动，为现代公共文化服务体系注入灵魂与活力。</w:t>
      </w:r>
    </w:p>
    <w:p>
      <w:pPr>
        <w:pStyle w:val="3"/>
        <w:ind w:firstLine="560" w:firstLineChars="200"/>
        <w:rPr>
          <w:rFonts w:ascii="Times New Roman" w:hAnsi="Times New Roman" w:cs="Times New Roman"/>
          <w:color w:val="auto"/>
        </w:rPr>
      </w:pPr>
      <w:r>
        <w:rPr>
          <w:rFonts w:hint="eastAsia" w:ascii="Times New Roman" w:hAnsi="Times New Roman" w:cs="Times New Roman"/>
          <w:color w:val="auto"/>
        </w:rPr>
        <w:t>五、加强新时代乌兰牧骑建设</w:t>
      </w:r>
      <w:bookmarkEnd w:id="500"/>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color w:val="auto"/>
          <w:sz w:val="24"/>
        </w:rPr>
        <w:t>乌兰牧骑作为草原上的“红色文艺轻骑兵”，在公共文化服务</w:t>
      </w:r>
      <w:r>
        <w:rPr>
          <w:rFonts w:hint="eastAsia" w:ascii="Times New Roman" w:hAnsi="Times New Roman" w:cs="Times New Roman"/>
          <w:bCs/>
          <w:sz w:val="24"/>
        </w:rPr>
        <w:t>体系建设中发挥着不可替代的作用，是边疆少数民族地区公共文化服务体系建设的中坚力量。</w:t>
      </w:r>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十四五期间，要把乌兰牧骑流动文化服务作为全旗公共文化服务体系建设的重要内容来抓，健全服务网络，创新服务方式，提升服务水平。</w:t>
      </w:r>
    </w:p>
    <w:p>
      <w:pPr>
        <w:pStyle w:val="4"/>
        <w:ind w:firstLine="480"/>
        <w:rPr>
          <w:rFonts w:ascii="Times New Roman" w:hAnsi="Times New Roman" w:cs="Times New Roman"/>
        </w:rPr>
      </w:pPr>
      <w:bookmarkStart w:id="508" w:name="_Toc1292"/>
      <w:r>
        <w:rPr>
          <w:rFonts w:hint="eastAsia" w:ascii="Times New Roman" w:hAnsi="Times New Roman" w:cs="Times New Roman"/>
        </w:rPr>
        <w:t>（一）健全工作服务制度</w:t>
      </w:r>
      <w:bookmarkEnd w:id="508"/>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立足伊金霍洛地区农牧民的生活实际，不断推进演出、宣传、辅导、服务职责项目化系统化组织化，建立健全有效对接群众需求的工作制度，形成规范化、常态化服务项目，以制度化建设提升为民服务工作水平。</w:t>
      </w:r>
    </w:p>
    <w:p>
      <w:pPr>
        <w:pStyle w:val="4"/>
        <w:ind w:firstLine="480"/>
        <w:rPr>
          <w:rFonts w:ascii="Times New Roman" w:hAnsi="Times New Roman" w:cs="Times New Roman"/>
        </w:rPr>
      </w:pPr>
      <w:bookmarkStart w:id="509" w:name="_Toc21071"/>
      <w:r>
        <w:rPr>
          <w:rFonts w:hint="eastAsia" w:ascii="Times New Roman" w:hAnsi="Times New Roman" w:cs="Times New Roman"/>
        </w:rPr>
        <w:t>（二）创作优秀文艺作品</w:t>
      </w:r>
      <w:bookmarkEnd w:id="509"/>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扎根生活沃土，创作出更多农牧民喜闻乐见的好作品。乌兰牧骑队员要在坚持弘扬中华优秀传统文化、革命文化、社会主义先进文化的前提下，深入基层创作采风，更加深入了解了基层人民群众的生产生活，不断创作出更多农牧民群众喜闻乐见的文艺作品。</w:t>
      </w:r>
    </w:p>
    <w:p>
      <w:pPr>
        <w:pStyle w:val="4"/>
        <w:ind w:firstLine="480"/>
        <w:rPr>
          <w:rFonts w:ascii="Times New Roman" w:hAnsi="Times New Roman" w:cs="Times New Roman"/>
        </w:rPr>
      </w:pPr>
      <w:bookmarkStart w:id="510" w:name="_Toc20013"/>
      <w:r>
        <w:rPr>
          <w:rFonts w:hint="eastAsia" w:ascii="Times New Roman" w:hAnsi="Times New Roman" w:cs="Times New Roman"/>
        </w:rPr>
        <w:t>（三）开展惠民演出活动</w:t>
      </w:r>
      <w:bookmarkEnd w:id="510"/>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开展乌兰牧骑百场惠民演出活动，每年为基层群众演出100场以上，覆盖全旗所有行政嘎查村，并延伸到街道社区、厂矿企业，学校等场所，实现乌兰牧骑流动文化服务全覆盖。并充分发挥乌兰牧骑专业文体团队优势，深入基层开展文艺辅导培训服务，积极辅导广大农牧民参加农牧民文艺汇演、乡村文化节、百日广场文艺演出等群众文化活动。提升农牧民群众参加文艺活动的热情和参与度，让农牧民群众真正享受到“文化民生”带来的美好生活。</w:t>
      </w:r>
      <w:r>
        <w:rPr>
          <w:rFonts w:hint="eastAsia" w:ascii="Times New Roman" w:hAnsi="Times New Roman" w:cs="Times New Roman"/>
          <w:bCs/>
          <w:sz w:val="24"/>
        </w:rPr>
        <w:br w:type="page"/>
      </w:r>
    </w:p>
    <w:p>
      <w:pPr>
        <w:pStyle w:val="2"/>
        <w:rPr>
          <w:rFonts w:ascii="Times New Roman" w:hAnsi="Times New Roman" w:cs="Times New Roman" w:eastAsiaTheme="minorEastAsia"/>
        </w:rPr>
      </w:pPr>
      <w:bookmarkStart w:id="511" w:name="_Toc12308"/>
      <w:r>
        <w:rPr>
          <w:rFonts w:hint="eastAsia" w:ascii="Times New Roman" w:hAnsi="Times New Roman" w:cs="Times New Roman" w:eastAsiaTheme="minorEastAsia"/>
        </w:rPr>
        <w:t>第九章 完善配套，建设高效公共服务体系</w:t>
      </w:r>
      <w:bookmarkEnd w:id="496"/>
      <w:bookmarkEnd w:id="497"/>
      <w:bookmarkEnd w:id="498"/>
      <w:bookmarkEnd w:id="511"/>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优化文化旅游环境，着力构建主客共享、国际水准、体系完备、优质高效、安全舒适的文化旅游基础设施和公共服务现代化、信息化体系。</w:t>
      </w:r>
    </w:p>
    <w:p>
      <w:pPr>
        <w:pStyle w:val="3"/>
        <w:ind w:firstLine="560" w:firstLineChars="200"/>
        <w:rPr>
          <w:rFonts w:ascii="Times New Roman" w:hAnsi="Times New Roman" w:cs="Times New Roman"/>
        </w:rPr>
      </w:pPr>
      <w:bookmarkStart w:id="512" w:name="_Toc18575"/>
      <w:bookmarkStart w:id="513" w:name="_Toc23585"/>
      <w:bookmarkStart w:id="514" w:name="_Toc4967"/>
      <w:r>
        <w:rPr>
          <w:rFonts w:hint="eastAsia" w:ascii="Times New Roman" w:hAnsi="Times New Roman" w:cs="Times New Roman"/>
        </w:rPr>
        <w:t>一、旅游集散中心建设</w:t>
      </w:r>
      <w:bookmarkEnd w:id="512"/>
      <w:bookmarkEnd w:id="513"/>
      <w:bookmarkEnd w:id="514"/>
    </w:p>
    <w:p>
      <w:pPr>
        <w:spacing w:after="120" w:line="360" w:lineRule="auto"/>
        <w:ind w:firstLine="480" w:firstLineChars="200"/>
        <w:rPr>
          <w:rFonts w:ascii="Times New Roman" w:hAnsi="Times New Roman" w:cs="Times New Roman"/>
          <w:bCs/>
          <w:sz w:val="24"/>
        </w:rPr>
      </w:pPr>
      <w:bookmarkStart w:id="515" w:name="_Toc3854"/>
      <w:bookmarkStart w:id="516" w:name="_Toc7298"/>
      <w:bookmarkStart w:id="517" w:name="_Toc29916"/>
      <w:bookmarkStart w:id="518" w:name="_Toc18374"/>
      <w:r>
        <w:rPr>
          <w:rFonts w:hint="eastAsia" w:ascii="Times New Roman" w:hAnsi="Times New Roman" w:cs="Times New Roman"/>
          <w:bCs/>
          <w:sz w:val="24"/>
        </w:rPr>
        <w:t>突出重点，分级推进旅游集散咨询中心建设，形成旗、镇、景区三级集散中心体系。伊金霍洛旗坐拥鄂尔多斯市两大重要交通枢纽——火车站和飞机场，人群密集，具有很大的旅游市场，未来要努力将伊金霍洛旗打造成为鄂尔多斯市旅游集散中心；阿勒腾席热镇的行政、交通和区域在旗内有独特优势，根据现有需求，重点将阿勒腾席热镇建设成为伊金霍洛旗一级旅游集散中心；各镇建设二级旅游集散中心，提供相应的咨询、休息等服务，承接一级游客服务中心所波及不到范围的游客需求，提升游客的整体旅游体验质量；各景区游客众多，需求广泛，将成吉思汗陵、</w:t>
      </w:r>
      <w:r>
        <w:rPr>
          <w:rFonts w:hint="eastAsia" w:ascii="Times New Roman" w:hAnsi="Times New Roman" w:cs="Times New Roman"/>
          <w:bCs/>
          <w:color w:val="auto"/>
          <w:sz w:val="24"/>
          <w:lang w:eastAsia="zh-CN"/>
        </w:rPr>
        <w:t>鄂尔多斯文化产业园</w:t>
      </w:r>
      <w:r>
        <w:rPr>
          <w:rFonts w:hint="eastAsia" w:ascii="Times New Roman" w:hAnsi="Times New Roman" w:cs="Times New Roman"/>
          <w:bCs/>
          <w:sz w:val="24"/>
        </w:rPr>
        <w:t>、苏泊罕大草原、红海子湿地、朱开沟等旗内重要旅游区建造成旗内三级旅游集散地。</w:t>
      </w:r>
      <w:bookmarkEnd w:id="515"/>
      <w:bookmarkEnd w:id="516"/>
    </w:p>
    <w:p>
      <w:pPr>
        <w:spacing w:after="120" w:line="360" w:lineRule="auto"/>
        <w:ind w:firstLine="480" w:firstLineChars="200"/>
        <w:rPr>
          <w:rFonts w:ascii="Times New Roman" w:hAnsi="Times New Roman" w:cs="Times New Roman"/>
          <w:bCs/>
          <w:sz w:val="24"/>
        </w:rPr>
      </w:pPr>
      <w:bookmarkStart w:id="519" w:name="_Toc24600"/>
      <w:r>
        <w:rPr>
          <w:rFonts w:hint="eastAsia" w:ascii="Times New Roman" w:hAnsi="Times New Roman" w:cs="Times New Roman"/>
          <w:bCs/>
          <w:sz w:val="24"/>
        </w:rPr>
        <w:t>各集散中心的建立不仅要具备必要的旅游基础服务设施，还要在建筑、装饰、服务等方面突出伊金霍洛旗当地的民族特色和文化，使其在能够提供咨询、预订等一系列基础服务的同时成为伊金霍洛旗特色文化传播的窗口。</w:t>
      </w:r>
      <w:bookmarkEnd w:id="519"/>
    </w:p>
    <w:p>
      <w:pPr>
        <w:spacing w:after="120" w:line="360" w:lineRule="auto"/>
        <w:ind w:firstLine="480" w:firstLineChars="200"/>
        <w:rPr>
          <w:rFonts w:ascii="Times New Roman" w:hAnsi="Times New Roman" w:cs="Times New Roman"/>
          <w:bCs/>
          <w:sz w:val="24"/>
        </w:rPr>
      </w:pPr>
      <w:bookmarkStart w:id="520" w:name="_Toc14186"/>
      <w:bookmarkStart w:id="521" w:name="_Toc7333"/>
      <w:r>
        <w:rPr>
          <w:rFonts w:hint="eastAsia" w:ascii="Times New Roman" w:hAnsi="Times New Roman" w:cs="Times New Roman"/>
          <w:bCs/>
          <w:sz w:val="24"/>
        </w:rPr>
        <w:t>由于智慧旅游和手机移动网络的普及和广泛运用，线下实体集散中心的利用率较低，进而可以线下转线上，依托现有的景区游客中心，建成线上旅游集散咨询服务，从而整合提升现有的文化自然资源、城市休闲设施、旅游公共服务设施，形成伊金霍洛旗及周边区域旅游发展的信息化旅游集散中心。</w:t>
      </w:r>
      <w:bookmarkEnd w:id="520"/>
      <w:bookmarkEnd w:id="521"/>
    </w:p>
    <w:p>
      <w:pPr>
        <w:pStyle w:val="3"/>
        <w:ind w:firstLine="560" w:firstLineChars="200"/>
        <w:rPr>
          <w:rFonts w:ascii="Times New Roman" w:hAnsi="Times New Roman" w:cs="Times New Roman"/>
        </w:rPr>
      </w:pPr>
      <w:bookmarkStart w:id="522" w:name="_Toc18556"/>
      <w:r>
        <w:rPr>
          <w:rFonts w:hint="eastAsia" w:ascii="Times New Roman" w:hAnsi="Times New Roman" w:cs="Times New Roman"/>
        </w:rPr>
        <w:t>二、旅游交通路网建设</w:t>
      </w:r>
      <w:bookmarkEnd w:id="517"/>
      <w:bookmarkEnd w:id="518"/>
      <w:bookmarkEnd w:id="522"/>
    </w:p>
    <w:p>
      <w:pPr>
        <w:spacing w:after="120" w:line="360" w:lineRule="auto"/>
        <w:ind w:firstLine="480" w:firstLineChars="200"/>
        <w:rPr>
          <w:rFonts w:ascii="Times New Roman" w:hAnsi="Times New Roman" w:cs="Times New Roman"/>
          <w:bCs/>
          <w:sz w:val="24"/>
        </w:rPr>
      </w:pPr>
      <w:bookmarkStart w:id="523" w:name="_Toc18756"/>
      <w:bookmarkStart w:id="524" w:name="_Toc5573"/>
      <w:bookmarkStart w:id="525" w:name="_Toc7261"/>
      <w:r>
        <w:rPr>
          <w:rFonts w:hint="eastAsia" w:ascii="Times New Roman" w:hAnsi="Times New Roman" w:cs="Times New Roman"/>
          <w:bCs/>
          <w:sz w:val="24"/>
        </w:rPr>
        <w:t>加大航空、铁路、公路、公共交通等基础设施建设力度，构建功能完善、安全便捷的旅游交通服务网。</w:t>
      </w:r>
      <w:bookmarkEnd w:id="523"/>
      <w:bookmarkEnd w:id="524"/>
      <w:bookmarkEnd w:id="525"/>
    </w:p>
    <w:p>
      <w:pPr>
        <w:pStyle w:val="9"/>
        <w:spacing w:line="360" w:lineRule="auto"/>
        <w:ind w:firstLine="482" w:firstLineChars="200"/>
        <w:rPr>
          <w:rFonts w:ascii="Times New Roman" w:hAnsi="Times New Roman" w:cs="Times New Roman"/>
          <w:bCs/>
          <w:sz w:val="24"/>
        </w:rPr>
      </w:pPr>
      <w:r>
        <w:rPr>
          <w:rFonts w:hint="eastAsia" w:ascii="Times New Roman" w:hAnsi="Times New Roman" w:cs="Times New Roman"/>
          <w:b/>
          <w:sz w:val="24"/>
        </w:rPr>
        <w:t>航空网</w:t>
      </w:r>
      <w:r>
        <w:rPr>
          <w:rFonts w:hint="eastAsia" w:ascii="Times New Roman" w:hAnsi="Times New Roman" w:cs="Times New Roman"/>
          <w:bCs/>
          <w:sz w:val="24"/>
        </w:rPr>
        <w:t>：加快国内外重要客源地、新兴客源地旅游航线开发，推动我区在线旅游运营商（OTA）等类型的旅游企业与境内外航空公司合作，联合开展营销、推介活动，发展国内及入境旅游包机业务积极拓展国际航班，将伊金霍洛国际机场打造为国际空港，稳妥有序推进通用机场建设，大力发展支线机场，形成低空旅游服务网络。</w:t>
      </w:r>
    </w:p>
    <w:p>
      <w:pPr>
        <w:pStyle w:val="9"/>
        <w:spacing w:line="360" w:lineRule="auto"/>
        <w:ind w:firstLine="482" w:firstLineChars="200"/>
        <w:rPr>
          <w:rFonts w:ascii="Times New Roman" w:hAnsi="Times New Roman" w:cs="Times New Roman"/>
          <w:bCs/>
          <w:sz w:val="24"/>
        </w:rPr>
      </w:pPr>
      <w:r>
        <w:rPr>
          <w:rFonts w:hint="eastAsia" w:ascii="Times New Roman" w:hAnsi="Times New Roman" w:cs="Times New Roman"/>
          <w:b/>
          <w:sz w:val="24"/>
        </w:rPr>
        <w:t>铁路网</w:t>
      </w:r>
      <w:r>
        <w:rPr>
          <w:rFonts w:hint="eastAsia" w:ascii="Times New Roman" w:hAnsi="Times New Roman" w:cs="Times New Roman"/>
          <w:bCs/>
          <w:sz w:val="24"/>
        </w:rPr>
        <w:t>：提高普通铁路路网质量和技术水平，新增与各主要客源地的旅游专列。积极发展草原旅游专列、避暑旅游专列。完善火车站、高铁站、旅游专列的旅游基础设施和旅游服务设施，增加旅游服务功能。</w:t>
      </w:r>
    </w:p>
    <w:p>
      <w:pPr>
        <w:pStyle w:val="9"/>
        <w:spacing w:line="360" w:lineRule="auto"/>
        <w:ind w:firstLine="482" w:firstLineChars="200"/>
        <w:rPr>
          <w:rFonts w:ascii="Times New Roman" w:hAnsi="Times New Roman" w:cs="Times New Roman"/>
          <w:bCs/>
          <w:sz w:val="24"/>
        </w:rPr>
      </w:pPr>
      <w:r>
        <w:rPr>
          <w:rFonts w:hint="eastAsia" w:ascii="Times New Roman" w:hAnsi="Times New Roman" w:cs="Times New Roman"/>
          <w:b/>
          <w:sz w:val="24"/>
        </w:rPr>
        <w:t>公路网</w:t>
      </w:r>
      <w:r>
        <w:rPr>
          <w:rFonts w:hint="eastAsia" w:ascii="Times New Roman" w:hAnsi="Times New Roman" w:cs="Times New Roman"/>
          <w:bCs/>
          <w:sz w:val="24"/>
        </w:rPr>
        <w:t>：实施旅游公路全覆盖工程，全面提升公路旅游通达水平，推动旗内主要旅游集散地高速公路或一级公路连通。实施旅游景区畅通工程，5A级旅游景区通高速或一级公路，4A级旅游景区通二、三级公路，3A级旅游景区通三级及以上公路，且各景区之间通三级以上公路，便利自驾游客通达各景区。</w:t>
      </w:r>
    </w:p>
    <w:p>
      <w:pPr>
        <w:pStyle w:val="9"/>
        <w:spacing w:line="360" w:lineRule="auto"/>
        <w:ind w:firstLine="482" w:firstLineChars="200"/>
        <w:rPr>
          <w:rFonts w:ascii="Times New Roman" w:hAnsi="Times New Roman" w:cs="Times New Roman"/>
          <w:bCs/>
          <w:sz w:val="24"/>
        </w:rPr>
      </w:pPr>
      <w:r>
        <w:rPr>
          <w:rFonts w:hint="eastAsia" w:ascii="Times New Roman" w:hAnsi="Times New Roman" w:cs="Times New Roman"/>
          <w:b/>
          <w:sz w:val="24"/>
        </w:rPr>
        <w:t>旅游租车</w:t>
      </w:r>
      <w:r>
        <w:rPr>
          <w:rFonts w:hint="eastAsia" w:ascii="Times New Roman" w:hAnsi="Times New Roman" w:cs="Times New Roman"/>
          <w:bCs/>
          <w:sz w:val="24"/>
        </w:rPr>
        <w:t>：依据伊金霍洛旗旅游资源分布情况，建立覆盖主要旅游资源的旅游租车网络，完善网络车辆预定、落地自驾、异地还车等配套服务，支持发展自驾车旅居车、低空飞行等新型特色旅游交通方式。</w:t>
      </w:r>
    </w:p>
    <w:p>
      <w:pPr>
        <w:pStyle w:val="3"/>
        <w:ind w:firstLine="560" w:firstLineChars="200"/>
        <w:rPr>
          <w:rFonts w:ascii="Times New Roman" w:hAnsi="Times New Roman" w:cs="Times New Roman"/>
        </w:rPr>
      </w:pPr>
      <w:bookmarkStart w:id="526" w:name="_Toc8391"/>
      <w:bookmarkStart w:id="527" w:name="_Toc30802"/>
      <w:bookmarkStart w:id="528" w:name="_Toc25811"/>
      <w:r>
        <w:rPr>
          <w:rFonts w:hint="eastAsia" w:ascii="Times New Roman" w:hAnsi="Times New Roman" w:cs="Times New Roman"/>
        </w:rPr>
        <w:t>三、旅游厕所建设</w:t>
      </w:r>
      <w:bookmarkEnd w:id="526"/>
      <w:bookmarkEnd w:id="527"/>
      <w:bookmarkEnd w:id="528"/>
    </w:p>
    <w:p>
      <w:pPr>
        <w:spacing w:after="120" w:line="360" w:lineRule="auto"/>
        <w:ind w:firstLine="480" w:firstLineChars="200"/>
        <w:rPr>
          <w:rFonts w:ascii="Times New Roman" w:hAnsi="Times New Roman" w:cs="Times New Roman"/>
          <w:bCs/>
          <w:sz w:val="24"/>
        </w:rPr>
      </w:pPr>
      <w:bookmarkStart w:id="529" w:name="_Toc1671"/>
      <w:bookmarkStart w:id="530" w:name="_Toc3594"/>
      <w:r>
        <w:rPr>
          <w:rFonts w:hint="eastAsia" w:ascii="Times New Roman" w:hAnsi="Times New Roman" w:cs="Times New Roman"/>
          <w:bCs/>
          <w:sz w:val="24"/>
        </w:rPr>
        <w:t>全面落实“旅游厕所”建设，改扩建一批功能完善、结构合理、生态环保的旅游厕所。五年间新建、改扩建旅游厕所</w:t>
      </w:r>
      <w:r>
        <w:rPr>
          <w:rFonts w:hint="eastAsia" w:ascii="Times New Roman" w:hAnsi="Times New Roman" w:cs="Times New Roman"/>
          <w:bCs/>
          <w:sz w:val="24"/>
          <w:lang w:val="en-US" w:eastAsia="zh-CN"/>
        </w:rPr>
        <w:t>30</w:t>
      </w:r>
      <w:r>
        <w:rPr>
          <w:rFonts w:hint="eastAsia" w:ascii="Times New Roman" w:hAnsi="Times New Roman" w:cs="Times New Roman"/>
          <w:bCs/>
          <w:sz w:val="24"/>
        </w:rPr>
        <w:t>座以上。全旗旅游景区、乡村旅游集聚区的旅游厕所，全部达到A级旅游厕所质量标准，4A级以上景区厕所全部达到AA级标准，其中30%达到AAA级标准。</w:t>
      </w:r>
    </w:p>
    <w:p>
      <w:pPr>
        <w:spacing w:after="120"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扩大旅游厕所覆盖范围，延伸至主要旅游线路（包括高速公路、国道等）节点、交通集散点、城市休闲街区等场所。景区周边和开放式景区内的企事业单位厕所免费向游客开放。</w:t>
      </w:r>
    </w:p>
    <w:p>
      <w:pPr>
        <w:spacing w:after="120"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创新建设管理机制，完善旅游厕所信息管理系统。将各旅游厕所的具体位置利用旅游信息化智慧平台传递给游客，且实时定位，建立语音提示功能。</w:t>
      </w:r>
    </w:p>
    <w:p>
      <w:pPr>
        <w:pStyle w:val="3"/>
        <w:ind w:firstLine="560" w:firstLineChars="200"/>
        <w:rPr>
          <w:rFonts w:ascii="Times New Roman" w:hAnsi="Times New Roman" w:cs="Times New Roman"/>
        </w:rPr>
      </w:pPr>
      <w:bookmarkStart w:id="531" w:name="_Toc13089"/>
      <w:r>
        <w:rPr>
          <w:rFonts w:hint="eastAsia" w:ascii="Times New Roman" w:hAnsi="Times New Roman" w:cs="Times New Roman"/>
        </w:rPr>
        <w:t>四、旅游标识系统建设</w:t>
      </w:r>
      <w:bookmarkEnd w:id="531"/>
      <w:r>
        <w:rPr>
          <w:rFonts w:hint="eastAsia" w:ascii="Times New Roman" w:hAnsi="Times New Roman" w:cs="Times New Roman"/>
        </w:rPr>
        <w:t xml:space="preserve"> </w:t>
      </w:r>
    </w:p>
    <w:p>
      <w:pPr>
        <w:spacing w:after="120"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在交通道路上，将旗内景区景点、风景名胜区、文化景观逐步纳入全旗道路交通标识范围，科学设置旅游交通标识牌，形成道路系统与地图系统协调一致的多方位引导系统。全旗3A级以上旅游景区在高速公路、旅游主要交通干线上实现交通标识全覆盖，各镇、村旅游道路标识系统项目完备。同时在高铁站、飞机场、高速公路服务区和出入口、汽车客运中心等交通节点设置规范醒目的交通指示标识牌。</w:t>
      </w:r>
    </w:p>
    <w:p>
      <w:pPr>
        <w:spacing w:after="120"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在旅游景区内部，设置五类旅游标识导览牌，分别为综合介绍牌、道路导向指示牌、景点介绍牌、警示关怀牌、服务设施名称标识牌。</w:t>
      </w:r>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综合介绍牌</w:t>
      </w:r>
      <w:r>
        <w:rPr>
          <w:rFonts w:hint="eastAsia" w:ascii="Times New Roman" w:hAnsi="Times New Roman" w:cs="Times New Roman"/>
          <w:bCs/>
          <w:sz w:val="24"/>
        </w:rPr>
        <w:t>：标出区域内旅游片区的分布、旅游公共服务设施以及重要游览点的位置。对其进行展示和导引，明示咨询、投诉、救援电话等。放置在智慧旅游服务中心、停车场等游客入口及人流集中区域。游客可以直接浏览也可以二维码下载导览图。</w:t>
      </w:r>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指示牌</w:t>
      </w:r>
      <w:r>
        <w:rPr>
          <w:rFonts w:hint="eastAsia" w:ascii="Times New Roman" w:hAnsi="Times New Roman" w:cs="Times New Roman"/>
          <w:bCs/>
          <w:sz w:val="24"/>
        </w:rPr>
        <w:t>：针对周边旅游公共服务设施及旅游资源点的方向指示牌，使游客能更轻松、便利地游览各景点。在设置上兼顾各个方向的游客。放置在景区内部道路交叉口及各景点结合的部分。</w:t>
      </w:r>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景点介绍牌</w:t>
      </w:r>
      <w:r>
        <w:rPr>
          <w:rFonts w:hint="eastAsia" w:ascii="Times New Roman" w:hAnsi="Times New Roman" w:cs="Times New Roman"/>
          <w:bCs/>
          <w:sz w:val="24"/>
        </w:rPr>
        <w:t>：介绍主要景点、景观或相关展示内容的介绍说明牌。设置在景区内需要详细介绍的重要景点或景物处。游客可以直接浏览也可以二维码下载导览图。</w:t>
      </w:r>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警示关怀牌</w:t>
      </w:r>
      <w:r>
        <w:rPr>
          <w:rFonts w:hint="eastAsia" w:ascii="Times New Roman" w:hAnsi="Times New Roman" w:cs="Times New Roman"/>
          <w:bCs/>
          <w:sz w:val="24"/>
        </w:rPr>
        <w:t>：提示游客注意安全及保护环境等一系列温馨提示牌、警戒、警示牌。</w:t>
      </w:r>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服务设施名称标识牌</w:t>
      </w:r>
      <w:r>
        <w:rPr>
          <w:rFonts w:hint="eastAsia" w:ascii="Times New Roman" w:hAnsi="Times New Roman" w:cs="Times New Roman"/>
          <w:bCs/>
          <w:sz w:val="24"/>
        </w:rPr>
        <w:t>：停车场、售票处、出入口、游客中心、医疗点、购物中心、厕所、游览车上下站、餐饮点、住宿点、存包处等场所的提示标识牌。</w:t>
      </w:r>
    </w:p>
    <w:p>
      <w:pPr>
        <w:spacing w:after="120"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无论是在交通道路上还是景区内部，设计制作的标识要以艺术和当地</w:t>
      </w:r>
      <w:r>
        <w:rPr>
          <w:rFonts w:hint="eastAsia" w:ascii="Times New Roman" w:hAnsi="Times New Roman" w:cs="Times New Roman"/>
          <w:bCs/>
          <w:sz w:val="24"/>
          <w:lang w:val="en-US" w:eastAsia="zh-CN"/>
        </w:rPr>
        <w:t>民俗</w:t>
      </w:r>
      <w:r>
        <w:rPr>
          <w:rFonts w:hint="eastAsia" w:ascii="Times New Roman" w:hAnsi="Times New Roman" w:cs="Times New Roman"/>
          <w:bCs/>
          <w:sz w:val="24"/>
        </w:rPr>
        <w:t>文化、草原文化作为核心灵魂，不再单纯的起到引导作用，还要将旅游标识建设成为充满民族风情与艺术美感的作品，在协助游客完成旅游体验过程中，还能有效改变对伊金霍洛旗的形象识别。</w:t>
      </w:r>
    </w:p>
    <w:p>
      <w:pPr>
        <w:pStyle w:val="3"/>
        <w:ind w:firstLine="560" w:firstLineChars="200"/>
        <w:rPr>
          <w:rFonts w:ascii="Times New Roman" w:hAnsi="Times New Roman" w:cs="Times New Roman"/>
        </w:rPr>
      </w:pPr>
      <w:bookmarkStart w:id="532" w:name="_Toc1352"/>
      <w:bookmarkStart w:id="533" w:name="_Toc20"/>
      <w:r>
        <w:rPr>
          <w:rFonts w:hint="eastAsia" w:ascii="Times New Roman" w:hAnsi="Times New Roman" w:cs="Times New Roman"/>
        </w:rPr>
        <w:t>五、旅游停车场</w:t>
      </w:r>
      <w:bookmarkEnd w:id="532"/>
      <w:bookmarkEnd w:id="533"/>
    </w:p>
    <w:p>
      <w:pPr>
        <w:spacing w:after="120"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旅游停车场是游客上下车，车辆周转、临时停放的地方，旅游场所的配套设施，尤其是停车场的好坏很大程度上影响了一个景区的人文景观和对其他地区的吸引力。</w:t>
      </w:r>
    </w:p>
    <w:p>
      <w:pPr>
        <w:spacing w:after="120"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要在全旗旅游集散中心、各景区、A级接待户建设和完善生态停车场，根据不同区位自身特点选择不同的停车场类型和车辆停止方式，最大限度的利用空地、植被和设施。停车场建设的关键是依据场地本身的自然条件与周围自然风景的统一协调，能最大地借用景区的自然地形地势条件，依势而造。其次要讲究以人为本，有条件的地方应尽量将停车场建在地下或水下，而腾出的地面可以搞绿化或建游园，要在整个停车场的合适位置分散布置一些休闲设施、指示牌、公共休闲亭等，最大限度地为游客提供便捷的服务。</w:t>
      </w:r>
    </w:p>
    <w:p>
      <w:pPr>
        <w:spacing w:after="120"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旅游集散中心、A级接待户和景区内部的停车场应成为景观，避免采用使大面积车辆暴晒的硬化停车场，而应该用透气、透水的绿化草坪砖等铺设地面，以灌木为隔离线，并间隔栽植一定量的高大乔木等绿化植物和藤蔓植物遮荫，形成绿荫成海，将停车空间与绿化空间有机结合，达到上有大树、下能透水、绿树环抱、交通通畅、设备优良的停车空间。</w:t>
      </w:r>
    </w:p>
    <w:p>
      <w:pPr>
        <w:spacing w:after="120"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景区外部以及城市内部在建设生态停车场的同时，根据实地情况，可构建立体停车场等现代化科技型设施。未来随着我国城市化率的提高，对城市空间利用率要求将会越来越高，现代化科技停车场建设因为占地空间小，投入成本较低等特点而将拥有广阔的市场前景。</w:t>
      </w:r>
      <w:bookmarkEnd w:id="529"/>
      <w:bookmarkEnd w:id="530"/>
      <w:bookmarkStart w:id="534" w:name="_Toc28178"/>
      <w:bookmarkStart w:id="535" w:name="_Toc24709"/>
    </w:p>
    <w:p>
      <w:pPr>
        <w:pStyle w:val="3"/>
        <w:ind w:firstLine="560" w:firstLineChars="200"/>
        <w:rPr>
          <w:rFonts w:ascii="Times New Roman" w:hAnsi="Times New Roman" w:cs="Times New Roman"/>
        </w:rPr>
      </w:pPr>
      <w:bookmarkStart w:id="536" w:name="_Toc19491"/>
      <w:r>
        <w:rPr>
          <w:rFonts w:hint="eastAsia" w:ascii="Times New Roman" w:hAnsi="Times New Roman" w:cs="Times New Roman"/>
        </w:rPr>
        <w:t>六、营地、驿站建设</w:t>
      </w:r>
      <w:bookmarkEnd w:id="536"/>
      <w:r>
        <w:rPr>
          <w:rFonts w:hint="eastAsia" w:ascii="Times New Roman" w:hAnsi="Times New Roman" w:cs="Times New Roman"/>
        </w:rPr>
        <w:t xml:space="preserve">   </w:t>
      </w:r>
    </w:p>
    <w:p>
      <w:pPr>
        <w:spacing w:after="120"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在大众旅游新时代，游览散客化和个性化的特征日益明显，自驾游异常活络，对营地、驿站的需求也愈发强烈，伊金霍洛旗现存营地、驿站较少，种类较单一。十四五期间伊金霍洛旗要依托温沙水湾、苏布尔嘎嘎查、沙巴日太草原建设旅游营地，为自驾游游客提供观景、餐饮住宿、旅途补给、休闲娱乐等服务；依托王明子滩、红碱淖、秦长城遗址建设旅游驿站，承担起游客休憩、餐饮、阅览的功能。在系统性把握地域性资源的前提下，坚持可持续发展的生态原则，将旗内的自然环境、人文历史资源和现代科学服务技术相结合，打造独具伊金霍洛旗特色的营地、驿站。</w:t>
      </w:r>
    </w:p>
    <w:p>
      <w:pPr>
        <w:pStyle w:val="4"/>
        <w:ind w:firstLine="480"/>
        <w:rPr>
          <w:rFonts w:ascii="Times New Roman" w:hAnsi="Times New Roman" w:cs="Times New Roman"/>
        </w:rPr>
      </w:pPr>
      <w:bookmarkStart w:id="537" w:name="_Toc30733"/>
      <w:bookmarkStart w:id="538" w:name="_Toc21104"/>
      <w:bookmarkStart w:id="539" w:name="_Toc892"/>
      <w:r>
        <w:rPr>
          <w:rFonts w:hint="eastAsia" w:ascii="Times New Roman" w:hAnsi="Times New Roman" w:cs="Times New Roman"/>
        </w:rPr>
        <w:t>（一）营地</w:t>
      </w:r>
      <w:bookmarkEnd w:id="537"/>
      <w:bookmarkEnd w:id="538"/>
      <w:bookmarkEnd w:id="539"/>
    </w:p>
    <w:p>
      <w:pPr>
        <w:pStyle w:val="5"/>
        <w:spacing w:line="360" w:lineRule="auto"/>
        <w:ind w:firstLine="482"/>
        <w:rPr>
          <w:rFonts w:ascii="Times New Roman" w:hAnsi="Times New Roman" w:cs="Times New Roman" w:eastAsiaTheme="minorEastAsia"/>
        </w:rPr>
      </w:pPr>
      <w:r>
        <w:rPr>
          <w:rFonts w:hint="eastAsia" w:ascii="Times New Roman" w:hAnsi="Times New Roman" w:cs="Times New Roman" w:eastAsiaTheme="minorEastAsia"/>
        </w:rPr>
        <w:t>1.温沙水湾游憩营地</w:t>
      </w:r>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主题：</w:t>
      </w:r>
      <w:r>
        <w:rPr>
          <w:rFonts w:hint="eastAsia" w:ascii="Times New Roman" w:hAnsi="Times New Roman" w:cs="Times New Roman"/>
          <w:bCs/>
          <w:sz w:val="24"/>
        </w:rPr>
        <w:t>亲沙·亲水·亲子</w:t>
      </w:r>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选址：</w:t>
      </w:r>
      <w:r>
        <w:rPr>
          <w:rFonts w:hint="eastAsia" w:ascii="Times New Roman" w:hAnsi="Times New Roman" w:cs="Times New Roman"/>
          <w:bCs/>
          <w:sz w:val="24"/>
        </w:rPr>
        <w:t>阿勒腾席热镇东南部10公里处桑盖村五社</w:t>
      </w:r>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依托资源：</w:t>
      </w:r>
      <w:r>
        <w:rPr>
          <w:rFonts w:hint="eastAsia" w:ascii="Times New Roman" w:hAnsi="Times New Roman" w:cs="Times New Roman"/>
          <w:bCs/>
          <w:sz w:val="24"/>
        </w:rPr>
        <w:t>温沙水湾、转龙湾水库、乌兰布伦河、桑盖村文化</w:t>
      </w:r>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营位区：</w:t>
      </w:r>
      <w:r>
        <w:rPr>
          <w:rFonts w:hint="eastAsia" w:ascii="Times New Roman" w:hAnsi="Times New Roman" w:cs="Times New Roman"/>
          <w:bCs/>
          <w:sz w:val="24"/>
        </w:rPr>
        <w:t>主要包含自行式房车营位区、拖挂式房车营位区、自驾车营位区、聚集式帐篷营位区。</w:t>
      </w:r>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综合服务区：</w:t>
      </w:r>
      <w:r>
        <w:rPr>
          <w:rFonts w:hint="eastAsia" w:ascii="Times New Roman" w:hAnsi="Times New Roman" w:cs="Times New Roman"/>
          <w:bCs/>
          <w:sz w:val="24"/>
        </w:rPr>
        <w:t>主要包含服务中心、接待室、办公室、值班室、商店、医务室、配套停车位、加油、维修、加水服务等。</w:t>
      </w:r>
      <w:bookmarkStart w:id="540" w:name="_Toc8246"/>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休闲娱乐区：</w:t>
      </w:r>
      <w:r>
        <w:rPr>
          <w:rFonts w:hint="eastAsia" w:ascii="Times New Roman" w:hAnsi="Times New Roman" w:cs="Times New Roman"/>
          <w:bCs/>
          <w:sz w:val="24"/>
        </w:rPr>
        <w:t>垂钓池塘、窑洞酒吧、射箭、农场采摘、大型景观雕塑、沙地越野、亲水栈道</w:t>
      </w:r>
      <w:bookmarkEnd w:id="540"/>
      <w:r>
        <w:rPr>
          <w:rFonts w:hint="eastAsia" w:ascii="Times New Roman" w:hAnsi="Times New Roman" w:cs="Times New Roman"/>
          <w:bCs/>
          <w:sz w:val="24"/>
        </w:rPr>
        <w:t>等。</w:t>
      </w:r>
    </w:p>
    <w:p>
      <w:pPr>
        <w:pStyle w:val="5"/>
        <w:spacing w:line="360" w:lineRule="auto"/>
        <w:ind w:firstLine="482"/>
        <w:rPr>
          <w:rFonts w:ascii="Times New Roman" w:hAnsi="Times New Roman" w:cs="Times New Roman" w:eastAsiaTheme="minorEastAsia"/>
        </w:rPr>
      </w:pPr>
      <w:r>
        <w:rPr>
          <w:rFonts w:hint="eastAsia" w:ascii="Times New Roman" w:hAnsi="Times New Roman" w:cs="Times New Roman" w:eastAsiaTheme="minorEastAsia"/>
        </w:rPr>
        <w:t>2.苏布尔嘎嘎查营地</w:t>
      </w:r>
      <w:bookmarkStart w:id="541" w:name="_Toc11635"/>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主题：</w:t>
      </w:r>
      <w:r>
        <w:rPr>
          <w:rFonts w:hint="eastAsia" w:ascii="Times New Roman" w:hAnsi="Times New Roman" w:cs="Times New Roman"/>
          <w:bCs/>
          <w:sz w:val="24"/>
        </w:rPr>
        <w:t>非遗嘎查文化</w:t>
      </w:r>
      <w:bookmarkEnd w:id="541"/>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选址：</w:t>
      </w:r>
      <w:r>
        <w:rPr>
          <w:rFonts w:hint="eastAsia" w:ascii="Times New Roman" w:hAnsi="Times New Roman" w:cs="Times New Roman"/>
          <w:bCs/>
          <w:sz w:val="24"/>
        </w:rPr>
        <w:t>苏布尔嘎镇苏布尔嘎嘎查村</w:t>
      </w:r>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依托资源：</w:t>
      </w:r>
      <w:r>
        <w:rPr>
          <w:rFonts w:hint="eastAsia" w:ascii="Times New Roman" w:hAnsi="Times New Roman" w:cs="Times New Roman"/>
          <w:bCs/>
          <w:sz w:val="24"/>
        </w:rPr>
        <w:t>苏布尔嘎嘎查村、非遗嘎查文化、苏泊罕大草原、神海子、白塔景区、马道、赛马场</w:t>
      </w:r>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营位区：</w:t>
      </w:r>
      <w:r>
        <w:rPr>
          <w:rFonts w:hint="eastAsia" w:ascii="Times New Roman" w:hAnsi="Times New Roman" w:cs="Times New Roman"/>
          <w:bCs/>
          <w:sz w:val="24"/>
        </w:rPr>
        <w:t>主要包含自行式房车营位区、拖挂式房车营位区、自驾车营位区、聚集式帐篷营位区。</w:t>
      </w:r>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综合服务区：</w:t>
      </w:r>
      <w:r>
        <w:rPr>
          <w:rFonts w:hint="eastAsia" w:ascii="Times New Roman" w:hAnsi="Times New Roman" w:cs="Times New Roman"/>
          <w:bCs/>
          <w:sz w:val="24"/>
        </w:rPr>
        <w:t>主要包含服务中心、接待室、办公室、值班室、商店、医务室、配套停车位、加油、维修、加水服务等。</w:t>
      </w:r>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休闲娱乐区：</w:t>
      </w:r>
      <w:r>
        <w:rPr>
          <w:rFonts w:hint="eastAsia" w:ascii="Times New Roman" w:hAnsi="Times New Roman" w:cs="Times New Roman"/>
          <w:bCs/>
          <w:sz w:val="24"/>
        </w:rPr>
        <w:t>以非遗嘎查文化资源为依托，逐步开发完善鄂尔多斯婚礼、蒙古包制作技艺、鄂尔多斯马文化、成吉思汗祭祀、包格希塔尔、蒙古族服饰、蒙古象棋、剪纸、奶酒、长调、祭火、蒙古族刺绣等活动。</w:t>
      </w:r>
    </w:p>
    <w:p>
      <w:pPr>
        <w:pStyle w:val="5"/>
        <w:spacing w:line="360" w:lineRule="auto"/>
        <w:ind w:firstLine="482"/>
        <w:rPr>
          <w:rFonts w:ascii="Times New Roman" w:hAnsi="Times New Roman" w:cs="Times New Roman" w:eastAsiaTheme="minorEastAsia"/>
        </w:rPr>
      </w:pPr>
      <w:r>
        <w:rPr>
          <w:rFonts w:hint="eastAsia" w:ascii="Times New Roman" w:hAnsi="Times New Roman" w:cs="Times New Roman" w:eastAsiaTheme="minorEastAsia"/>
        </w:rPr>
        <w:t>3.沙巴日太草原营地</w:t>
      </w:r>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主题：</w:t>
      </w:r>
      <w:r>
        <w:rPr>
          <w:rFonts w:hint="eastAsia" w:ascii="Times New Roman" w:hAnsi="Times New Roman" w:cs="Times New Roman"/>
          <w:bCs/>
          <w:sz w:val="24"/>
        </w:rPr>
        <w:t>草原</w:t>
      </w:r>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选址</w:t>
      </w:r>
      <w:r>
        <w:rPr>
          <w:rFonts w:hint="eastAsia" w:ascii="Times New Roman" w:hAnsi="Times New Roman" w:cs="Times New Roman"/>
          <w:bCs/>
          <w:sz w:val="24"/>
        </w:rPr>
        <w:t>：伊金霍洛镇沙巴日太嘎查</w:t>
      </w:r>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依托资源</w:t>
      </w:r>
      <w:r>
        <w:rPr>
          <w:rFonts w:hint="eastAsia" w:ascii="Times New Roman" w:hAnsi="Times New Roman" w:cs="Times New Roman"/>
          <w:bCs/>
          <w:sz w:val="24"/>
        </w:rPr>
        <w:t>：沙巴日太草原、草原文化</w:t>
      </w:r>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营位区</w:t>
      </w:r>
      <w:r>
        <w:rPr>
          <w:rFonts w:hint="eastAsia" w:ascii="Times New Roman" w:hAnsi="Times New Roman" w:cs="Times New Roman"/>
          <w:bCs/>
          <w:sz w:val="24"/>
        </w:rPr>
        <w:t>：主要包含自行式房车营位区、拖挂式房车营位区、自驾车营位区、聚集式帐篷营位区。</w:t>
      </w:r>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综合服务区</w:t>
      </w:r>
      <w:r>
        <w:rPr>
          <w:rFonts w:hint="eastAsia" w:ascii="Times New Roman" w:hAnsi="Times New Roman" w:cs="Times New Roman"/>
          <w:bCs/>
          <w:sz w:val="24"/>
        </w:rPr>
        <w:t>：主要包含服务中心、接待室、办公室、值班室、商店、医务室、配套停车位、加油、维修、加水服务等。</w:t>
      </w:r>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休闲娱乐区</w:t>
      </w:r>
      <w:r>
        <w:rPr>
          <w:rFonts w:hint="eastAsia" w:ascii="Times New Roman" w:hAnsi="Times New Roman" w:cs="Times New Roman"/>
          <w:bCs/>
          <w:sz w:val="24"/>
        </w:rPr>
        <w:t>：草原那达慕、草原音乐节、篝火晚会、骑马、射箭、草原摔跤等。</w:t>
      </w:r>
    </w:p>
    <w:p>
      <w:pPr>
        <w:pStyle w:val="4"/>
        <w:ind w:firstLine="480"/>
        <w:rPr>
          <w:rFonts w:ascii="Times New Roman" w:hAnsi="Times New Roman" w:cs="Times New Roman"/>
        </w:rPr>
      </w:pPr>
      <w:bookmarkStart w:id="542" w:name="_Toc13961"/>
      <w:bookmarkStart w:id="543" w:name="_Toc23491"/>
      <w:bookmarkStart w:id="544" w:name="_Toc31611"/>
      <w:r>
        <w:rPr>
          <w:rFonts w:hint="eastAsia" w:ascii="Times New Roman" w:hAnsi="Times New Roman" w:cs="Times New Roman"/>
        </w:rPr>
        <w:t>（二）驿站</w:t>
      </w:r>
      <w:bookmarkEnd w:id="542"/>
      <w:bookmarkEnd w:id="543"/>
      <w:bookmarkEnd w:id="544"/>
    </w:p>
    <w:p>
      <w:pPr>
        <w:pStyle w:val="5"/>
        <w:spacing w:line="360" w:lineRule="auto"/>
        <w:ind w:firstLine="482"/>
        <w:rPr>
          <w:rFonts w:ascii="Times New Roman" w:hAnsi="Times New Roman" w:cs="Times New Roman" w:eastAsiaTheme="minorEastAsia"/>
        </w:rPr>
      </w:pPr>
      <w:r>
        <w:rPr>
          <w:rFonts w:hint="eastAsia" w:ascii="Times New Roman" w:hAnsi="Times New Roman" w:cs="Times New Roman" w:eastAsiaTheme="minorEastAsia"/>
        </w:rPr>
        <w:t>1.查干柴达木驿站</w:t>
      </w:r>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主题</w:t>
      </w:r>
      <w:r>
        <w:rPr>
          <w:rFonts w:hint="eastAsia" w:ascii="Times New Roman" w:hAnsi="Times New Roman" w:cs="Times New Roman"/>
          <w:bCs/>
          <w:sz w:val="24"/>
        </w:rPr>
        <w:t>：特色网红打卡点</w:t>
      </w:r>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选址</w:t>
      </w:r>
      <w:r>
        <w:rPr>
          <w:rFonts w:hint="eastAsia" w:ascii="Times New Roman" w:hAnsi="Times New Roman" w:cs="Times New Roman"/>
          <w:bCs/>
          <w:sz w:val="24"/>
        </w:rPr>
        <w:t>：札萨克镇查干柴达木村</w:t>
      </w:r>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依托资源</w:t>
      </w:r>
      <w:r>
        <w:rPr>
          <w:rFonts w:hint="eastAsia" w:ascii="Times New Roman" w:hAnsi="Times New Roman" w:cs="Times New Roman"/>
          <w:bCs/>
          <w:sz w:val="24"/>
        </w:rPr>
        <w:t>：查干柴达木村、音乐公路、新街粮库、扎萨克水库</w:t>
      </w:r>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服务与功能</w:t>
      </w:r>
      <w:r>
        <w:rPr>
          <w:rFonts w:hint="eastAsia" w:ascii="Times New Roman" w:hAnsi="Times New Roman" w:cs="Times New Roman"/>
          <w:bCs/>
          <w:sz w:val="24"/>
        </w:rPr>
        <w:t>：休憩、乡村文化特色展厅、活态博物馆、乡村超市、旅游特产购物、旅游厕所、停车服务、图书室、观影厅、自行车租赁、医疗救护服务、邮政纪念服务营地等。</w:t>
      </w:r>
    </w:p>
    <w:p>
      <w:pPr>
        <w:pStyle w:val="5"/>
        <w:spacing w:line="360" w:lineRule="auto"/>
        <w:ind w:firstLine="482"/>
        <w:rPr>
          <w:rFonts w:ascii="Times New Roman" w:hAnsi="Times New Roman" w:cs="Times New Roman" w:eastAsiaTheme="minorEastAsia"/>
        </w:rPr>
      </w:pPr>
      <w:r>
        <w:rPr>
          <w:rFonts w:hint="eastAsia" w:ascii="Times New Roman" w:hAnsi="Times New Roman" w:cs="Times New Roman" w:eastAsiaTheme="minorEastAsia"/>
        </w:rPr>
        <w:t>2.秦长城驿站</w:t>
      </w:r>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主题</w:t>
      </w:r>
      <w:r>
        <w:rPr>
          <w:rFonts w:hint="eastAsia" w:ascii="Times New Roman" w:hAnsi="Times New Roman" w:cs="Times New Roman"/>
          <w:bCs/>
          <w:sz w:val="24"/>
        </w:rPr>
        <w:t>：历史文化、研学科考</w:t>
      </w:r>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选址</w:t>
      </w:r>
      <w:r>
        <w:rPr>
          <w:rFonts w:hint="eastAsia" w:ascii="Times New Roman" w:hAnsi="Times New Roman" w:cs="Times New Roman"/>
          <w:bCs/>
          <w:sz w:val="24"/>
        </w:rPr>
        <w:t>：纳林陶亥镇</w:t>
      </w:r>
      <w:r>
        <w:rPr>
          <w:rFonts w:hint="eastAsia" w:ascii="Times New Roman" w:hAnsi="Times New Roman" w:cs="Times New Roman"/>
          <w:bCs/>
          <w:sz w:val="24"/>
          <w:lang w:eastAsia="zh-CN"/>
        </w:rPr>
        <w:t>战国</w:t>
      </w:r>
      <w:r>
        <w:rPr>
          <w:rFonts w:hint="eastAsia" w:ascii="Times New Roman" w:hAnsi="Times New Roman" w:cs="Times New Roman"/>
          <w:bCs/>
          <w:sz w:val="24"/>
        </w:rPr>
        <w:t>秦长城</w:t>
      </w:r>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依托资源</w:t>
      </w:r>
      <w:r>
        <w:rPr>
          <w:rFonts w:hint="eastAsia" w:ascii="Times New Roman" w:hAnsi="Times New Roman" w:cs="Times New Roman"/>
          <w:bCs/>
          <w:sz w:val="24"/>
        </w:rPr>
        <w:t>：秦长城遗址、秦长城博物馆、朱开沟遗址</w:t>
      </w:r>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服务与功能</w:t>
      </w:r>
      <w:r>
        <w:rPr>
          <w:rFonts w:hint="eastAsia" w:ascii="Times New Roman" w:hAnsi="Times New Roman" w:cs="Times New Roman"/>
          <w:bCs/>
          <w:sz w:val="24"/>
        </w:rPr>
        <w:t>：秦长城博物馆展、朱开沟遗址博物馆、研学基地、科考基地、旅游特产购物、旅游厕所、停车服务、图书室、观影厅、自行车租赁、医疗救护服务、邮政纪念服务等。</w:t>
      </w:r>
    </w:p>
    <w:p>
      <w:pPr>
        <w:pStyle w:val="5"/>
        <w:spacing w:line="360" w:lineRule="auto"/>
        <w:ind w:firstLine="482"/>
        <w:rPr>
          <w:rFonts w:ascii="Times New Roman" w:hAnsi="Times New Roman" w:cs="Times New Roman" w:eastAsiaTheme="minorEastAsia"/>
        </w:rPr>
      </w:pPr>
      <w:r>
        <w:rPr>
          <w:rFonts w:hint="eastAsia" w:ascii="Times New Roman" w:hAnsi="Times New Roman" w:cs="Times New Roman" w:eastAsiaTheme="minorEastAsia"/>
        </w:rPr>
        <w:t>3.王明子滩驿站</w:t>
      </w:r>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主题</w:t>
      </w:r>
      <w:r>
        <w:rPr>
          <w:rFonts w:hint="eastAsia" w:ascii="Times New Roman" w:hAnsi="Times New Roman" w:cs="Times New Roman"/>
          <w:bCs/>
          <w:sz w:val="24"/>
        </w:rPr>
        <w:t>：生态旅游、亲近自然</w:t>
      </w:r>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选址</w:t>
      </w:r>
      <w:r>
        <w:rPr>
          <w:rFonts w:hint="eastAsia" w:ascii="Times New Roman" w:hAnsi="Times New Roman" w:cs="Times New Roman"/>
          <w:bCs/>
          <w:sz w:val="24"/>
        </w:rPr>
        <w:t>：红庆河镇王明子滩</w:t>
      </w:r>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依托资源</w:t>
      </w:r>
      <w:r>
        <w:rPr>
          <w:rFonts w:hint="eastAsia" w:ascii="Times New Roman" w:hAnsi="Times New Roman" w:cs="Times New Roman"/>
          <w:bCs/>
          <w:sz w:val="24"/>
        </w:rPr>
        <w:t>：王明子滩草原、草原文化</w:t>
      </w:r>
    </w:p>
    <w:p>
      <w:pPr>
        <w:spacing w:after="120" w:line="360" w:lineRule="auto"/>
        <w:ind w:firstLine="482" w:firstLineChars="200"/>
        <w:rPr>
          <w:rFonts w:ascii="Times New Roman" w:hAnsi="Times New Roman" w:cs="Times New Roman"/>
          <w:bCs/>
          <w:sz w:val="24"/>
        </w:rPr>
      </w:pPr>
      <w:r>
        <w:rPr>
          <w:rFonts w:hint="eastAsia" w:ascii="Times New Roman" w:hAnsi="Times New Roman" w:cs="Times New Roman"/>
          <w:b/>
          <w:sz w:val="24"/>
        </w:rPr>
        <w:t>服务与功能</w:t>
      </w:r>
      <w:r>
        <w:rPr>
          <w:rFonts w:hint="eastAsia" w:ascii="Times New Roman" w:hAnsi="Times New Roman" w:cs="Times New Roman"/>
          <w:bCs/>
          <w:sz w:val="24"/>
        </w:rPr>
        <w:t>：娱乐休憩、草原文化特色展厅、旅游特产购物商品店、旅游厕所、图书室、观影厅、停车服务、帐篷租赁、医疗救护服务、邮政纪念服务等。</w:t>
      </w:r>
    </w:p>
    <w:bookmarkEnd w:id="534"/>
    <w:bookmarkEnd w:id="535"/>
    <w:p>
      <w:pPr>
        <w:pStyle w:val="3"/>
        <w:ind w:firstLine="560" w:firstLineChars="200"/>
        <w:rPr>
          <w:rFonts w:ascii="Times New Roman" w:hAnsi="Times New Roman" w:cs="Times New Roman"/>
        </w:rPr>
      </w:pPr>
      <w:bookmarkStart w:id="545" w:name="_Toc29015"/>
      <w:bookmarkStart w:id="546" w:name="_Toc16881"/>
      <w:bookmarkStart w:id="547" w:name="_Toc27468"/>
      <w:r>
        <w:rPr>
          <w:rFonts w:hint="eastAsia" w:ascii="Times New Roman" w:hAnsi="Times New Roman" w:cs="Times New Roman"/>
        </w:rPr>
        <w:t>七、智慧文旅平台建设</w:t>
      </w:r>
      <w:bookmarkEnd w:id="545"/>
      <w:bookmarkEnd w:id="546"/>
      <w:bookmarkEnd w:id="547"/>
    </w:p>
    <w:p>
      <w:pPr>
        <w:pStyle w:val="9"/>
        <w:spacing w:line="360" w:lineRule="auto"/>
        <w:ind w:firstLine="480" w:firstLineChars="200"/>
        <w:rPr>
          <w:rFonts w:ascii="Times New Roman" w:hAnsi="Times New Roman" w:cs="Times New Roman"/>
          <w:bCs/>
          <w:sz w:val="24"/>
        </w:rPr>
      </w:pPr>
      <w:bookmarkStart w:id="548" w:name="_Toc15371"/>
      <w:bookmarkStart w:id="549" w:name="_Toc27866"/>
      <w:bookmarkStart w:id="550" w:name="_Toc20398"/>
      <w:bookmarkStart w:id="551" w:name="_Toc30542"/>
      <w:r>
        <w:rPr>
          <w:rFonts w:hint="eastAsia" w:ascii="Times New Roman" w:hAnsi="Times New Roman" w:cs="Times New Roman"/>
          <w:bCs/>
          <w:sz w:val="24"/>
        </w:rPr>
        <w:t>整合数字文化建设和智慧旅游建设成果，对接全市大数据平台，打造一个集线上网络直播、线上图书馆、线上文化馆、线上博物馆、线上乌兰牧骑、文旅信息发布、艺术欣赏、网上培训、预约预订、信息咨询、在线辅导、资源检索、培训学习及大数据分析等服务项目于一体的，符合新时代人民美好文化生活需求的智慧文旅平台。</w:t>
      </w:r>
    </w:p>
    <w:p>
      <w:pPr>
        <w:pStyle w:val="4"/>
        <w:ind w:firstLine="480"/>
        <w:rPr>
          <w:rFonts w:ascii="Times New Roman" w:hAnsi="Times New Roman" w:cs="Times New Roman"/>
        </w:rPr>
      </w:pPr>
      <w:bookmarkStart w:id="552" w:name="_Toc25234"/>
      <w:r>
        <w:rPr>
          <w:rFonts w:hint="eastAsia" w:ascii="Times New Roman" w:hAnsi="Times New Roman" w:cs="Times New Roman"/>
        </w:rPr>
        <w:t>（一）文化信息化建设</w:t>
      </w:r>
      <w:bookmarkEnd w:id="548"/>
      <w:bookmarkEnd w:id="549"/>
      <w:bookmarkEnd w:id="550"/>
      <w:bookmarkEnd w:id="551"/>
      <w:bookmarkEnd w:id="552"/>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加强各文化单位网站、微博、微信等信息平台建设，构建文化资源共享的基础格局。优化文化信息发布方式，突出关注热点，加强移动互联、流媒体等新技术应用，提高信息发布的数量、质量和效率。依托伊金霍洛旗丰厚的文化资源，打造出富有伊金霍洛旗文化特色的资源库，从而不断增强文化信息资源的针对性、实用性和吸引力、感染力。</w:t>
      </w:r>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大力推进“互联网+公共文化”服务体系建设。图书馆、文化馆、博物馆在建设和完善过程中要紧跟互联网应用的趋势，充分利用“互联网+”实现传统图书馆、文化馆、博物馆向全媒体复合型场馆的转型：拓展和丰富互联网应用与服务方式，通过实施“互联网+借阅流程”、“互联网+在线学习”、“互联网+知识服务”、全景漫游技术、3D虚拟成像技术、VR/VA虚拟现实技术等系列项目实现“三馆”所有资源和服务上线。建立和完善全旗公共数字文化服务平台，促进文化信息资源共建共享和联合服务，推动“智慧文化”建设。通过建设数字图书馆、文化馆、博物馆，初步构建一个公共文化云平台，打造一个敏捷、高效、安全、可靠、节能、整体的智慧公共文化服务体系</w:t>
      </w:r>
      <w:bookmarkStart w:id="673" w:name="_GoBack"/>
      <w:bookmarkEnd w:id="673"/>
      <w:r>
        <w:rPr>
          <w:rFonts w:hint="eastAsia" w:ascii="Times New Roman" w:hAnsi="Times New Roman" w:cs="Times New Roman"/>
          <w:bCs/>
          <w:sz w:val="24"/>
        </w:rPr>
        <w:t>。</w:t>
      </w:r>
    </w:p>
    <w:p>
      <w:pPr>
        <w:pStyle w:val="4"/>
        <w:ind w:firstLine="480"/>
        <w:rPr>
          <w:rFonts w:ascii="Times New Roman" w:hAnsi="Times New Roman" w:cs="Times New Roman"/>
        </w:rPr>
      </w:pPr>
      <w:bookmarkStart w:id="553" w:name="_Toc14926"/>
      <w:bookmarkStart w:id="554" w:name="_Toc14807"/>
      <w:bookmarkStart w:id="555" w:name="_Toc1839"/>
      <w:bookmarkStart w:id="556" w:name="_Toc32572"/>
      <w:bookmarkStart w:id="557" w:name="_Toc5598"/>
      <w:r>
        <w:rPr>
          <w:rFonts w:hint="eastAsia" w:ascii="Times New Roman" w:hAnsi="Times New Roman" w:cs="Times New Roman"/>
        </w:rPr>
        <w:t>（二）旅游信息化基础建设全覆盖</w:t>
      </w:r>
      <w:bookmarkEnd w:id="553"/>
      <w:bookmarkEnd w:id="554"/>
      <w:bookmarkEnd w:id="555"/>
      <w:bookmarkEnd w:id="556"/>
      <w:bookmarkEnd w:id="557"/>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推行免费WIFI，加强与电信、移动、联通合作，尝试流量宝等无线网络运营方式，与腾讯、阿里通信、360、百度、小米、华为等合作，引入无线网络运营新模式，逐步实现在景区、公园、图书馆、博物馆、交通枢纽、主要商业街区等场所无线网络全覆盖。在机场、车站、酒店、景区（景点）、旅游购物店、游客集散中心等主要旅游场所提供PC、触摸屏等多种形式的旅游信息互动终端，提供所在区域周边的购物、餐饮、娱乐等相关旅游信息，使游客更方便地接入和在线互动。</w:t>
      </w:r>
    </w:p>
    <w:p>
      <w:pPr>
        <w:pStyle w:val="4"/>
        <w:ind w:firstLine="480"/>
        <w:rPr>
          <w:rFonts w:ascii="Times New Roman" w:hAnsi="Times New Roman" w:cs="Times New Roman"/>
        </w:rPr>
      </w:pPr>
      <w:bookmarkStart w:id="558" w:name="_Toc28743"/>
      <w:bookmarkStart w:id="559" w:name="_Toc16300"/>
      <w:bookmarkStart w:id="560" w:name="_Toc2180"/>
      <w:bookmarkStart w:id="561" w:name="_Toc1900"/>
      <w:bookmarkStart w:id="562" w:name="_Toc17796"/>
      <w:r>
        <w:rPr>
          <w:rFonts w:hint="eastAsia" w:ascii="Times New Roman" w:hAnsi="Times New Roman" w:cs="Times New Roman"/>
        </w:rPr>
        <w:t>（三）智慧文旅平台建设</w:t>
      </w:r>
      <w:bookmarkEnd w:id="558"/>
      <w:bookmarkEnd w:id="559"/>
      <w:bookmarkEnd w:id="560"/>
      <w:bookmarkEnd w:id="561"/>
      <w:bookmarkEnd w:id="562"/>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采用“互联网+文旅”模式重点建设智慧文旅平台。智慧文旅平台建设，旨在以智慧文旅大数据为核心，结合</w:t>
      </w:r>
      <w:r>
        <w:rPr>
          <w:rFonts w:hint="eastAsia" w:ascii="Times New Roman" w:hAnsi="Times New Roman" w:cs="Times New Roman"/>
          <w:bCs/>
          <w:sz w:val="24"/>
          <w:lang w:eastAsia="zh-CN"/>
        </w:rPr>
        <w:t>伊金霍洛旗</w:t>
      </w:r>
      <w:r>
        <w:rPr>
          <w:rFonts w:hint="eastAsia" w:ascii="Times New Roman" w:hAnsi="Times New Roman" w:cs="Times New Roman"/>
          <w:bCs/>
          <w:sz w:val="24"/>
        </w:rPr>
        <w:t>本地信息需求，选用“1+2+N”框架，建设“一个中心”（智慧文旅大数据中心），“两大平台”（智慧文旅管理平台、码上游伊金霍洛平台），为不同的游客群提供相应的旅游场景服务。</w:t>
      </w:r>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平台可以动态、可</w:t>
      </w:r>
      <w:r>
        <w:rPr>
          <w:rFonts w:hint="eastAsia" w:ascii="Times New Roman" w:hAnsi="Times New Roman" w:cs="Times New Roman"/>
          <w:bCs/>
          <w:sz w:val="24"/>
          <w:lang w:eastAsia="zh-CN"/>
        </w:rPr>
        <w:t>扩展的接入</w:t>
      </w:r>
      <w:r>
        <w:rPr>
          <w:rFonts w:hint="eastAsia" w:ascii="Times New Roman" w:hAnsi="Times New Roman" w:cs="Times New Roman"/>
          <w:bCs/>
          <w:sz w:val="24"/>
        </w:rPr>
        <w:t>多种应用终端盒传感节点，融合多种服务系统，并提供旅游景点的智慧营销、智慧导游、智慧导购、交易结算、旅游景点的智慧管理、旅行景点的信息资源管理等基础应用服务，让游程安排进入触摸时代，促进咨询、旅游、休闲娱乐、住宿餐饮和商务活动良性互动，最终形成集导航、导游、导览、导购、观光、休闲、商务于一体的智慧旅游体系，建成标准统一、功能完善、衔接顺畅的智慧伊金霍洛旗文化旅游综合服务平台。</w:t>
      </w:r>
    </w:p>
    <w:p>
      <w:pPr>
        <w:pStyle w:val="5"/>
        <w:ind w:firstLine="482"/>
        <w:rPr>
          <w:rFonts w:ascii="Times New Roman" w:hAnsi="Times New Roman" w:cs="Times New Roman" w:eastAsiaTheme="minorEastAsia"/>
        </w:rPr>
      </w:pPr>
      <w:r>
        <w:rPr>
          <w:rFonts w:hint="eastAsia" w:ascii="Times New Roman" w:hAnsi="Times New Roman" w:cs="Times New Roman" w:eastAsiaTheme="minorEastAsia"/>
        </w:rPr>
        <w:t>1.智慧文旅大数据中心</w:t>
      </w:r>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旅游管理部门通过智慧旅游大数据中心可以对行政管辖范围内游客进行画像、实时监测客流数据，随时了解各地旅游活动状况和实时气象、地质灾害等，随时查询团队导游信息，随时进行监督执法，处理旅游投诉。通过移动互联网、视频监控、视频会议、容灾备份等通信手段，为旅游应急处理系统提供一揽子的解决方案。可通过深入分析日常数据，掌握行业格局，并通过掌握的数据，开展系统化的营销与顾客体验持续改善。</w:t>
      </w:r>
    </w:p>
    <w:p>
      <w:pPr>
        <w:pStyle w:val="5"/>
        <w:ind w:firstLine="482"/>
        <w:rPr>
          <w:rFonts w:ascii="Times New Roman" w:hAnsi="Times New Roman" w:cs="Times New Roman" w:eastAsiaTheme="minorEastAsia"/>
        </w:rPr>
      </w:pPr>
      <w:r>
        <w:rPr>
          <w:rFonts w:hint="eastAsia" w:ascii="Times New Roman" w:hAnsi="Times New Roman" w:cs="Times New Roman" w:eastAsiaTheme="minorEastAsia"/>
        </w:rPr>
        <w:t>2.旅行社与景区的信息化服务</w:t>
      </w:r>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营销中心——让客户在旅游伊始，即可以通过视频、VR虚拟现实等方式了解到旅游信息，体验到不同的服务。</w:t>
      </w:r>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定位服务——对导游和车辆实时定位，了解团队信息，以便为客户提供更好的服务。</w:t>
      </w:r>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内部办公系统——视频监控、移动邮箱、综合语音VPN、移动互联网等信息化办公手段，促进旅行社办公效率提升。</w:t>
      </w:r>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视频监控——在旅游大巴和旅游景区的游客集中区域、环境敏感区域、旅游危险设施和地带，实现视频监控、人流监控、位置监控、环境监测等设施的合理布设实时的监控，为景区提供安全保障服务。</w:t>
      </w:r>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电子门票——提前订票，以手机二维码或身份证为载体，刷二维码或身份证进入景区，同时便于景区统计游客流量。</w:t>
      </w:r>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移动自助导游——向游客推送景区自助语音讲解服务，实时导览服务，为游客提供良好体验。</w:t>
      </w:r>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旅游电子商务平台——将网站、微博、微信、短视频等营销工具统筹运用，建设旅游产品网上旗舰店，实现PC端和手机端在线支付，积极推广“线上下单、线下消费”的在线旅游消费模式。</w:t>
      </w:r>
    </w:p>
    <w:p>
      <w:pPr>
        <w:pStyle w:val="5"/>
        <w:ind w:firstLine="482"/>
        <w:rPr>
          <w:rFonts w:ascii="Times New Roman" w:hAnsi="Times New Roman" w:cs="Times New Roman" w:eastAsiaTheme="minorEastAsia"/>
        </w:rPr>
      </w:pPr>
      <w:r>
        <w:rPr>
          <w:rFonts w:hint="eastAsia" w:ascii="Times New Roman" w:hAnsi="Times New Roman" w:cs="Times New Roman" w:eastAsiaTheme="minorEastAsia"/>
        </w:rPr>
        <w:t>3.码上游伊金霍洛</w:t>
      </w:r>
    </w:p>
    <w:p>
      <w:pPr>
        <w:pStyle w:val="9"/>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开发“码上游伊金霍洛”小程序，向游客提供食住行游购娱于一体的综合性数字化平台。通过信息化手段，提供智慧的旅游服务和旅游体验，为游客提供全景式、全链条、全程化“一站式服务”体验，游客可以通过APP、微信小程序和微信公众号一键进入。</w:t>
      </w:r>
    </w:p>
    <w:p>
      <w:pPr>
        <w:pStyle w:val="3"/>
        <w:ind w:firstLine="560" w:firstLineChars="200"/>
        <w:rPr>
          <w:rFonts w:ascii="Times New Roman" w:hAnsi="Times New Roman" w:cs="Times New Roman"/>
        </w:rPr>
      </w:pPr>
      <w:bookmarkStart w:id="563" w:name="_Toc7567"/>
      <w:r>
        <w:rPr>
          <w:rFonts w:hint="eastAsia" w:ascii="Times New Roman" w:hAnsi="Times New Roman" w:cs="Times New Roman"/>
        </w:rPr>
        <w:t>八、构筑文化旅游安全保障网</w:t>
      </w:r>
      <w:bookmarkEnd w:id="563"/>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文化旅游业属于敏感脆弱性产业，极易受到各种主客观因素的影响。公共安全事故发生率不断升高，在危及旅游者生命财产安全的同时，造成严重的损失，阻碍文化旅游产业的发展。目前，新冠疫情的发生，使人们更加重视安全问题，公共安全已成为文化旅游业急需要解决的重大问题。</w:t>
      </w:r>
    </w:p>
    <w:p>
      <w:pPr>
        <w:pStyle w:val="4"/>
        <w:ind w:firstLine="480"/>
        <w:rPr>
          <w:rFonts w:ascii="Times New Roman" w:hAnsi="Times New Roman" w:cs="Times New Roman"/>
        </w:rPr>
      </w:pPr>
      <w:bookmarkStart w:id="564" w:name="_Toc2082"/>
      <w:bookmarkStart w:id="565" w:name="_Toc16098"/>
      <w:r>
        <w:rPr>
          <w:rFonts w:hint="eastAsia" w:ascii="Times New Roman" w:hAnsi="Times New Roman" w:cs="Times New Roman"/>
        </w:rPr>
        <w:t>（一）应对自然灾害</w:t>
      </w:r>
      <w:bookmarkEnd w:id="564"/>
      <w:bookmarkEnd w:id="565"/>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自然灾害与伊金霍洛旗的地理和生态环境密切相关，通常自然灾害能够被预见。伊金霍洛旗相关部门在重大节假日和旅游高峰时期发布天气预报和气象预警信息，做好自然灾害的事前预防，游客和当地居民进行提前转移和灾前准备，将人身财产安全损失降低到最低。</w:t>
      </w:r>
    </w:p>
    <w:p>
      <w:pPr>
        <w:pStyle w:val="4"/>
        <w:ind w:firstLine="480"/>
        <w:rPr>
          <w:rFonts w:ascii="Times New Roman" w:hAnsi="Times New Roman" w:cs="Times New Roman"/>
        </w:rPr>
      </w:pPr>
      <w:bookmarkStart w:id="566" w:name="_Toc23337"/>
      <w:bookmarkStart w:id="567" w:name="_Toc8763"/>
      <w:r>
        <w:rPr>
          <w:rFonts w:hint="eastAsia" w:ascii="Times New Roman" w:hAnsi="Times New Roman" w:cs="Times New Roman"/>
        </w:rPr>
        <w:t>（二）加强安全宣传</w:t>
      </w:r>
      <w:bookmarkEnd w:id="566"/>
      <w:bookmarkEnd w:id="567"/>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伊金霍洛旗相关部门定期组织开展旅游应急知识的宣传教育，提升旅游企业、游客的安全意识。利用新媒体手段加强游客和潜在游客群体的安全出游意识，从而使游客做出最佳的出行方式并加强紧急避险能力。</w:t>
      </w:r>
    </w:p>
    <w:p>
      <w:pPr>
        <w:pStyle w:val="4"/>
        <w:ind w:firstLine="480"/>
        <w:rPr>
          <w:rFonts w:ascii="Times New Roman" w:hAnsi="Times New Roman" w:cs="Times New Roman"/>
        </w:rPr>
      </w:pPr>
      <w:bookmarkStart w:id="568" w:name="_Toc12802"/>
      <w:bookmarkStart w:id="569" w:name="_Toc18818"/>
      <w:r>
        <w:rPr>
          <w:rFonts w:hint="eastAsia" w:ascii="Times New Roman" w:hAnsi="Times New Roman" w:cs="Times New Roman"/>
        </w:rPr>
        <w:t>（三）完善应急管理体系</w:t>
      </w:r>
      <w:bookmarkEnd w:id="568"/>
      <w:bookmarkEnd w:id="569"/>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通过实施必要的旅游应急演练，提升游客自救与互助的能力。伊金霍洛旗文旅部门协同相关部门组织开展“旅游安全应急演练”、“旅游安全咨询日”等活动，举办旅游安全应急管理培训班。</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制定和完善突发事件的应急预案，科学评估旅游应急的能力水平，促使文化旅游应急管理部门和相关企业人员及时做好组织、物质、心理等各项应急准备工作。采取多种措施阻断或者延缓旅游突发事件的发生。</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完善突发事件应急预案以及高风险旅游项目目录的研究，伊金霍洛旗的文旅部门围绕重点领域、重点节点、重点时段部署开展系列旅游安全大检查活动。抓好重点时段重点区域的安全检查。及时发布文化旅游安全预警提示。</w:t>
      </w:r>
    </w:p>
    <w:p>
      <w:pPr>
        <w:pStyle w:val="4"/>
        <w:ind w:firstLine="480"/>
        <w:rPr>
          <w:rFonts w:ascii="Times New Roman" w:hAnsi="Times New Roman" w:cs="Times New Roman"/>
        </w:rPr>
      </w:pPr>
      <w:bookmarkStart w:id="570" w:name="_Toc6377"/>
      <w:bookmarkStart w:id="571" w:name="_Toc25883"/>
      <w:r>
        <w:rPr>
          <w:rFonts w:hint="eastAsia" w:ascii="Times New Roman" w:hAnsi="Times New Roman" w:cs="Times New Roman"/>
        </w:rPr>
        <w:t>（四）完善旅游保险</w:t>
      </w:r>
      <w:bookmarkEnd w:id="570"/>
      <w:bookmarkEnd w:id="571"/>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伊金霍洛旗文旅部门自上而下地完善旅行社责任保险项目，持续推进旅游保险保障体系建设。在政策制定上建立健全旅游保险业务的体制机制，避免造成工作人员和游客不必要的人身、财产损失。尤其关注骑马、骑骆驼、越野车等项目的保险。</w:t>
      </w:r>
    </w:p>
    <w:p>
      <w:pPr>
        <w:pStyle w:val="4"/>
        <w:ind w:firstLine="480"/>
        <w:rPr>
          <w:rFonts w:ascii="Times New Roman" w:hAnsi="Times New Roman" w:cs="Times New Roman"/>
        </w:rPr>
      </w:pPr>
      <w:bookmarkStart w:id="572" w:name="_Toc13526"/>
      <w:bookmarkStart w:id="573" w:name="_Toc10540"/>
      <w:r>
        <w:rPr>
          <w:rFonts w:hint="eastAsia" w:ascii="Times New Roman" w:hAnsi="Times New Roman" w:cs="Times New Roman"/>
        </w:rPr>
        <w:t>（五）完善旅游安全法规制度</w:t>
      </w:r>
      <w:bookmarkEnd w:id="572"/>
      <w:bookmarkEnd w:id="573"/>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伊金霍洛旗组织制定旅游业专项法规，如《旅游安全管理办法》。相关文旅部门开展《旅行社安全规范》、《旅游景区防范规范》等标准规范的宣贯及检查，编制《高风险旅游项目目录》。</w:t>
      </w:r>
    </w:p>
    <w:p>
      <w:pPr>
        <w:pStyle w:val="4"/>
        <w:ind w:firstLine="480"/>
        <w:rPr>
          <w:rFonts w:ascii="Times New Roman" w:hAnsi="Times New Roman" w:cs="Times New Roman"/>
        </w:rPr>
      </w:pPr>
      <w:bookmarkStart w:id="574" w:name="_Toc6850"/>
      <w:bookmarkStart w:id="575" w:name="_Toc21103"/>
      <w:r>
        <w:rPr>
          <w:rFonts w:hint="eastAsia" w:ascii="Times New Roman" w:hAnsi="Times New Roman" w:cs="Times New Roman"/>
        </w:rPr>
        <w:t>（六）建立健全旅游安全责任体系</w:t>
      </w:r>
      <w:bookmarkEnd w:id="574"/>
      <w:bookmarkEnd w:id="575"/>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伊金霍洛旗要成立旅游安全工作领导小组，积极协调有关部门落实专项监管责任，协同做好涉旅的治安、消防、食品、游乐设施等安全监管。督促各地按照监管职责，切实推动相关旅游企业落实旅游安全的主体责任。</w:t>
      </w:r>
    </w:p>
    <w:p>
      <w:pPr>
        <w:pStyle w:val="4"/>
        <w:ind w:firstLine="480"/>
        <w:rPr>
          <w:rFonts w:ascii="Times New Roman" w:hAnsi="Times New Roman" w:cs="Times New Roman"/>
        </w:rPr>
      </w:pPr>
      <w:bookmarkStart w:id="576" w:name="_Toc2096"/>
      <w:bookmarkStart w:id="577" w:name="_Toc30999"/>
      <w:r>
        <w:rPr>
          <w:rFonts w:hint="eastAsia" w:ascii="Times New Roman" w:hAnsi="Times New Roman" w:cs="Times New Roman"/>
        </w:rPr>
        <w:t>（七）强化旅游安全监管举措</w:t>
      </w:r>
      <w:bookmarkEnd w:id="576"/>
      <w:bookmarkEnd w:id="577"/>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开展旅游包车专项整治行动。伊金霍洛旗文旅部门协调交通、路政、运管等部门进行联合检查和抽查，切实保障旅游包车符合资质，从而实现责任的具体化，保障游客的安全，避免无资质司机和车辆导致的安全事故的发生。</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重要景区流量管控。采用科学手段有效地控制和计算景区游客流量和承载量，积极推动旅游景区制定实施旅游者流量控制方案，指导旅游景区科学核定最大承载量，利用微信、微博等新媒体手段拓宽对外公布渠道，有效地管控景区的流量。</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畅通旅游投诉渠道。伊金霍洛旗建立和完善旅游投诉机制，加强旅游投诉系统监管，完善12301旅游投诉热线的监管。</w:t>
      </w:r>
    </w:p>
    <w:p>
      <w:pPr>
        <w:rPr>
          <w:rFonts w:ascii="Times New Roman" w:hAnsi="Times New Roman" w:cs="Times New Roman"/>
          <w:sz w:val="24"/>
        </w:rPr>
      </w:pPr>
      <w:r>
        <w:rPr>
          <w:rFonts w:hint="eastAsia" w:ascii="Times New Roman" w:hAnsi="Times New Roman" w:cs="Times New Roman"/>
          <w:sz w:val="24"/>
        </w:rPr>
        <w:br w:type="page"/>
      </w:r>
    </w:p>
    <w:p>
      <w:pPr>
        <w:pStyle w:val="2"/>
        <w:rPr>
          <w:rFonts w:ascii="Times New Roman" w:hAnsi="Times New Roman" w:cs="Times New Roman" w:eastAsiaTheme="minorEastAsia"/>
        </w:rPr>
      </w:pPr>
      <w:bookmarkStart w:id="578" w:name="_Toc16254"/>
      <w:bookmarkStart w:id="579" w:name="_Toc32478"/>
      <w:bookmarkStart w:id="580" w:name="_Toc30174"/>
      <w:bookmarkStart w:id="581" w:name="_Toc26666"/>
      <w:r>
        <w:rPr>
          <w:rFonts w:hint="eastAsia" w:ascii="Times New Roman" w:hAnsi="Times New Roman" w:cs="Times New Roman" w:eastAsiaTheme="minorEastAsia"/>
        </w:rPr>
        <w:t>第十章 全力实施，创新文化旅游品牌营销</w:t>
      </w:r>
      <w:bookmarkEnd w:id="578"/>
      <w:bookmarkEnd w:id="579"/>
      <w:bookmarkEnd w:id="580"/>
      <w:bookmarkEnd w:id="581"/>
    </w:p>
    <w:p>
      <w:pPr>
        <w:pStyle w:val="3"/>
        <w:ind w:firstLine="560" w:firstLineChars="200"/>
        <w:rPr>
          <w:rFonts w:ascii="Times New Roman" w:hAnsi="Times New Roman" w:cs="Times New Roman"/>
        </w:rPr>
      </w:pPr>
      <w:bookmarkStart w:id="582" w:name="_Toc21253"/>
      <w:r>
        <w:rPr>
          <w:rFonts w:hint="eastAsia" w:ascii="Times New Roman" w:hAnsi="Times New Roman" w:cs="Times New Roman"/>
        </w:rPr>
        <w:t>一、客源市场定位</w:t>
      </w:r>
      <w:bookmarkEnd w:id="582"/>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根据伊金霍洛旗近五年来文化旅游市场总体状况、客源市场特征及文化旅游市场发展趋势，明确伊金霍洛旗文化旅游客源市场定位：</w:t>
      </w:r>
    </w:p>
    <w:p>
      <w:pPr>
        <w:spacing w:line="360" w:lineRule="auto"/>
        <w:ind w:firstLine="482" w:firstLineChars="200"/>
        <w:rPr>
          <w:rFonts w:ascii="Times New Roman" w:hAnsi="Times New Roman" w:cs="Times New Roman"/>
          <w:sz w:val="24"/>
        </w:rPr>
      </w:pPr>
      <w:r>
        <w:rPr>
          <w:rFonts w:hint="eastAsia" w:ascii="Times New Roman" w:hAnsi="Times New Roman" w:cs="Times New Roman"/>
          <w:b/>
          <w:bCs/>
          <w:sz w:val="24"/>
        </w:rPr>
        <w:t>一级市场</w:t>
      </w:r>
      <w:r>
        <w:rPr>
          <w:rFonts w:hint="eastAsia" w:ascii="Times New Roman" w:hAnsi="Times New Roman" w:cs="Times New Roman"/>
          <w:sz w:val="24"/>
        </w:rPr>
        <w:t>：主要为距离伊金霍洛旗车程在3小时内的鄂尔多斯、呼和浩特、包头、乌海、巴彦淖尔、榆林等主要城市及其辐射到的主要城市，这些城市人口较多，居民收入较高，出游欲望强烈且具备周末休闲游可以达到的距离条件。</w:t>
      </w:r>
    </w:p>
    <w:p>
      <w:pPr>
        <w:pStyle w:val="7"/>
        <w:jc w:val="center"/>
        <w:rPr>
          <w:rFonts w:ascii="Times New Roman" w:hAnsi="Times New Roman" w:eastAsiaTheme="minorEastAsia"/>
          <w:sz w:val="21"/>
          <w:szCs w:val="21"/>
        </w:rPr>
      </w:pPr>
    </w:p>
    <w:p>
      <w:pPr>
        <w:pStyle w:val="7"/>
        <w:jc w:val="center"/>
        <w:rPr>
          <w:rFonts w:ascii="Times New Roman" w:hAnsi="Times New Roman" w:eastAsiaTheme="minorEastAsia"/>
          <w:b/>
          <w:bCs/>
          <w:sz w:val="21"/>
          <w:szCs w:val="21"/>
        </w:rPr>
      </w:pPr>
      <w:r>
        <w:rPr>
          <w:rFonts w:hint="eastAsia" w:ascii="Times New Roman" w:hAnsi="Times New Roman" w:eastAsiaTheme="minorEastAsia"/>
          <w:b/>
          <w:bCs/>
          <w:sz w:val="21"/>
          <w:szCs w:val="21"/>
        </w:rPr>
        <w:t>表 10-1 一级客源市场人口及居民可支配收入统计</w:t>
      </w:r>
    </w:p>
    <w:tbl>
      <w:tblPr>
        <w:tblStyle w:val="17"/>
        <w:tblW w:w="0" w:type="auto"/>
        <w:tblInd w:w="0" w:type="dxa"/>
        <w:tblLayout w:type="autofit"/>
        <w:tblCellMar>
          <w:top w:w="0" w:type="dxa"/>
          <w:left w:w="108" w:type="dxa"/>
          <w:bottom w:w="0" w:type="dxa"/>
          <w:right w:w="108" w:type="dxa"/>
        </w:tblCellMar>
      </w:tblPr>
      <w:tblGrid>
        <w:gridCol w:w="1703"/>
        <w:gridCol w:w="1703"/>
        <w:gridCol w:w="1704"/>
        <w:gridCol w:w="1704"/>
        <w:gridCol w:w="1704"/>
      </w:tblGrid>
      <w:tr>
        <w:tblPrEx>
          <w:tblCellMar>
            <w:top w:w="0" w:type="dxa"/>
            <w:left w:w="108" w:type="dxa"/>
            <w:bottom w:w="0" w:type="dxa"/>
            <w:right w:w="108" w:type="dxa"/>
          </w:tblCellMar>
        </w:tblPrEx>
        <w:tc>
          <w:tcPr>
            <w:tcW w:w="1703" w:type="dxa"/>
            <w:tcBorders>
              <w:top w:val="single" w:color="4F81BD" w:sz="8" w:space="0"/>
              <w:left w:val="single" w:color="4F81BD" w:sz="8" w:space="0"/>
              <w:bottom w:val="single" w:color="FFFFFF" w:sz="18" w:space="0"/>
              <w:right w:val="single" w:color="4F81BD" w:sz="8" w:space="0"/>
            </w:tcBorders>
            <w:shd w:val="clear" w:color="auto" w:fill="4F81BD"/>
            <w:vAlign w:val="center"/>
          </w:tcPr>
          <w:p>
            <w:pPr>
              <w:pStyle w:val="9"/>
              <w:jc w:val="center"/>
              <w:rPr>
                <w:rFonts w:ascii="Times New Roman" w:hAnsi="Times New Roman" w:cs="Times New Roman"/>
                <w:szCs w:val="21"/>
              </w:rPr>
            </w:pPr>
            <w:r>
              <w:rPr>
                <w:rFonts w:hint="eastAsia" w:ascii="Times New Roman" w:hAnsi="Times New Roman" w:cs="Times New Roman"/>
                <w:szCs w:val="21"/>
              </w:rPr>
              <w:t>市场级别</w:t>
            </w:r>
          </w:p>
        </w:tc>
        <w:tc>
          <w:tcPr>
            <w:tcW w:w="1703" w:type="dxa"/>
            <w:tcBorders>
              <w:top w:val="single" w:color="4F81BD" w:sz="8" w:space="0"/>
              <w:left w:val="single" w:color="4F81BD" w:sz="8" w:space="0"/>
              <w:bottom w:val="single" w:color="FFFFFF" w:sz="18" w:space="0"/>
              <w:right w:val="single" w:color="4F81BD" w:sz="8" w:space="0"/>
            </w:tcBorders>
            <w:shd w:val="clear" w:color="auto" w:fill="4F81BD"/>
            <w:vAlign w:val="center"/>
          </w:tcPr>
          <w:p>
            <w:pPr>
              <w:pStyle w:val="9"/>
              <w:jc w:val="center"/>
              <w:rPr>
                <w:rFonts w:ascii="Times New Roman" w:hAnsi="Times New Roman" w:cs="Times New Roman"/>
                <w:szCs w:val="21"/>
              </w:rPr>
            </w:pPr>
            <w:r>
              <w:rPr>
                <w:rFonts w:hint="eastAsia" w:ascii="Times New Roman" w:hAnsi="Times New Roman" w:cs="Times New Roman"/>
                <w:szCs w:val="21"/>
              </w:rPr>
              <w:t>辐射城市</w:t>
            </w:r>
          </w:p>
        </w:tc>
        <w:tc>
          <w:tcPr>
            <w:tcW w:w="1704" w:type="dxa"/>
            <w:tcBorders>
              <w:top w:val="single" w:color="4F81BD" w:sz="8" w:space="0"/>
              <w:left w:val="single" w:color="4F81BD" w:sz="8" w:space="0"/>
              <w:bottom w:val="single" w:color="FFFFFF" w:sz="18" w:space="0"/>
              <w:right w:val="single" w:color="4F81BD" w:sz="8" w:space="0"/>
            </w:tcBorders>
            <w:shd w:val="clear" w:color="auto" w:fill="4F81BD"/>
            <w:vAlign w:val="center"/>
          </w:tcPr>
          <w:p>
            <w:pPr>
              <w:pStyle w:val="9"/>
              <w:jc w:val="center"/>
              <w:rPr>
                <w:rFonts w:ascii="Times New Roman" w:hAnsi="Times New Roman" w:cs="Times New Roman"/>
                <w:szCs w:val="21"/>
              </w:rPr>
            </w:pPr>
            <w:r>
              <w:rPr>
                <w:rFonts w:hint="eastAsia" w:ascii="Times New Roman" w:hAnsi="Times New Roman" w:cs="Times New Roman"/>
                <w:szCs w:val="21"/>
              </w:rPr>
              <w:t>人口（万人）</w:t>
            </w:r>
          </w:p>
        </w:tc>
        <w:tc>
          <w:tcPr>
            <w:tcW w:w="1704" w:type="dxa"/>
            <w:tcBorders>
              <w:top w:val="single" w:color="4F81BD" w:sz="8" w:space="0"/>
              <w:left w:val="single" w:color="4F81BD" w:sz="8" w:space="0"/>
              <w:bottom w:val="single" w:color="FFFFFF" w:sz="18" w:space="0"/>
              <w:right w:val="single" w:color="4F81BD" w:sz="8" w:space="0"/>
            </w:tcBorders>
            <w:shd w:val="clear" w:color="auto" w:fill="4F81BD"/>
            <w:vAlign w:val="center"/>
          </w:tcPr>
          <w:p>
            <w:pPr>
              <w:pStyle w:val="9"/>
              <w:jc w:val="center"/>
              <w:rPr>
                <w:rFonts w:ascii="Times New Roman" w:hAnsi="Times New Roman" w:cs="Times New Roman"/>
                <w:szCs w:val="21"/>
              </w:rPr>
            </w:pPr>
            <w:r>
              <w:rPr>
                <w:rFonts w:hint="eastAsia" w:ascii="Times New Roman" w:hAnsi="Times New Roman" w:cs="Times New Roman"/>
                <w:szCs w:val="21"/>
              </w:rPr>
              <w:t>合计（万人）</w:t>
            </w:r>
          </w:p>
        </w:tc>
        <w:tc>
          <w:tcPr>
            <w:tcW w:w="1704" w:type="dxa"/>
            <w:tcBorders>
              <w:top w:val="single" w:color="4F81BD" w:sz="8" w:space="0"/>
              <w:left w:val="single" w:color="4F81BD" w:sz="8" w:space="0"/>
              <w:bottom w:val="single" w:color="FFFFFF" w:sz="18" w:space="0"/>
              <w:right w:val="single" w:color="4F81BD" w:sz="8" w:space="0"/>
            </w:tcBorders>
            <w:shd w:val="clear" w:color="auto" w:fill="4F81BD"/>
            <w:vAlign w:val="center"/>
          </w:tcPr>
          <w:p>
            <w:pPr>
              <w:pStyle w:val="9"/>
              <w:jc w:val="center"/>
              <w:rPr>
                <w:rFonts w:ascii="Times New Roman" w:hAnsi="Times New Roman" w:cs="Times New Roman"/>
                <w:szCs w:val="21"/>
              </w:rPr>
            </w:pPr>
            <w:r>
              <w:rPr>
                <w:rFonts w:hint="eastAsia" w:ascii="Times New Roman" w:hAnsi="Times New Roman" w:cs="Times New Roman"/>
                <w:szCs w:val="21"/>
              </w:rPr>
              <w:t>居民可支配收入（元/年）</w:t>
            </w:r>
          </w:p>
        </w:tc>
      </w:tr>
      <w:tr>
        <w:tblPrEx>
          <w:tblCellMar>
            <w:top w:w="0" w:type="dxa"/>
            <w:left w:w="108" w:type="dxa"/>
            <w:bottom w:w="0" w:type="dxa"/>
            <w:right w:w="108" w:type="dxa"/>
          </w:tblCellMar>
        </w:tblPrEx>
        <w:tc>
          <w:tcPr>
            <w:tcW w:w="1703" w:type="dxa"/>
            <w:vMerge w:val="restart"/>
            <w:tcBorders>
              <w:top w:val="single" w:color="FFFFFF" w:sz="18" w:space="0"/>
              <w:left w:val="single" w:color="4F81BD" w:sz="8" w:space="0"/>
              <w:bottom w:val="single" w:color="4F81BD" w:sz="8" w:space="0"/>
              <w:right w:val="single" w:color="4F81BD" w:sz="8" w:space="0"/>
            </w:tcBorders>
            <w:shd w:val="clear" w:color="auto" w:fill="B8CCE4"/>
            <w:vAlign w:val="center"/>
          </w:tcPr>
          <w:p>
            <w:pPr>
              <w:pStyle w:val="9"/>
              <w:jc w:val="center"/>
              <w:rPr>
                <w:rFonts w:ascii="Times New Roman" w:hAnsi="Times New Roman" w:cs="Times New Roman"/>
                <w:szCs w:val="21"/>
              </w:rPr>
            </w:pPr>
            <w:r>
              <w:rPr>
                <w:rFonts w:hint="eastAsia" w:ascii="Times New Roman" w:hAnsi="Times New Roman" w:cs="Times New Roman"/>
                <w:szCs w:val="21"/>
              </w:rPr>
              <w:t>一级市场</w:t>
            </w:r>
          </w:p>
        </w:tc>
        <w:tc>
          <w:tcPr>
            <w:tcW w:w="1703" w:type="dxa"/>
            <w:tcBorders>
              <w:top w:val="single" w:color="FFFFFF" w:sz="18" w:space="0"/>
              <w:left w:val="single" w:color="4F81BD" w:sz="8" w:space="0"/>
              <w:bottom w:val="single" w:color="4F81BD" w:sz="8" w:space="0"/>
              <w:right w:val="single" w:color="4F81BD" w:sz="8" w:space="0"/>
            </w:tcBorders>
            <w:shd w:val="clear" w:color="auto" w:fill="B8CCE4"/>
            <w:vAlign w:val="center"/>
          </w:tcPr>
          <w:p>
            <w:pPr>
              <w:pStyle w:val="9"/>
              <w:jc w:val="center"/>
              <w:rPr>
                <w:rFonts w:ascii="Times New Roman" w:hAnsi="Times New Roman" w:cs="Times New Roman"/>
                <w:szCs w:val="21"/>
              </w:rPr>
            </w:pPr>
            <w:r>
              <w:rPr>
                <w:rFonts w:hint="eastAsia" w:ascii="Times New Roman" w:hAnsi="Times New Roman" w:cs="Times New Roman"/>
                <w:szCs w:val="21"/>
              </w:rPr>
              <w:t>鄂尔多斯</w:t>
            </w:r>
          </w:p>
        </w:tc>
        <w:tc>
          <w:tcPr>
            <w:tcW w:w="1704" w:type="dxa"/>
            <w:tcBorders>
              <w:top w:val="single" w:color="FFFFFF" w:sz="18" w:space="0"/>
              <w:left w:val="single" w:color="4F81BD" w:sz="8" w:space="0"/>
              <w:bottom w:val="single" w:color="4F81BD" w:sz="8" w:space="0"/>
              <w:right w:val="single" w:color="4F81BD" w:sz="8" w:space="0"/>
            </w:tcBorders>
            <w:shd w:val="clear" w:color="auto" w:fill="B8CCE4"/>
            <w:vAlign w:val="center"/>
          </w:tcPr>
          <w:p>
            <w:pPr>
              <w:pStyle w:val="9"/>
              <w:jc w:val="center"/>
              <w:rPr>
                <w:rFonts w:ascii="Times New Roman" w:hAnsi="Times New Roman" w:cs="Times New Roman"/>
                <w:szCs w:val="21"/>
              </w:rPr>
            </w:pPr>
            <w:r>
              <w:rPr>
                <w:rFonts w:hint="eastAsia" w:ascii="Times New Roman" w:hAnsi="Times New Roman" w:cs="Times New Roman"/>
                <w:szCs w:val="21"/>
              </w:rPr>
              <w:t>208.8</w:t>
            </w:r>
          </w:p>
        </w:tc>
        <w:tc>
          <w:tcPr>
            <w:tcW w:w="1704" w:type="dxa"/>
            <w:vMerge w:val="restart"/>
            <w:tcBorders>
              <w:top w:val="single" w:color="FFFFFF" w:sz="18" w:space="0"/>
              <w:left w:val="single" w:color="4F81BD" w:sz="8" w:space="0"/>
              <w:bottom w:val="single" w:color="4F81BD" w:sz="8" w:space="0"/>
              <w:right w:val="single" w:color="4F81BD" w:sz="8" w:space="0"/>
            </w:tcBorders>
            <w:shd w:val="clear" w:color="auto" w:fill="B8CCE4"/>
            <w:vAlign w:val="center"/>
          </w:tcPr>
          <w:p>
            <w:pPr>
              <w:pStyle w:val="9"/>
              <w:jc w:val="center"/>
              <w:rPr>
                <w:rFonts w:ascii="Times New Roman" w:hAnsi="Times New Roman" w:cs="Times New Roman"/>
                <w:szCs w:val="21"/>
              </w:rPr>
            </w:pPr>
            <w:r>
              <w:rPr>
                <w:rFonts w:hint="eastAsia" w:ascii="Times New Roman" w:hAnsi="Times New Roman" w:cs="Times New Roman"/>
                <w:szCs w:val="21"/>
              </w:rPr>
              <w:t>1380.6</w:t>
            </w:r>
          </w:p>
        </w:tc>
        <w:tc>
          <w:tcPr>
            <w:tcW w:w="1704" w:type="dxa"/>
            <w:tcBorders>
              <w:top w:val="single" w:color="FFFFFF" w:sz="18" w:space="0"/>
              <w:left w:val="single" w:color="4F81BD" w:sz="8" w:space="0"/>
              <w:bottom w:val="single" w:color="4F81BD" w:sz="8" w:space="0"/>
              <w:right w:val="single" w:color="4F81BD" w:sz="8" w:space="0"/>
            </w:tcBorders>
            <w:shd w:val="clear" w:color="auto" w:fill="B8CCE4"/>
            <w:vAlign w:val="center"/>
          </w:tcPr>
          <w:p>
            <w:pPr>
              <w:pStyle w:val="9"/>
              <w:jc w:val="center"/>
              <w:rPr>
                <w:rFonts w:ascii="Times New Roman" w:hAnsi="Times New Roman" w:cs="Times New Roman"/>
                <w:szCs w:val="21"/>
              </w:rPr>
            </w:pPr>
            <w:r>
              <w:rPr>
                <w:rFonts w:hint="eastAsia" w:ascii="Times New Roman" w:hAnsi="Times New Roman" w:cs="Times New Roman"/>
                <w:szCs w:val="21"/>
              </w:rPr>
              <w:t>49768</w:t>
            </w:r>
          </w:p>
        </w:tc>
      </w:tr>
      <w:tr>
        <w:tblPrEx>
          <w:tblCellMar>
            <w:top w:w="0" w:type="dxa"/>
            <w:left w:w="108" w:type="dxa"/>
            <w:bottom w:w="0" w:type="dxa"/>
            <w:right w:w="108" w:type="dxa"/>
          </w:tblCellMar>
        </w:tblPrEx>
        <w:tc>
          <w:tcPr>
            <w:tcW w:w="1703"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9"/>
              <w:jc w:val="center"/>
              <w:rPr>
                <w:rFonts w:ascii="Times New Roman" w:hAnsi="Times New Roman" w:cs="Times New Roman"/>
                <w:szCs w:val="21"/>
              </w:rPr>
            </w:pPr>
          </w:p>
        </w:tc>
        <w:tc>
          <w:tcPr>
            <w:tcW w:w="1703"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9"/>
              <w:jc w:val="center"/>
              <w:rPr>
                <w:rFonts w:ascii="Times New Roman" w:hAnsi="Times New Roman" w:cs="Times New Roman"/>
                <w:szCs w:val="21"/>
              </w:rPr>
            </w:pPr>
            <w:r>
              <w:rPr>
                <w:rFonts w:hint="eastAsia" w:ascii="Times New Roman" w:hAnsi="Times New Roman" w:cs="Times New Roman"/>
                <w:szCs w:val="21"/>
              </w:rPr>
              <w:t>呼和浩特</w:t>
            </w:r>
          </w:p>
        </w:tc>
        <w:tc>
          <w:tcPr>
            <w:tcW w:w="1704"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9"/>
              <w:jc w:val="center"/>
              <w:rPr>
                <w:rFonts w:ascii="Times New Roman" w:hAnsi="Times New Roman" w:cs="Times New Roman"/>
                <w:szCs w:val="21"/>
              </w:rPr>
            </w:pPr>
            <w:r>
              <w:rPr>
                <w:rFonts w:hint="eastAsia" w:ascii="Times New Roman" w:hAnsi="Times New Roman" w:cs="Times New Roman"/>
                <w:szCs w:val="21"/>
              </w:rPr>
              <w:t>313.7</w:t>
            </w:r>
          </w:p>
        </w:tc>
        <w:tc>
          <w:tcPr>
            <w:tcW w:w="1704"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9"/>
              <w:jc w:val="center"/>
              <w:rPr>
                <w:rFonts w:ascii="Times New Roman" w:hAnsi="Times New Roman" w:cs="Times New Roman"/>
                <w:szCs w:val="21"/>
              </w:rPr>
            </w:pPr>
          </w:p>
        </w:tc>
        <w:tc>
          <w:tcPr>
            <w:tcW w:w="1704"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9"/>
              <w:jc w:val="center"/>
              <w:rPr>
                <w:rFonts w:ascii="Times New Roman" w:hAnsi="Times New Roman" w:cs="Times New Roman"/>
                <w:szCs w:val="21"/>
              </w:rPr>
            </w:pPr>
            <w:r>
              <w:rPr>
                <w:rFonts w:hint="eastAsia" w:ascii="Times New Roman" w:hAnsi="Times New Roman" w:cs="Times New Roman"/>
                <w:szCs w:val="21"/>
              </w:rPr>
              <w:t>38306</w:t>
            </w:r>
          </w:p>
        </w:tc>
      </w:tr>
      <w:tr>
        <w:tblPrEx>
          <w:tblCellMar>
            <w:top w:w="0" w:type="dxa"/>
            <w:left w:w="108" w:type="dxa"/>
            <w:bottom w:w="0" w:type="dxa"/>
            <w:right w:w="108" w:type="dxa"/>
          </w:tblCellMar>
        </w:tblPrEx>
        <w:tc>
          <w:tcPr>
            <w:tcW w:w="1703" w:type="dxa"/>
            <w:vMerge w:val="continue"/>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9"/>
              <w:jc w:val="center"/>
              <w:rPr>
                <w:rFonts w:ascii="Times New Roman" w:hAnsi="Times New Roman" w:cs="Times New Roman"/>
                <w:szCs w:val="21"/>
              </w:rPr>
            </w:pPr>
          </w:p>
        </w:tc>
        <w:tc>
          <w:tcPr>
            <w:tcW w:w="1703"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9"/>
              <w:jc w:val="center"/>
              <w:rPr>
                <w:rFonts w:ascii="Times New Roman" w:hAnsi="Times New Roman" w:cs="Times New Roman"/>
                <w:szCs w:val="21"/>
              </w:rPr>
            </w:pPr>
            <w:r>
              <w:rPr>
                <w:rFonts w:hint="eastAsia" w:ascii="Times New Roman" w:hAnsi="Times New Roman" w:cs="Times New Roman"/>
                <w:szCs w:val="21"/>
              </w:rPr>
              <w:t>包头</w:t>
            </w:r>
          </w:p>
        </w:tc>
        <w:tc>
          <w:tcPr>
            <w:tcW w:w="1704"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9"/>
              <w:jc w:val="center"/>
              <w:rPr>
                <w:rFonts w:ascii="Times New Roman" w:hAnsi="Times New Roman" w:cs="Times New Roman"/>
                <w:szCs w:val="21"/>
              </w:rPr>
            </w:pPr>
            <w:r>
              <w:rPr>
                <w:rFonts w:hint="eastAsia" w:ascii="Times New Roman" w:hAnsi="Times New Roman" w:cs="Times New Roman"/>
                <w:szCs w:val="21"/>
              </w:rPr>
              <w:t>289.7</w:t>
            </w:r>
          </w:p>
        </w:tc>
        <w:tc>
          <w:tcPr>
            <w:tcW w:w="1704" w:type="dxa"/>
            <w:vMerge w:val="continue"/>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9"/>
              <w:jc w:val="center"/>
              <w:rPr>
                <w:rFonts w:ascii="Times New Roman" w:hAnsi="Times New Roman" w:cs="Times New Roman"/>
                <w:szCs w:val="21"/>
              </w:rPr>
            </w:pPr>
          </w:p>
        </w:tc>
        <w:tc>
          <w:tcPr>
            <w:tcW w:w="1704"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9"/>
              <w:jc w:val="center"/>
              <w:rPr>
                <w:rFonts w:ascii="Times New Roman" w:hAnsi="Times New Roman" w:cs="Times New Roman"/>
                <w:szCs w:val="21"/>
              </w:rPr>
            </w:pPr>
            <w:r>
              <w:rPr>
                <w:rFonts w:hint="eastAsia" w:ascii="Times New Roman" w:hAnsi="Times New Roman" w:cs="Times New Roman"/>
                <w:szCs w:val="21"/>
              </w:rPr>
              <w:t>44748</w:t>
            </w:r>
          </w:p>
        </w:tc>
      </w:tr>
      <w:tr>
        <w:tblPrEx>
          <w:tblCellMar>
            <w:top w:w="0" w:type="dxa"/>
            <w:left w:w="108" w:type="dxa"/>
            <w:bottom w:w="0" w:type="dxa"/>
            <w:right w:w="108" w:type="dxa"/>
          </w:tblCellMar>
        </w:tblPrEx>
        <w:tc>
          <w:tcPr>
            <w:tcW w:w="1703"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9"/>
              <w:jc w:val="center"/>
              <w:rPr>
                <w:rFonts w:ascii="Times New Roman" w:hAnsi="Times New Roman" w:cs="Times New Roman"/>
                <w:szCs w:val="21"/>
              </w:rPr>
            </w:pPr>
          </w:p>
        </w:tc>
        <w:tc>
          <w:tcPr>
            <w:tcW w:w="1703"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9"/>
              <w:jc w:val="center"/>
              <w:rPr>
                <w:rFonts w:ascii="Times New Roman" w:hAnsi="Times New Roman" w:cs="Times New Roman"/>
                <w:szCs w:val="21"/>
              </w:rPr>
            </w:pPr>
            <w:r>
              <w:rPr>
                <w:rFonts w:hint="eastAsia" w:ascii="Times New Roman" w:hAnsi="Times New Roman" w:cs="Times New Roman"/>
                <w:szCs w:val="21"/>
              </w:rPr>
              <w:t>乌海</w:t>
            </w:r>
          </w:p>
        </w:tc>
        <w:tc>
          <w:tcPr>
            <w:tcW w:w="1704"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9"/>
              <w:jc w:val="center"/>
              <w:rPr>
                <w:rFonts w:ascii="Times New Roman" w:hAnsi="Times New Roman" w:cs="Times New Roman"/>
                <w:szCs w:val="21"/>
              </w:rPr>
            </w:pPr>
            <w:r>
              <w:rPr>
                <w:rFonts w:hint="eastAsia" w:ascii="Times New Roman" w:hAnsi="Times New Roman" w:cs="Times New Roman"/>
                <w:szCs w:val="21"/>
              </w:rPr>
              <w:t>56.6</w:t>
            </w:r>
          </w:p>
        </w:tc>
        <w:tc>
          <w:tcPr>
            <w:tcW w:w="1704"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9"/>
              <w:jc w:val="center"/>
              <w:rPr>
                <w:rFonts w:ascii="Times New Roman" w:hAnsi="Times New Roman" w:cs="Times New Roman"/>
                <w:szCs w:val="21"/>
              </w:rPr>
            </w:pPr>
          </w:p>
        </w:tc>
        <w:tc>
          <w:tcPr>
            <w:tcW w:w="1704"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9"/>
              <w:jc w:val="center"/>
              <w:rPr>
                <w:rFonts w:ascii="Times New Roman" w:hAnsi="Times New Roman" w:cs="Times New Roman"/>
                <w:szCs w:val="21"/>
              </w:rPr>
            </w:pPr>
            <w:r>
              <w:rPr>
                <w:rFonts w:hint="eastAsia" w:ascii="Times New Roman" w:hAnsi="Times New Roman" w:cs="Times New Roman"/>
                <w:szCs w:val="21"/>
              </w:rPr>
              <w:t>45010</w:t>
            </w:r>
          </w:p>
        </w:tc>
      </w:tr>
      <w:tr>
        <w:tblPrEx>
          <w:tblCellMar>
            <w:top w:w="0" w:type="dxa"/>
            <w:left w:w="108" w:type="dxa"/>
            <w:bottom w:w="0" w:type="dxa"/>
            <w:right w:w="108" w:type="dxa"/>
          </w:tblCellMar>
        </w:tblPrEx>
        <w:tc>
          <w:tcPr>
            <w:tcW w:w="1703" w:type="dxa"/>
            <w:vMerge w:val="continue"/>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9"/>
              <w:jc w:val="center"/>
              <w:rPr>
                <w:rFonts w:ascii="Times New Roman" w:hAnsi="Times New Roman" w:cs="Times New Roman"/>
                <w:szCs w:val="21"/>
              </w:rPr>
            </w:pPr>
          </w:p>
        </w:tc>
        <w:tc>
          <w:tcPr>
            <w:tcW w:w="1703"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9"/>
              <w:jc w:val="center"/>
              <w:rPr>
                <w:rFonts w:ascii="Times New Roman" w:hAnsi="Times New Roman" w:cs="Times New Roman"/>
                <w:szCs w:val="21"/>
              </w:rPr>
            </w:pPr>
            <w:r>
              <w:rPr>
                <w:rFonts w:hint="eastAsia" w:ascii="Times New Roman" w:hAnsi="Times New Roman" w:cs="Times New Roman"/>
                <w:szCs w:val="21"/>
              </w:rPr>
              <w:t>巴彦淖尔</w:t>
            </w:r>
          </w:p>
        </w:tc>
        <w:tc>
          <w:tcPr>
            <w:tcW w:w="1704"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9"/>
              <w:jc w:val="center"/>
              <w:rPr>
                <w:rFonts w:ascii="Times New Roman" w:hAnsi="Times New Roman" w:cs="Times New Roman"/>
                <w:szCs w:val="21"/>
              </w:rPr>
            </w:pPr>
            <w:r>
              <w:rPr>
                <w:rFonts w:hint="eastAsia" w:ascii="Times New Roman" w:hAnsi="Times New Roman" w:cs="Times New Roman"/>
                <w:szCs w:val="21"/>
              </w:rPr>
              <w:t>169.4</w:t>
            </w:r>
          </w:p>
        </w:tc>
        <w:tc>
          <w:tcPr>
            <w:tcW w:w="1704" w:type="dxa"/>
            <w:vMerge w:val="continue"/>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9"/>
              <w:jc w:val="center"/>
              <w:rPr>
                <w:rFonts w:ascii="Times New Roman" w:hAnsi="Times New Roman" w:cs="Times New Roman"/>
                <w:szCs w:val="21"/>
              </w:rPr>
            </w:pPr>
          </w:p>
        </w:tc>
        <w:tc>
          <w:tcPr>
            <w:tcW w:w="1704"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9"/>
              <w:jc w:val="center"/>
              <w:rPr>
                <w:rFonts w:ascii="Times New Roman" w:hAnsi="Times New Roman" w:cs="Times New Roman"/>
                <w:szCs w:val="21"/>
              </w:rPr>
            </w:pPr>
            <w:r>
              <w:rPr>
                <w:rFonts w:hint="eastAsia" w:ascii="Times New Roman" w:hAnsi="Times New Roman" w:cs="Times New Roman"/>
                <w:szCs w:val="21"/>
              </w:rPr>
              <w:t>26833</w:t>
            </w:r>
          </w:p>
        </w:tc>
      </w:tr>
      <w:tr>
        <w:tblPrEx>
          <w:tblCellMar>
            <w:top w:w="0" w:type="dxa"/>
            <w:left w:w="108" w:type="dxa"/>
            <w:bottom w:w="0" w:type="dxa"/>
            <w:right w:w="108" w:type="dxa"/>
          </w:tblCellMar>
        </w:tblPrEx>
        <w:tc>
          <w:tcPr>
            <w:tcW w:w="1703"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9"/>
              <w:jc w:val="center"/>
              <w:rPr>
                <w:rFonts w:ascii="Times New Roman" w:hAnsi="Times New Roman" w:cs="Times New Roman"/>
                <w:szCs w:val="21"/>
              </w:rPr>
            </w:pPr>
          </w:p>
        </w:tc>
        <w:tc>
          <w:tcPr>
            <w:tcW w:w="1703"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9"/>
              <w:jc w:val="center"/>
              <w:rPr>
                <w:rFonts w:ascii="Times New Roman" w:hAnsi="Times New Roman" w:cs="Times New Roman"/>
                <w:szCs w:val="21"/>
              </w:rPr>
            </w:pPr>
            <w:r>
              <w:rPr>
                <w:rFonts w:hint="eastAsia" w:ascii="Times New Roman" w:hAnsi="Times New Roman" w:cs="Times New Roman"/>
                <w:szCs w:val="21"/>
              </w:rPr>
              <w:t>榆林</w:t>
            </w:r>
          </w:p>
        </w:tc>
        <w:tc>
          <w:tcPr>
            <w:tcW w:w="1704"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9"/>
              <w:jc w:val="center"/>
              <w:rPr>
                <w:rFonts w:ascii="Times New Roman" w:hAnsi="Times New Roman" w:cs="Times New Roman"/>
                <w:szCs w:val="21"/>
              </w:rPr>
            </w:pPr>
            <w:r>
              <w:rPr>
                <w:rFonts w:hint="eastAsia" w:ascii="Times New Roman" w:hAnsi="Times New Roman" w:cs="Times New Roman"/>
                <w:szCs w:val="21"/>
              </w:rPr>
              <w:t>342.4</w:t>
            </w:r>
          </w:p>
        </w:tc>
        <w:tc>
          <w:tcPr>
            <w:tcW w:w="1704"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9"/>
              <w:jc w:val="center"/>
              <w:rPr>
                <w:rFonts w:ascii="Times New Roman" w:hAnsi="Times New Roman" w:cs="Times New Roman"/>
                <w:szCs w:val="21"/>
              </w:rPr>
            </w:pPr>
          </w:p>
        </w:tc>
        <w:tc>
          <w:tcPr>
            <w:tcW w:w="1704"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9"/>
              <w:jc w:val="center"/>
              <w:rPr>
                <w:rFonts w:ascii="Times New Roman" w:hAnsi="Times New Roman" w:cs="Times New Roman"/>
                <w:szCs w:val="21"/>
              </w:rPr>
            </w:pPr>
            <w:r>
              <w:rPr>
                <w:rFonts w:hint="eastAsia" w:ascii="Times New Roman" w:hAnsi="Times New Roman" w:cs="Times New Roman"/>
                <w:szCs w:val="21"/>
              </w:rPr>
              <w:t>33904</w:t>
            </w:r>
          </w:p>
        </w:tc>
      </w:tr>
    </w:tbl>
    <w:p>
      <w:pPr>
        <w:spacing w:line="360" w:lineRule="auto"/>
        <w:ind w:firstLine="482" w:firstLineChars="200"/>
        <w:rPr>
          <w:rFonts w:ascii="Times New Roman" w:hAnsi="Times New Roman" w:cs="Times New Roman"/>
          <w:b/>
          <w:bCs/>
          <w:sz w:val="24"/>
        </w:rPr>
      </w:pPr>
    </w:p>
    <w:p>
      <w:pPr>
        <w:spacing w:line="360" w:lineRule="auto"/>
        <w:ind w:firstLine="482" w:firstLineChars="200"/>
        <w:rPr>
          <w:rFonts w:ascii="Times New Roman" w:hAnsi="Times New Roman" w:cs="Times New Roman"/>
          <w:sz w:val="24"/>
        </w:rPr>
      </w:pPr>
      <w:r>
        <w:rPr>
          <w:rFonts w:hint="eastAsia" w:ascii="Times New Roman" w:hAnsi="Times New Roman" w:cs="Times New Roman"/>
          <w:b/>
          <w:bCs/>
          <w:sz w:val="24"/>
        </w:rPr>
        <w:t>二级市场：</w:t>
      </w:r>
      <w:r>
        <w:rPr>
          <w:rFonts w:hint="eastAsia" w:ascii="Times New Roman" w:hAnsi="Times New Roman" w:cs="Times New Roman"/>
          <w:sz w:val="24"/>
        </w:rPr>
        <w:t>主要包括两部分。一为京津冀都市圈，车程在5-10小时左右（航空与公路相结合），京津冀市场在我国三大客源市场中与伊金霍洛旗距离最近，出游人次达到1.2亿人次/年，快节奏的生活方式使其放松心情、回归自然的愿望强烈，度假需求市场份额达到30%—32%，休闲度假游逐渐成为旅游新时尚，市场潜力巨大。二为除呼包鄂经济带外的蒙、陕、宁、晋大中城市市场，该市场距离伊金霍洛旗在4-5小时车程范围内，近年来经济和社会发展较快，居民收入指标呈快速增长势头。随着中短途休闲度假需求的持续旺盛、自驾车热潮的兴起以及伊金霍洛旗周边交通条件的改善，该市场在伊金霍洛旗所占市场份额亦将逐步扩大。</w:t>
      </w:r>
    </w:p>
    <w:p>
      <w:pPr>
        <w:spacing w:line="360" w:lineRule="auto"/>
        <w:ind w:firstLine="482" w:firstLineChars="200"/>
        <w:rPr>
          <w:rFonts w:ascii="Times New Roman" w:hAnsi="Times New Roman" w:cs="Times New Roman"/>
          <w:sz w:val="24"/>
        </w:rPr>
      </w:pPr>
      <w:r>
        <w:rPr>
          <w:rFonts w:hint="eastAsia" w:ascii="Times New Roman" w:hAnsi="Times New Roman" w:cs="Times New Roman"/>
          <w:b/>
          <w:bCs/>
          <w:sz w:val="24"/>
        </w:rPr>
        <w:t>三级市场：</w:t>
      </w:r>
      <w:r>
        <w:rPr>
          <w:rFonts w:hint="eastAsia" w:ascii="Times New Roman" w:hAnsi="Times New Roman" w:cs="Times New Roman"/>
          <w:sz w:val="24"/>
        </w:rPr>
        <w:t>国内</w:t>
      </w:r>
      <w:r>
        <w:rPr>
          <w:rFonts w:hint="eastAsia" w:ascii="Times New Roman" w:hAnsi="Times New Roman" w:cs="Times New Roman"/>
          <w:sz w:val="24"/>
          <w:lang w:eastAsia="zh-CN"/>
        </w:rPr>
        <w:t>其他</w:t>
      </w:r>
      <w:r>
        <w:rPr>
          <w:rFonts w:hint="eastAsia" w:ascii="Times New Roman" w:hAnsi="Times New Roman" w:cs="Times New Roman"/>
          <w:sz w:val="24"/>
        </w:rPr>
        <w:t>大中城市和日韩蒙俄港澳台等入境市场。由于空间距离与当地社会经济发展状况的限制，这些地区来伊金霍洛旗旅游的游客比重较小，流量小，后期在市场开发过程中应注重对这些地区的开发与营销。</w:t>
      </w:r>
    </w:p>
    <w:p>
      <w:pPr>
        <w:pStyle w:val="3"/>
        <w:ind w:firstLine="560" w:firstLineChars="200"/>
        <w:rPr>
          <w:rFonts w:ascii="Times New Roman" w:hAnsi="Times New Roman" w:cs="Times New Roman"/>
        </w:rPr>
      </w:pPr>
      <w:bookmarkStart w:id="583" w:name="_Toc870"/>
      <w:r>
        <w:rPr>
          <w:rFonts w:hint="eastAsia" w:ascii="Times New Roman" w:hAnsi="Times New Roman" w:cs="Times New Roman"/>
        </w:rPr>
        <w:t>二、塑造品牌形象</w:t>
      </w:r>
      <w:bookmarkEnd w:id="583"/>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在文化旅游产业发展过程中，旅游形象</w:t>
      </w:r>
      <w:r>
        <w:rPr>
          <w:rFonts w:hint="eastAsia" w:ascii="Times New Roman" w:hAnsi="Times New Roman" w:cs="Times New Roman"/>
          <w:sz w:val="24"/>
          <w:lang w:eastAsia="zh-CN"/>
        </w:rPr>
        <w:t>（</w:t>
      </w:r>
      <w:r>
        <w:rPr>
          <w:rFonts w:hint="eastAsia" w:ascii="Times New Roman" w:hAnsi="Times New Roman" w:cs="Times New Roman"/>
          <w:sz w:val="24"/>
        </w:rPr>
        <w:t>TIS，又叫旅游地形象</w:t>
      </w:r>
      <w:r>
        <w:rPr>
          <w:rFonts w:hint="eastAsia" w:ascii="Times New Roman" w:hAnsi="Times New Roman" w:cs="Times New Roman"/>
          <w:sz w:val="24"/>
          <w:lang w:eastAsia="zh-CN"/>
        </w:rPr>
        <w:t>）</w:t>
      </w:r>
      <w:r>
        <w:rPr>
          <w:rFonts w:hint="eastAsia" w:ascii="Times New Roman" w:hAnsi="Times New Roman" w:cs="Times New Roman"/>
          <w:sz w:val="24"/>
        </w:rPr>
        <w:t>的塑造具有举足轻重的作用。如果一个旅游地的形象模糊混乱，则很难对潜在的旅游客源群体形成吸引效应，同时还会使现实的旅游者经历平淡，降低游客重游率。而个性鲜明、亲切感人的旅游地形象是形成庞大旅游市场的源泉，并可以在旅游市场上形成较长时间的垄断地位。旅游形象塑造是伊金霍洛旗文化旅游业培育的重要环节，一个能够表达伊金霍洛旗文化旅游特色的形象将会</w:t>
      </w:r>
      <w:r>
        <w:rPr>
          <w:rFonts w:hint="eastAsia" w:ascii="Times New Roman" w:hAnsi="Times New Roman" w:cs="Times New Roman"/>
          <w:sz w:val="24"/>
          <w:lang w:eastAsia="zh-CN"/>
        </w:rPr>
        <w:t>极大地推动</w:t>
      </w:r>
      <w:r>
        <w:rPr>
          <w:rFonts w:hint="eastAsia" w:ascii="Times New Roman" w:hAnsi="Times New Roman" w:cs="Times New Roman"/>
          <w:sz w:val="24"/>
        </w:rPr>
        <w:t>文化旅游业的发展。</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“十三五”期间，根据伊金霍洛旗文化旅游的资源特点、市场需求特征以及所面临的市场竞争特点，伊金霍洛旗将文化旅游形象定位为：</w:t>
      </w:r>
      <w:r>
        <w:rPr>
          <w:rFonts w:hint="eastAsia" w:ascii="Times New Roman" w:hAnsi="Times New Roman" w:cs="Times New Roman"/>
          <w:b/>
          <w:bCs/>
          <w:sz w:val="28"/>
          <w:szCs w:val="28"/>
          <w:lang w:eastAsia="zh-CN"/>
        </w:rPr>
        <w:t>大美绿城</w:t>
      </w:r>
      <w:r>
        <w:rPr>
          <w:rFonts w:hint="eastAsia" w:ascii="Times New Roman" w:hAnsi="Times New Roman" w:cs="Times New Roman"/>
          <w:b/>
          <w:bCs/>
          <w:sz w:val="28"/>
          <w:szCs w:val="28"/>
          <w:lang w:val="en-US" w:eastAsia="zh-CN"/>
        </w:rPr>
        <w:t xml:space="preserve"> </w:t>
      </w:r>
      <w:r>
        <w:rPr>
          <w:rFonts w:hint="eastAsia" w:ascii="Times New Roman" w:hAnsi="Times New Roman" w:cs="Times New Roman"/>
          <w:b/>
          <w:bCs/>
          <w:sz w:val="28"/>
          <w:szCs w:val="28"/>
        </w:rPr>
        <w:t>伊金霍洛</w:t>
      </w:r>
      <w:r>
        <w:rPr>
          <w:rFonts w:hint="eastAsia" w:ascii="Times New Roman" w:hAnsi="Times New Roman" w:cs="Times New Roman"/>
          <w:sz w:val="24"/>
        </w:rPr>
        <w:t>。为不断巩固伊金霍洛在游客心中的旅游形象，形成游客认同感，建议“十四五”期间，旅游形象不做变更。</w:t>
      </w:r>
    </w:p>
    <w:p>
      <w:pPr>
        <w:spacing w:line="360" w:lineRule="auto"/>
        <w:ind w:firstLine="480" w:firstLineChars="200"/>
        <w:rPr>
          <w:rFonts w:ascii="Times New Roman" w:hAnsi="Times New Roman" w:cs="Times New Roman"/>
        </w:rPr>
      </w:pPr>
      <w:r>
        <w:rPr>
          <w:rFonts w:hint="eastAsia" w:ascii="Times New Roman" w:hAnsi="Times New Roman" w:cs="Times New Roman"/>
          <w:sz w:val="24"/>
        </w:rPr>
        <w:t>通过打造伊金霍洛旅游IP，以IP助推品牌形象的形成和扩大。以成吉思汗文化、草原、乡村等为主要IP构造元素，聘请专业团队进行IP形象设计，以主题形象“天骄圣地 伊金霍洛”作为对外宣传口号，并通过统筹全旗各大景点的旅游品牌，整体塑造一大旅游品牌并将品牌IP进一步应用。将IP形象应用于伊金霍洛旗营销宣传广告、宣传牌中，通过标识系统体现品牌IP，以品牌可视化强化游客对伊金霍洛旗的关注度；根据各乡镇和景区不同的主题特征，将IP形象应用于旅游标识设计中，构建一整套独具伊金霍洛旗特色的旅游标识系统；通过旅游商品产品体现旅游品牌：结合旅游商品的开发，将品牌IP产业延伸，应用于产品造型、产品包装、产品展览礼品以及印刷出版物等。</w:t>
      </w:r>
    </w:p>
    <w:p>
      <w:pPr>
        <w:pStyle w:val="3"/>
        <w:ind w:firstLine="560" w:firstLineChars="200"/>
        <w:rPr>
          <w:rFonts w:ascii="Times New Roman" w:hAnsi="Times New Roman" w:cs="Times New Roman"/>
        </w:rPr>
      </w:pPr>
      <w:bookmarkStart w:id="584" w:name="_Toc5075"/>
      <w:r>
        <w:rPr>
          <w:rFonts w:hint="eastAsia" w:ascii="Times New Roman" w:hAnsi="Times New Roman" w:cs="Times New Roman"/>
        </w:rPr>
        <w:t>三、开展多元营销</w:t>
      </w:r>
      <w:bookmarkEnd w:id="584"/>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伊金霍洛旗目前旅游宣传形式以传统营销渠道为主，且营销推广力度较小，未来应集中精力开展旅游多元营销，从营销主体多元化、营销载体多元化、营销渠道多元化等三方面来深化营销形式，构建全方位多层面的营销体系，打造伊金霍洛旗的旅游品牌。营销主体多元：整合政府、企业、媒体等各方资源，共同打造该景区旅游品牌。营销载体多元：营销过程中多方采用文字、图片、歌曲、视频等视听形象展示载体的同时，注重在视、听、嗅、味、触五感方面的表达，借美景、美食、美物等一切载体，向市场传递“天骄圣地 伊金霍洛”的旅游形象，达到营销目的。营销渠道多元：借助传统媒体、新媒体、会展营销、文化营销、节庆营销、产业营销等多种营销渠道，扩大营销面，使营销做到潜移默化深入人心的效果。与周边影响力度较大的景区或旗县进行捆绑营销，通过与各大旅行社合作，设计合理的旅游路线，提高伊金霍洛旗的知名度，达到提高营销效用的目的。</w:t>
      </w:r>
    </w:p>
    <w:p>
      <w:pPr>
        <w:pStyle w:val="4"/>
        <w:ind w:firstLine="480"/>
        <w:rPr>
          <w:rFonts w:ascii="Times New Roman" w:hAnsi="Times New Roman" w:cs="Times New Roman"/>
        </w:rPr>
      </w:pPr>
      <w:bookmarkStart w:id="585" w:name="_Toc7634"/>
      <w:bookmarkStart w:id="586" w:name="_Toc5776"/>
      <w:bookmarkStart w:id="587" w:name="_Toc19071"/>
      <w:bookmarkStart w:id="588" w:name="_Toc17930"/>
      <w:bookmarkStart w:id="589" w:name="_Toc9908"/>
      <w:r>
        <w:rPr>
          <w:rFonts w:hint="eastAsia" w:ascii="Times New Roman" w:hAnsi="Times New Roman" w:cs="Times New Roman"/>
        </w:rPr>
        <w:t>（一）传统媒体</w:t>
      </w:r>
      <w:bookmarkEnd w:id="585"/>
      <w:r>
        <w:rPr>
          <w:rFonts w:hint="eastAsia" w:ascii="Times New Roman" w:hAnsi="Times New Roman" w:cs="Times New Roman"/>
        </w:rPr>
        <w:t>营销</w:t>
      </w:r>
      <w:bookmarkEnd w:id="586"/>
      <w:bookmarkEnd w:id="587"/>
      <w:bookmarkEnd w:id="588"/>
      <w:bookmarkEnd w:id="589"/>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伊金霍洛旗现有营销方式以传统营销为主，巩固现有营销方式，丰富营销内容和创新营销方式，实现营销力度和广度的全面扩展。</w:t>
      </w:r>
    </w:p>
    <w:p>
      <w:pPr>
        <w:spacing w:line="360" w:lineRule="auto"/>
        <w:ind w:firstLine="422" w:firstLineChars="200"/>
        <w:jc w:val="center"/>
        <w:rPr>
          <w:rFonts w:ascii="Times New Roman" w:hAnsi="Times New Roman" w:cs="Times New Roman"/>
          <w:b/>
          <w:bCs/>
          <w:szCs w:val="21"/>
        </w:rPr>
      </w:pPr>
      <w:r>
        <w:rPr>
          <w:rFonts w:hint="eastAsia" w:ascii="Times New Roman" w:hAnsi="Times New Roman" w:cs="Times New Roman"/>
          <w:b/>
          <w:bCs/>
          <w:szCs w:val="21"/>
        </w:rPr>
        <w:t>表10-2传统媒体营销方式表</w:t>
      </w:r>
    </w:p>
    <w:tbl>
      <w:tblPr>
        <w:tblStyle w:val="17"/>
        <w:tblW w:w="0" w:type="auto"/>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shd w:val="clear" w:color="auto" w:fill="DEEBF6" w:themeFill="accent1" w:themeFillTint="32"/>
        <w:tblLayout w:type="autofit"/>
        <w:tblCellMar>
          <w:top w:w="0" w:type="dxa"/>
          <w:left w:w="108" w:type="dxa"/>
          <w:bottom w:w="0" w:type="dxa"/>
          <w:right w:w="108" w:type="dxa"/>
        </w:tblCellMar>
      </w:tblPr>
      <w:tblGrid>
        <w:gridCol w:w="1225"/>
        <w:gridCol w:w="1421"/>
        <w:gridCol w:w="1430"/>
        <w:gridCol w:w="2222"/>
        <w:gridCol w:w="2222"/>
      </w:tblGrid>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shd w:val="clear" w:color="auto" w:fill="DEEBF6" w:themeFill="accent1" w:themeFillTint="32"/>
          <w:tblCellMar>
            <w:top w:w="0" w:type="dxa"/>
            <w:left w:w="108" w:type="dxa"/>
            <w:bottom w:w="0" w:type="dxa"/>
            <w:right w:w="108" w:type="dxa"/>
          </w:tblCellMar>
        </w:tblPrEx>
        <w:trPr>
          <w:trHeight w:val="475" w:hRule="atLeast"/>
        </w:trPr>
        <w:tc>
          <w:tcPr>
            <w:tcW w:w="1225" w:type="dxa"/>
            <w:tcBorders>
              <w:top w:val="single" w:color="4F81BD" w:sz="8" w:space="0"/>
              <w:left w:val="single" w:color="4F81BD" w:sz="8" w:space="0"/>
              <w:bottom w:val="single" w:color="FFFFFF" w:sz="18" w:space="0"/>
              <w:right w:val="single" w:color="4F81BD" w:sz="8" w:space="0"/>
            </w:tcBorders>
            <w:shd w:val="clear" w:color="auto" w:fill="4F81BD"/>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传统媒体平台</w:t>
            </w:r>
          </w:p>
        </w:tc>
        <w:tc>
          <w:tcPr>
            <w:tcW w:w="1421" w:type="dxa"/>
            <w:tcBorders>
              <w:top w:val="single" w:color="4F81BD" w:sz="8" w:space="0"/>
              <w:left w:val="single" w:color="4F81BD" w:sz="8" w:space="0"/>
              <w:bottom w:val="single" w:color="FFFFFF" w:sz="18" w:space="0"/>
              <w:right w:val="single" w:color="4F81BD" w:sz="8" w:space="0"/>
            </w:tcBorders>
            <w:shd w:val="clear" w:color="auto" w:fill="4F81BD"/>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报刊杂志</w:t>
            </w:r>
          </w:p>
        </w:tc>
        <w:tc>
          <w:tcPr>
            <w:tcW w:w="1430" w:type="dxa"/>
            <w:tcBorders>
              <w:top w:val="single" w:color="4F81BD" w:sz="8" w:space="0"/>
              <w:left w:val="single" w:color="4F81BD" w:sz="8" w:space="0"/>
              <w:bottom w:val="single" w:color="FFFFFF" w:sz="18" w:space="0"/>
              <w:right w:val="single" w:color="4F81BD" w:sz="8" w:space="0"/>
            </w:tcBorders>
            <w:shd w:val="clear" w:color="auto" w:fill="4F81BD"/>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电视广播</w:t>
            </w:r>
          </w:p>
        </w:tc>
        <w:tc>
          <w:tcPr>
            <w:tcW w:w="2222" w:type="dxa"/>
            <w:tcBorders>
              <w:top w:val="single" w:color="4F81BD" w:sz="8" w:space="0"/>
              <w:left w:val="single" w:color="4F81BD" w:sz="8" w:space="0"/>
              <w:bottom w:val="single" w:color="FFFFFF" w:sz="18" w:space="0"/>
              <w:right w:val="single" w:color="4F81BD" w:sz="8" w:space="0"/>
            </w:tcBorders>
            <w:shd w:val="clear" w:color="auto" w:fill="4F81BD"/>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户外媒体</w:t>
            </w:r>
          </w:p>
        </w:tc>
        <w:tc>
          <w:tcPr>
            <w:tcW w:w="2222" w:type="dxa"/>
            <w:tcBorders>
              <w:top w:val="single" w:color="4F81BD" w:sz="8" w:space="0"/>
              <w:left w:val="single" w:color="4F81BD" w:sz="8" w:space="0"/>
              <w:bottom w:val="single" w:color="FFFFFF" w:sz="18" w:space="0"/>
              <w:right w:val="single" w:color="4F81BD" w:sz="8" w:space="0"/>
            </w:tcBorders>
            <w:shd w:val="clear" w:color="auto" w:fill="4F81BD"/>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旅游推介会</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shd w:val="clear" w:color="auto" w:fill="DEEBF6" w:themeFill="accent1" w:themeFillTint="32"/>
          <w:tblCellMar>
            <w:top w:w="0" w:type="dxa"/>
            <w:left w:w="108" w:type="dxa"/>
            <w:bottom w:w="0" w:type="dxa"/>
            <w:right w:w="108" w:type="dxa"/>
          </w:tblCellMar>
        </w:tblPrEx>
        <w:trPr>
          <w:trHeight w:val="780" w:hRule="atLeast"/>
        </w:trPr>
        <w:tc>
          <w:tcPr>
            <w:tcW w:w="1225" w:type="dxa"/>
            <w:tcBorders>
              <w:top w:val="single" w:color="FFFFFF" w:sz="18" w:space="0"/>
              <w:left w:val="single" w:color="4F81BD" w:sz="8" w:space="0"/>
              <w:bottom w:val="single" w:color="4F81BD" w:sz="8" w:space="0"/>
              <w:right w:val="single" w:color="4F81BD" w:sz="8" w:space="0"/>
            </w:tcBorders>
            <w:shd w:val="clear" w:color="auto" w:fill="B8CCE4"/>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营销方式</w:t>
            </w:r>
          </w:p>
        </w:tc>
        <w:tc>
          <w:tcPr>
            <w:tcW w:w="1421" w:type="dxa"/>
            <w:tcBorders>
              <w:top w:val="single" w:color="FFFFFF" w:sz="18" w:space="0"/>
              <w:left w:val="single" w:color="4F81BD" w:sz="8" w:space="0"/>
              <w:bottom w:val="single" w:color="4F81BD" w:sz="8" w:space="0"/>
              <w:right w:val="single" w:color="4F81BD" w:sz="8" w:space="0"/>
            </w:tcBorders>
            <w:shd w:val="clear" w:color="auto" w:fill="B8CCE4"/>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市级、省（自治区）级、国家级旅游杂志或报纸图文并茂的报道与介绍</w:t>
            </w:r>
          </w:p>
        </w:tc>
        <w:tc>
          <w:tcPr>
            <w:tcW w:w="1430" w:type="dxa"/>
            <w:tcBorders>
              <w:top w:val="single" w:color="FFFFFF" w:sz="18" w:space="0"/>
              <w:left w:val="single" w:color="4F81BD" w:sz="8" w:space="0"/>
              <w:bottom w:val="single" w:color="4F81BD" w:sz="8" w:space="0"/>
              <w:right w:val="single" w:color="4F81BD" w:sz="8" w:space="0"/>
            </w:tcBorders>
            <w:shd w:val="clear" w:color="auto" w:fill="B8CCE4"/>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车载语音广告、宣传歌曲投放；电视广告、纪录片、电影、音乐电视宣传片投放</w:t>
            </w:r>
          </w:p>
        </w:tc>
        <w:tc>
          <w:tcPr>
            <w:tcW w:w="2222" w:type="dxa"/>
            <w:tcBorders>
              <w:top w:val="single" w:color="FFFFFF" w:sz="18" w:space="0"/>
              <w:left w:val="single" w:color="4F81BD" w:sz="8" w:space="0"/>
              <w:bottom w:val="single" w:color="4F81BD" w:sz="8" w:space="0"/>
              <w:right w:val="single" w:color="4F81BD" w:sz="8" w:space="0"/>
            </w:tcBorders>
            <w:shd w:val="clear" w:color="auto" w:fill="B8CCE4"/>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在伊金霍洛旗以及核心客源市场的飞机场、 高铁站、高速公路、中心城区等地，发布主题口号和海报，有条件的地方可播放宣传片、主题歌曲等。</w:t>
            </w:r>
          </w:p>
        </w:tc>
        <w:tc>
          <w:tcPr>
            <w:tcW w:w="2222" w:type="dxa"/>
            <w:tcBorders>
              <w:top w:val="single" w:color="FFFFFF" w:sz="18" w:space="0"/>
              <w:left w:val="single" w:color="4F81BD" w:sz="8" w:space="0"/>
              <w:bottom w:val="single" w:color="4F81BD" w:sz="8" w:space="0"/>
              <w:right w:val="single" w:color="4F81BD" w:sz="8" w:space="0"/>
            </w:tcBorders>
            <w:shd w:val="clear" w:color="auto" w:fill="B8CCE4"/>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以一级市场如“呼包鄂榆”以及二级为重点，积极参加旅游推介会，推动宣传伊金霍洛旗旅游业走出去。</w:t>
            </w:r>
          </w:p>
        </w:tc>
      </w:tr>
    </w:tbl>
    <w:p>
      <w:pPr>
        <w:spacing w:line="360" w:lineRule="auto"/>
        <w:ind w:firstLine="480" w:firstLineChars="200"/>
        <w:rPr>
          <w:rFonts w:ascii="Times New Roman" w:hAnsi="Times New Roman" w:cs="Times New Roman"/>
          <w:sz w:val="24"/>
        </w:rPr>
      </w:pPr>
    </w:p>
    <w:p>
      <w:pPr>
        <w:pStyle w:val="4"/>
        <w:ind w:firstLine="480"/>
        <w:rPr>
          <w:rFonts w:ascii="Times New Roman" w:hAnsi="Times New Roman" w:cs="Times New Roman"/>
        </w:rPr>
      </w:pPr>
      <w:bookmarkStart w:id="590" w:name="_Toc258"/>
      <w:bookmarkStart w:id="591" w:name="_Toc27919"/>
      <w:bookmarkStart w:id="592" w:name="_Toc18033"/>
      <w:bookmarkStart w:id="593" w:name="_Toc12642"/>
      <w:bookmarkStart w:id="594" w:name="_Toc26684"/>
      <w:r>
        <w:rPr>
          <w:rFonts w:hint="eastAsia" w:ascii="Times New Roman" w:hAnsi="Times New Roman" w:cs="Times New Roman"/>
        </w:rPr>
        <w:t>（二）新媒体</w:t>
      </w:r>
      <w:bookmarkEnd w:id="590"/>
      <w:r>
        <w:rPr>
          <w:rFonts w:hint="eastAsia" w:ascii="Times New Roman" w:hAnsi="Times New Roman" w:cs="Times New Roman"/>
        </w:rPr>
        <w:t>营销</w:t>
      </w:r>
      <w:bookmarkEnd w:id="591"/>
      <w:bookmarkEnd w:id="592"/>
      <w:bookmarkEnd w:id="593"/>
      <w:bookmarkEnd w:id="594"/>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新媒体营销已经开始逐渐地成为现代营销模式中最重要的部分，利用互联网、手机软件等一系列在高新科技承载下展现出来的媒体形态实现信息的传递，已经成为相当一部分人了解旅游目的地的重要途径，因此，在伊金霍洛旗的旅游营销过程中，要重视网络新媒体营销。</w:t>
      </w:r>
    </w:p>
    <w:p>
      <w:pPr>
        <w:pStyle w:val="9"/>
        <w:rPr>
          <w:rFonts w:ascii="Times New Roman" w:hAnsi="Times New Roman" w:cs="Times New Roman"/>
          <w:sz w:val="24"/>
        </w:rPr>
      </w:pPr>
    </w:p>
    <w:p>
      <w:pPr>
        <w:pStyle w:val="9"/>
        <w:rPr>
          <w:rFonts w:ascii="Times New Roman" w:hAnsi="Times New Roman" w:cs="Times New Roman"/>
          <w:sz w:val="24"/>
        </w:rPr>
      </w:pPr>
    </w:p>
    <w:p>
      <w:pPr>
        <w:spacing w:line="360" w:lineRule="auto"/>
        <w:rPr>
          <w:rFonts w:ascii="Times New Roman" w:hAnsi="Times New Roman" w:cs="Times New Roman"/>
          <w:szCs w:val="21"/>
        </w:rPr>
      </w:pPr>
    </w:p>
    <w:p>
      <w:pPr>
        <w:spacing w:line="360" w:lineRule="auto"/>
        <w:rPr>
          <w:rFonts w:ascii="Times New Roman" w:hAnsi="Times New Roman" w:cs="Times New Roman"/>
          <w:szCs w:val="21"/>
        </w:rPr>
      </w:pPr>
    </w:p>
    <w:p>
      <w:pPr>
        <w:spacing w:line="360" w:lineRule="auto"/>
        <w:jc w:val="center"/>
        <w:rPr>
          <w:rFonts w:ascii="Times New Roman" w:hAnsi="Times New Roman" w:cs="Times New Roman"/>
          <w:b/>
          <w:bCs/>
          <w:sz w:val="24"/>
        </w:rPr>
      </w:pPr>
      <w:r>
        <w:rPr>
          <w:rFonts w:hint="eastAsia" w:ascii="Times New Roman" w:hAnsi="Times New Roman" w:cs="Times New Roman"/>
          <w:b/>
          <w:bCs/>
          <w:szCs w:val="21"/>
        </w:rPr>
        <w:t>表10-3 新媒体营销方式表</w:t>
      </w:r>
    </w:p>
    <w:tbl>
      <w:tblPr>
        <w:tblStyle w:val="17"/>
        <w:tblpPr w:leftFromText="180" w:rightFromText="180" w:vertAnchor="text" w:horzAnchor="page" w:tblpX="1789" w:tblpY="465"/>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436"/>
        <w:gridCol w:w="2576"/>
        <w:gridCol w:w="2535"/>
        <w:gridCol w:w="197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36" w:type="dxa"/>
            <w:tcBorders>
              <w:top w:val="single" w:color="4F81BD" w:sz="8" w:space="0"/>
              <w:left w:val="single" w:color="4F81BD" w:sz="8" w:space="0"/>
              <w:bottom w:val="single" w:color="FFFFFF" w:sz="18" w:space="0"/>
              <w:right w:val="single" w:color="4F81BD" w:sz="8" w:space="0"/>
              <w:tl2br w:val="nil"/>
              <w:tr2bl w:val="nil"/>
            </w:tcBorders>
            <w:shd w:val="clear" w:color="auto" w:fill="4F81BD"/>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新媒体平台</w:t>
            </w:r>
          </w:p>
        </w:tc>
        <w:tc>
          <w:tcPr>
            <w:tcW w:w="2576" w:type="dxa"/>
            <w:tcBorders>
              <w:top w:val="single" w:color="4F81BD" w:sz="8" w:space="0"/>
              <w:left w:val="single" w:color="4F81BD" w:sz="8" w:space="0"/>
              <w:bottom w:val="single" w:color="FFFFFF" w:sz="18" w:space="0"/>
              <w:right w:val="single" w:color="4F81BD" w:sz="8" w:space="0"/>
              <w:tl2br w:val="nil"/>
              <w:tr2bl w:val="nil"/>
            </w:tcBorders>
            <w:shd w:val="clear" w:color="auto" w:fill="4F81BD"/>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网站建设</w:t>
            </w:r>
          </w:p>
        </w:tc>
        <w:tc>
          <w:tcPr>
            <w:tcW w:w="2535" w:type="dxa"/>
            <w:tcBorders>
              <w:top w:val="single" w:color="4F81BD" w:sz="8" w:space="0"/>
              <w:left w:val="single" w:color="4F81BD" w:sz="8" w:space="0"/>
              <w:bottom w:val="single" w:color="FFFFFF" w:sz="18" w:space="0"/>
              <w:right w:val="single" w:color="4F81BD" w:sz="8" w:space="0"/>
              <w:tl2br w:val="nil"/>
              <w:tr2bl w:val="nil"/>
            </w:tcBorders>
            <w:shd w:val="clear" w:color="auto" w:fill="4F81BD"/>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网络平台</w:t>
            </w:r>
          </w:p>
        </w:tc>
        <w:tc>
          <w:tcPr>
            <w:tcW w:w="1975" w:type="dxa"/>
            <w:tcBorders>
              <w:top w:val="single" w:color="4F81BD" w:sz="8" w:space="0"/>
              <w:left w:val="single" w:color="4F81BD" w:sz="8" w:space="0"/>
              <w:bottom w:val="single" w:color="FFFFFF" w:sz="18" w:space="0"/>
              <w:right w:val="single" w:color="4F81BD" w:sz="8" w:space="0"/>
              <w:tl2br w:val="nil"/>
              <w:tr2bl w:val="nil"/>
            </w:tcBorders>
            <w:shd w:val="clear" w:color="auto" w:fill="4F81BD"/>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手机平台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36" w:type="dxa"/>
            <w:tcBorders>
              <w:top w:val="single" w:color="FFFFFF" w:sz="18" w:space="0"/>
              <w:left w:val="single" w:color="4F81BD" w:sz="8" w:space="0"/>
              <w:bottom w:val="single" w:color="4F81BD" w:sz="8" w:space="0"/>
              <w:right w:val="single" w:color="4F81BD" w:sz="8" w:space="0"/>
              <w:tl2br w:val="nil"/>
              <w:tr2bl w:val="nil"/>
            </w:tcBorders>
            <w:shd w:val="clear" w:color="auto" w:fill="B8CCE4"/>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营销方式</w:t>
            </w:r>
          </w:p>
        </w:tc>
        <w:tc>
          <w:tcPr>
            <w:tcW w:w="2576" w:type="dxa"/>
            <w:tcBorders>
              <w:top w:val="single" w:color="FFFFFF" w:sz="18" w:space="0"/>
              <w:left w:val="single" w:color="4F81BD" w:sz="8" w:space="0"/>
              <w:bottom w:val="single" w:color="4F81BD" w:sz="8" w:space="0"/>
              <w:right w:val="single" w:color="4F81BD" w:sz="8" w:space="0"/>
              <w:tl2br w:val="nil"/>
              <w:tr2bl w:val="nil"/>
            </w:tcBorders>
            <w:shd w:val="clear" w:color="auto" w:fill="B8CCE4"/>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合理设置网站导航；重点展示主要景区和特色产品 ；必备网站用户管理系统和调查系统；建立网站互动专区；优化搜索引擎；推出主题游戏、虚拟旅游；多语言介绍（简体中文、 繁体中文、蒙古语、俄文、 英文、日文、韩文等）</w:t>
            </w:r>
          </w:p>
        </w:tc>
        <w:tc>
          <w:tcPr>
            <w:tcW w:w="2535" w:type="dxa"/>
            <w:tcBorders>
              <w:top w:val="single" w:color="FFFFFF" w:sz="18" w:space="0"/>
              <w:left w:val="single" w:color="4F81BD" w:sz="8" w:space="0"/>
              <w:bottom w:val="single" w:color="4F81BD" w:sz="8" w:space="0"/>
              <w:right w:val="single" w:color="4F81BD" w:sz="8" w:space="0"/>
              <w:tl2br w:val="nil"/>
              <w:tr2bl w:val="nil"/>
            </w:tcBorders>
            <w:shd w:val="clear" w:color="auto" w:fill="B8CCE4"/>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建立官方微博、博客、论坛，及FACEBOOK 和TWITTER账户，发布新闻、软文、游记、好评等；与海内外著名的旅游网站、论坛、团购网站等合作；依托视频网站，发布主题歌曲、宣传片、 纪录片等；网络直播（虚拟旅游）</w:t>
            </w:r>
          </w:p>
        </w:tc>
        <w:tc>
          <w:tcPr>
            <w:tcW w:w="1975" w:type="dxa"/>
            <w:tcBorders>
              <w:top w:val="single" w:color="FFFFFF" w:sz="18" w:space="0"/>
              <w:left w:val="single" w:color="4F81BD" w:sz="8" w:space="0"/>
              <w:bottom w:val="single" w:color="4F81BD" w:sz="8" w:space="0"/>
              <w:right w:val="single" w:color="4F81BD" w:sz="8" w:space="0"/>
              <w:tl2br w:val="nil"/>
              <w:tr2bl w:val="nil"/>
            </w:tcBorders>
            <w:shd w:val="clear" w:color="auto" w:fill="B8CCE4"/>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建立手机版网站；开发手机应用APP ；开发主题手机游戏、手机虚拟旅游；进行微信、短信推广；抖音、快手、西瓜、网红娱乐APP（小视频发布）</w:t>
            </w:r>
          </w:p>
        </w:tc>
      </w:tr>
    </w:tbl>
    <w:p>
      <w:pPr>
        <w:spacing w:line="360" w:lineRule="auto"/>
        <w:ind w:firstLine="480" w:firstLineChars="200"/>
        <w:rPr>
          <w:rFonts w:ascii="Times New Roman" w:hAnsi="Times New Roman" w:cs="Times New Roman"/>
          <w:sz w:val="24"/>
        </w:rPr>
      </w:pPr>
    </w:p>
    <w:p>
      <w:pPr>
        <w:pStyle w:val="4"/>
        <w:ind w:firstLine="480"/>
        <w:rPr>
          <w:rFonts w:ascii="Times New Roman" w:hAnsi="Times New Roman" w:cs="Times New Roman"/>
        </w:rPr>
      </w:pPr>
      <w:bookmarkStart w:id="595" w:name="_Toc24222"/>
      <w:bookmarkStart w:id="596" w:name="_Toc29172"/>
      <w:bookmarkStart w:id="597" w:name="_Toc9586"/>
      <w:bookmarkStart w:id="598" w:name="_Toc12058"/>
      <w:bookmarkStart w:id="599" w:name="_Toc17346"/>
      <w:r>
        <w:rPr>
          <w:rFonts w:hint="eastAsia" w:ascii="Times New Roman" w:hAnsi="Times New Roman" w:cs="Times New Roman"/>
        </w:rPr>
        <w:t>（三）直播</w:t>
      </w:r>
      <w:bookmarkEnd w:id="595"/>
      <w:r>
        <w:rPr>
          <w:rFonts w:hint="eastAsia" w:ascii="Times New Roman" w:hAnsi="Times New Roman" w:cs="Times New Roman"/>
        </w:rPr>
        <w:t>营销</w:t>
      </w:r>
      <w:bookmarkEnd w:id="596"/>
      <w:bookmarkEnd w:id="597"/>
      <w:bookmarkEnd w:id="598"/>
      <w:bookmarkEnd w:id="599"/>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直播正在改变着人们获取和交流信息的方式，“无直播不传播”逐渐成为共</w:t>
      </w:r>
    </w:p>
    <w:p>
      <w:pPr>
        <w:spacing w:line="360" w:lineRule="auto"/>
        <w:rPr>
          <w:rFonts w:ascii="Times New Roman" w:hAnsi="Times New Roman" w:cs="Times New Roman"/>
          <w:sz w:val="24"/>
        </w:rPr>
      </w:pPr>
      <w:r>
        <w:rPr>
          <w:rFonts w:hint="eastAsia" w:ascii="Times New Roman" w:hAnsi="Times New Roman" w:cs="Times New Roman"/>
          <w:sz w:val="24"/>
        </w:rPr>
        <w:t>识，对旅游行业而言，传统营销方式通常以风景图、宣传片为主要传播手段，游客难以有身临其境的感觉；对于文化传播而言，传统的文化展览、不可移动的博物馆展出等均会受到时空的限制。而当文化和旅游遇到直播后，时空限制被完全打破，游客可以更加清晰、更加真实、全方位地感受到旅游目的地或不可移动文化的特点，从而增强旅游动机和加快文化传播速度。</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由此打造文化旅游直播秀，以鄂尔多斯婚礼、草原民族演艺（乌兰牧骑）、大型实景演出、历史文化展等为直播主题，利用直播获取大众对于伊金霍洛旗的关注度，引爆该地旅游市场；通过网红旅游直播，能让网络观众突破空间的限制，通过自带讲解的视频镜头，以第一人称视角，身临其境般地体验伊金霍洛旗的美景，调动直播观众“探索”与“发现”的兴趣；除了白天的直播外，还可打造“夜游直播”，进一步提升当地旅游吸引力；抢抓直播带货风口，将文旅产品进行线上直播销售，举行政府人员直播带货、“带你游伊金霍洛旗”等活动。</w:t>
      </w:r>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通过直播引爆打造当下热点“网红爆点”项目，项目首先要有较高的辨识度，有明显的标签符号。首先，项目在场面上、规模上能够呈现出非常高的辨识度，能够让项目本身自带标签符号，如玻璃廊桥的适度刺激与惊险，花海的图画性美景。第二，有广泛的参与基础，即能够有便捷的途径感受到项目标签。第三，要注意项目的阶段性与适用性。网红项目能红多久需要时刻检测，简单模仿定会导致迅速过时、衰退，因此要时刻把握时机进行项目的提升或者转型。同时要打造符合当地特色的“网红”，只有立足当地才能形成持续长远发展的优势，引发足够的“爆点”。</w:t>
      </w:r>
    </w:p>
    <w:p>
      <w:pPr>
        <w:pStyle w:val="4"/>
        <w:ind w:firstLine="480"/>
        <w:rPr>
          <w:rFonts w:ascii="Times New Roman" w:hAnsi="Times New Roman" w:cs="Times New Roman"/>
        </w:rPr>
      </w:pPr>
      <w:bookmarkStart w:id="600" w:name="_Toc13821"/>
      <w:bookmarkStart w:id="601" w:name="_Toc25855"/>
      <w:bookmarkStart w:id="602" w:name="_Toc12702"/>
      <w:bookmarkStart w:id="603" w:name="_Toc31603"/>
      <w:bookmarkStart w:id="604" w:name="_Toc5118"/>
      <w:r>
        <w:rPr>
          <w:rFonts w:hint="eastAsia" w:ascii="Times New Roman" w:hAnsi="Times New Roman" w:cs="Times New Roman"/>
        </w:rPr>
        <w:t>（四）流量</w:t>
      </w:r>
      <w:bookmarkEnd w:id="600"/>
      <w:r>
        <w:rPr>
          <w:rFonts w:hint="eastAsia" w:ascii="Times New Roman" w:hAnsi="Times New Roman" w:cs="Times New Roman"/>
        </w:rPr>
        <w:t>营销</w:t>
      </w:r>
      <w:bookmarkEnd w:id="601"/>
      <w:bookmarkEnd w:id="602"/>
      <w:bookmarkEnd w:id="603"/>
      <w:bookmarkEnd w:id="604"/>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发挥名人效应的流量带动作用，包括历史名人、国家领导人、影视明星、网络名人等；发挥新媒体网络的流量带动作用，以抖音、快手、西瓜视频等为代表的手机软件的风靡使得短视频拍摄行业迅速蹿红，伊金霍洛旗可利用这一潮流趋势，组织各景区、景点内部员工或招募一批游客、专业拍摄者前来拍摄，打造“网红”、“流量”打卡地，在带动游客人数的基础上提高全旗的旅游知名度。</w:t>
      </w:r>
    </w:p>
    <w:p>
      <w:pPr>
        <w:pStyle w:val="4"/>
        <w:ind w:firstLine="480"/>
        <w:rPr>
          <w:rFonts w:ascii="Times New Roman" w:hAnsi="Times New Roman" w:cs="Times New Roman"/>
        </w:rPr>
      </w:pPr>
      <w:bookmarkStart w:id="605" w:name="_Toc13704"/>
      <w:bookmarkStart w:id="606" w:name="_Toc15690"/>
      <w:bookmarkStart w:id="607" w:name="_Toc29707"/>
      <w:bookmarkStart w:id="608" w:name="_Toc30797"/>
      <w:bookmarkStart w:id="609" w:name="_Toc10653"/>
      <w:r>
        <w:rPr>
          <w:rFonts w:hint="eastAsia" w:ascii="Times New Roman" w:hAnsi="Times New Roman" w:cs="Times New Roman"/>
        </w:rPr>
        <w:t>（五）节庆营销</w:t>
      </w:r>
      <w:bookmarkEnd w:id="605"/>
      <w:bookmarkEnd w:id="606"/>
      <w:bookmarkEnd w:id="607"/>
      <w:bookmarkEnd w:id="608"/>
      <w:bookmarkEnd w:id="609"/>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通过深入挖掘伊金霍洛旗旅游资源特点以及民族文化和民俗风土人情，打造一系列旅游类、文化类、产业类、事件类等节事营销活动，如：苏布尔嘎嘎查“珠拉格”、那达慕大会、社区举办的小型旅游文体活动等，塑造“季季有主题”的节事体系。节庆活动的营销主题设计有以下三点基本要求：一、有冲击力，让旅游者看后记忆深刻；二、有吸引力，让旅游者产生兴趣，例如很多厂家用悬念主题吸引消费者探究心理；三、主题词简短易记。此外，借助新兴宣传形式进行节庆营销，并根据不同节日情况、节日消费心理行为、以及旅游者的现实需求和资源特色，研发推广适合节日期间旅游者进行的旅游活动，将旅游特色产品节日化。</w:t>
      </w:r>
    </w:p>
    <w:p>
      <w:pPr>
        <w:pStyle w:val="4"/>
        <w:ind w:firstLine="480"/>
        <w:rPr>
          <w:rFonts w:ascii="Times New Roman" w:hAnsi="Times New Roman" w:cs="Times New Roman"/>
        </w:rPr>
      </w:pPr>
      <w:bookmarkStart w:id="610" w:name="_Toc4691"/>
      <w:bookmarkStart w:id="611" w:name="_Toc30750"/>
      <w:bookmarkStart w:id="612" w:name="_Toc13040"/>
      <w:bookmarkStart w:id="613" w:name="_Toc19214"/>
      <w:bookmarkStart w:id="614" w:name="_Toc8994"/>
      <w:r>
        <w:rPr>
          <w:rFonts w:hint="eastAsia" w:ascii="Times New Roman" w:hAnsi="Times New Roman" w:cs="Times New Roman"/>
        </w:rPr>
        <w:t>（六）</w:t>
      </w:r>
      <w:bookmarkEnd w:id="610"/>
      <w:r>
        <w:rPr>
          <w:rFonts w:hint="eastAsia" w:ascii="Times New Roman" w:hAnsi="Times New Roman" w:cs="Times New Roman"/>
        </w:rPr>
        <w:t>文化创意营销</w:t>
      </w:r>
      <w:bookmarkEnd w:id="611"/>
      <w:bookmarkEnd w:id="612"/>
      <w:bookmarkEnd w:id="613"/>
      <w:bookmarkEnd w:id="614"/>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组织当地文化人士、聘请专家学者、民间自发启动，进行与文化和旅游产业发展密切相关的小说创作出版、散文创作发表、摄影作品刊登、影视剧本拍摄、旅游地图绘制、旅游书籍出版、景区景点图册、旅游风景绘画、历史文化发掘、研究专著出版、论文论著发表、旅游商品研发、菜品酒水创新、环境艺术设计、景观小品创作、民间网站制作、徒步探险组织、户外运动开展、手工艺品研发等方式，对外产生广泛的旅游地形象、产品、项目、市场营销的效果。</w:t>
      </w:r>
    </w:p>
    <w:p>
      <w:pPr>
        <w:pStyle w:val="4"/>
        <w:ind w:firstLine="480"/>
        <w:rPr>
          <w:rFonts w:ascii="Times New Roman" w:hAnsi="Times New Roman" w:cs="Times New Roman"/>
        </w:rPr>
      </w:pPr>
      <w:bookmarkStart w:id="615" w:name="_Toc28984"/>
      <w:bookmarkStart w:id="616" w:name="_Toc13106"/>
      <w:bookmarkStart w:id="617" w:name="_Toc30445"/>
      <w:bookmarkStart w:id="618" w:name="_Toc24825"/>
      <w:r>
        <w:rPr>
          <w:rFonts w:hint="eastAsia" w:ascii="Times New Roman" w:hAnsi="Times New Roman" w:cs="Times New Roman"/>
        </w:rPr>
        <w:t>（七）影视营销</w:t>
      </w:r>
      <w:bookmarkEnd w:id="615"/>
      <w:bookmarkEnd w:id="616"/>
      <w:bookmarkEnd w:id="617"/>
      <w:bookmarkEnd w:id="618"/>
    </w:p>
    <w:p>
      <w:pPr>
        <w:pStyle w:val="9"/>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影视营销是指将产品或品牌及其代表性的视觉符号甚至服务内容策</w:t>
      </w:r>
      <w:r>
        <w:rPr>
          <w:rFonts w:hint="eastAsia" w:ascii="Times New Roman" w:hAnsi="Times New Roman" w:cs="Times New Roman"/>
          <w:sz w:val="24"/>
          <w:lang w:eastAsia="zh-CN"/>
        </w:rPr>
        <w:t>略性地融入</w:t>
      </w:r>
      <w:r>
        <w:rPr>
          <w:rFonts w:hint="eastAsia" w:ascii="Times New Roman" w:hAnsi="Times New Roman" w:cs="Times New Roman"/>
          <w:sz w:val="24"/>
        </w:rPr>
        <w:t>电影、电视剧或电视节目中，经过场景的再现，让观众留下对产品或品牌的印象，达到营销的目</w:t>
      </w:r>
      <w:r>
        <w:rPr>
          <w:rFonts w:hint="eastAsia" w:ascii="Times New Roman" w:hAnsi="Times New Roman" w:cs="Times New Roman"/>
          <w:color w:val="auto"/>
          <w:sz w:val="24"/>
        </w:rPr>
        <w:t>的。依托</w:t>
      </w:r>
      <w:r>
        <w:rPr>
          <w:rFonts w:hint="eastAsia" w:ascii="Times New Roman" w:hAnsi="Times New Roman" w:cs="Times New Roman"/>
          <w:color w:val="auto"/>
          <w:sz w:val="24"/>
          <w:lang w:eastAsia="zh-CN"/>
        </w:rPr>
        <w:t>鄂尔多斯文化产业园</w:t>
      </w:r>
      <w:r>
        <w:rPr>
          <w:rFonts w:hint="eastAsia" w:ascii="Times New Roman" w:hAnsi="Times New Roman" w:cs="Times New Roman"/>
          <w:color w:val="auto"/>
          <w:sz w:val="24"/>
        </w:rPr>
        <w:t>影视城和伊金</w:t>
      </w:r>
      <w:r>
        <w:rPr>
          <w:rFonts w:hint="eastAsia" w:ascii="Times New Roman" w:hAnsi="Times New Roman" w:cs="Times New Roman"/>
          <w:sz w:val="24"/>
        </w:rPr>
        <w:t>霍洛旗的草原生态景色以及民族文化，引进影视拍摄项目，或者由政府招商引资，拍摄一场以鄂尔多斯婚礼文化、草原文化、蒙古文化为题材的影视产品。其次伊金霍洛旗城市风光靓丽、田园风光秀丽，如有电视、电影、广告等题材拍摄的需要，可提供场地的支持。以影视作品的拍摄推动伊金霍洛旗“走出去”，扩大知名度</w:t>
      </w:r>
      <w:bookmarkStart w:id="619" w:name="_Toc12860"/>
      <w:r>
        <w:rPr>
          <w:rFonts w:hint="eastAsia" w:ascii="Times New Roman" w:hAnsi="Times New Roman" w:cs="Times New Roman"/>
          <w:sz w:val="24"/>
        </w:rPr>
        <w:t>。</w:t>
      </w:r>
    </w:p>
    <w:p>
      <w:pPr>
        <w:pStyle w:val="9"/>
        <w:spacing w:line="360" w:lineRule="auto"/>
        <w:rPr>
          <w:rFonts w:ascii="Times New Roman" w:hAnsi="Times New Roman" w:cs="Times New Roman"/>
          <w:sz w:val="24"/>
        </w:rPr>
        <w:sectPr>
          <w:footerReference r:id="rId3" w:type="default"/>
          <w:pgSz w:w="11906" w:h="16838"/>
          <w:pgMar w:top="1440" w:right="1800" w:bottom="1440" w:left="1800" w:header="851" w:footer="992" w:gutter="0"/>
          <w:cols w:space="425" w:num="1"/>
          <w:docGrid w:type="lines" w:linePitch="312" w:charSpace="0"/>
        </w:sectPr>
      </w:pPr>
    </w:p>
    <w:bookmarkEnd w:id="619"/>
    <w:p>
      <w:pPr>
        <w:pStyle w:val="2"/>
        <w:rPr>
          <w:rFonts w:ascii="Times New Roman" w:hAnsi="Times New Roman" w:cs="Times New Roman" w:eastAsiaTheme="minorEastAsia"/>
        </w:rPr>
      </w:pPr>
      <w:bookmarkStart w:id="620" w:name="_Toc27909"/>
      <w:bookmarkStart w:id="621" w:name="_Toc2806"/>
      <w:r>
        <w:rPr>
          <w:rFonts w:hint="eastAsia" w:ascii="Times New Roman" w:hAnsi="Times New Roman" w:cs="Times New Roman" w:eastAsiaTheme="minorEastAsia"/>
        </w:rPr>
        <w:t>第十一章 加大扶持，改善文旅发展外部环境</w:t>
      </w:r>
      <w:bookmarkEnd w:id="620"/>
      <w:bookmarkEnd w:id="621"/>
    </w:p>
    <w:p>
      <w:pPr>
        <w:pStyle w:val="3"/>
        <w:ind w:firstLine="560" w:firstLineChars="200"/>
        <w:rPr>
          <w:rFonts w:ascii="Times New Roman" w:hAnsi="Times New Roman" w:cs="Times New Roman"/>
        </w:rPr>
      </w:pPr>
      <w:bookmarkStart w:id="622" w:name="_Toc11192"/>
      <w:r>
        <w:rPr>
          <w:rFonts w:hint="eastAsia" w:ascii="Times New Roman" w:hAnsi="Times New Roman" w:cs="Times New Roman"/>
        </w:rPr>
        <w:t>一、强化综合协调</w:t>
      </w:r>
      <w:bookmarkEnd w:id="622"/>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政府各级部门要建立旅游业发展协调领导机制，及时研究解决文化和旅游业发展中的重点和难点问题，督促检查文化和旅游发展规划和有关方针政策的实施等，积极支持有条件的乡镇和嘎查发展旅游，强化旅游业综合协调和综合管理能力。 </w:t>
      </w:r>
    </w:p>
    <w:p>
      <w:pPr>
        <w:pStyle w:val="3"/>
        <w:ind w:firstLine="560" w:firstLineChars="200"/>
        <w:rPr>
          <w:rFonts w:ascii="Times New Roman" w:hAnsi="Times New Roman" w:cs="Times New Roman"/>
        </w:rPr>
      </w:pPr>
      <w:bookmarkStart w:id="623" w:name="_Toc25357"/>
      <w:r>
        <w:rPr>
          <w:rFonts w:hint="eastAsia" w:ascii="Times New Roman" w:hAnsi="Times New Roman" w:cs="Times New Roman"/>
        </w:rPr>
        <w:t>二、加快转变职能</w:t>
      </w:r>
      <w:bookmarkEnd w:id="623"/>
    </w:p>
    <w:p>
      <w:pPr>
        <w:spacing w:line="360" w:lineRule="auto"/>
        <w:ind w:firstLine="480" w:firstLineChars="200"/>
        <w:rPr>
          <w:rFonts w:ascii="Times New Roman" w:hAnsi="Times New Roman" w:cs="Times New Roman"/>
        </w:rPr>
      </w:pPr>
      <w:r>
        <w:rPr>
          <w:rFonts w:hint="eastAsia" w:ascii="Times New Roman" w:hAnsi="Times New Roman" w:cs="Times New Roman"/>
          <w:sz w:val="24"/>
        </w:rPr>
        <w:t>优化旗文化和旅游局管理架构和职能设置。“十四五”期间，文化和旅游局的职能重点放在规划编制、标准制定、文物和文化保护、文化宣传、促进文化旅游产业发展、文化旅游营销、市场监管、文化旅游协调上。同时，把企业、行业协会和中介组织承担的职能和机构转移出去，充分发挥行业协会在文化旅游市场监管、宣传促销、行业自律中的作用，细化社会组织结构和功能，促进协会规范健康发展，进一步激发社会组织活力，大力提升文化和旅游业管理效率和服务效能。</w:t>
      </w:r>
    </w:p>
    <w:p>
      <w:pPr>
        <w:pStyle w:val="3"/>
        <w:ind w:firstLine="560" w:firstLineChars="200"/>
        <w:rPr>
          <w:rFonts w:ascii="Times New Roman" w:hAnsi="Times New Roman" w:cs="Times New Roman"/>
        </w:rPr>
      </w:pPr>
      <w:bookmarkStart w:id="624" w:name="_Toc20212"/>
      <w:r>
        <w:rPr>
          <w:rFonts w:hint="eastAsia" w:ascii="Times New Roman" w:hAnsi="Times New Roman" w:cs="Times New Roman"/>
        </w:rPr>
        <w:t>三、加强金融服务</w:t>
      </w:r>
      <w:bookmarkEnd w:id="624"/>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通过积极招商引资，形成文化旅游的多元化投资渠道，构建旅游投资融资平台；积极吸纳民营资本，对预期有收益或通过建立收费补偿机制可以获取收益的基础性和旅游公益性项目，都可引入市场竞争机制，积极鼓励和引导民间投资参与，创新探索伊金霍洛旗“以工补文旅”的投资模式，以煤炭企业投资入股和转型升级的方式带动文旅发展；鼓励资源入股，鼓励集体或个人（农牧民）资源（如土地、草原、山林等）入股的方式，参与旅游开发，实现旅游企业与地方和农民共同收益。</w:t>
      </w:r>
    </w:p>
    <w:p>
      <w:pPr>
        <w:pStyle w:val="3"/>
        <w:ind w:firstLine="560" w:firstLineChars="200"/>
        <w:rPr>
          <w:rFonts w:ascii="Times New Roman" w:hAnsi="Times New Roman" w:cs="Times New Roman"/>
        </w:rPr>
      </w:pPr>
      <w:bookmarkStart w:id="625" w:name="_Toc20727"/>
      <w:r>
        <w:rPr>
          <w:rFonts w:hint="eastAsia" w:ascii="Times New Roman" w:hAnsi="Times New Roman" w:cs="Times New Roman"/>
        </w:rPr>
        <w:t>四、加大财税支持</w:t>
      </w:r>
      <w:bookmarkEnd w:id="625"/>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设立全旗文化旅游发展专项资金，保障文化旅游日常工作。重点项目上报市、自治区或国家相关部门，争取国有资金的投入，例如：国债资金项目的争取、中央或自治区对各部门的支持、国家开发银行的贷款等。大力争取国家资金对旅游基础设施的投资。积极争取旅游事业费、旅游发展基金和旅游项目补贴基金等。对文化创意产业、符合条件的小微企业和吸纳农村劳动力强的企业按最低税率征收企业所得税。对旅游企业的广告费和业务宣传费支出经核准部分可在税前扣除。符合条件的乡村旅游民宿、旅游特产店等生产企业用电、用水等可执行商业店家优惠价格。</w:t>
      </w:r>
    </w:p>
    <w:p>
      <w:pPr>
        <w:pStyle w:val="3"/>
        <w:ind w:firstLine="560" w:firstLineChars="200"/>
        <w:rPr>
          <w:rFonts w:ascii="Times New Roman" w:hAnsi="Times New Roman" w:cs="Times New Roman"/>
        </w:rPr>
      </w:pPr>
      <w:bookmarkStart w:id="626" w:name="_Toc18295"/>
      <w:r>
        <w:rPr>
          <w:rFonts w:hint="eastAsia" w:ascii="Times New Roman" w:hAnsi="Times New Roman" w:cs="Times New Roman"/>
        </w:rPr>
        <w:t>五、强化人才培养</w:t>
      </w:r>
      <w:bookmarkEnd w:id="626"/>
    </w:p>
    <w:p>
      <w:pPr>
        <w:pStyle w:val="4"/>
        <w:ind w:firstLine="480"/>
        <w:rPr>
          <w:rFonts w:ascii="Times New Roman" w:hAnsi="Times New Roman" w:cs="Times New Roman"/>
        </w:rPr>
      </w:pPr>
      <w:bookmarkStart w:id="627" w:name="_Toc17387"/>
      <w:bookmarkStart w:id="628" w:name="_Toc17742"/>
      <w:bookmarkStart w:id="629" w:name="_Toc25439"/>
      <w:bookmarkStart w:id="630" w:name="_Toc323"/>
      <w:bookmarkStart w:id="631" w:name="_Toc15707"/>
      <w:r>
        <w:rPr>
          <w:rFonts w:hint="eastAsia" w:ascii="Times New Roman" w:hAnsi="Times New Roman" w:cs="Times New Roman"/>
        </w:rPr>
        <w:t>（一）全方位引进文旅人才</w:t>
      </w:r>
      <w:bookmarkEnd w:id="627"/>
      <w:bookmarkEnd w:id="628"/>
      <w:bookmarkEnd w:id="629"/>
      <w:bookmarkEnd w:id="630"/>
      <w:bookmarkEnd w:id="631"/>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全方位引进高层次管理人才、中层管理人才以及一线服务人员，采取优惠政策，引进5-10名文旅硕博士专业人才，加强高级旅游专门人才队伍建设。引进对象包括旅游规划人才、旅游行业管理人才、旅游市场营销人才、旅游文化研究人才以及与旅游业相关的一线服务人员等。</w:t>
      </w:r>
    </w:p>
    <w:p>
      <w:pPr>
        <w:pStyle w:val="4"/>
        <w:ind w:firstLine="480"/>
        <w:rPr>
          <w:rFonts w:ascii="Times New Roman" w:hAnsi="Times New Roman" w:cs="Times New Roman"/>
        </w:rPr>
      </w:pPr>
      <w:bookmarkStart w:id="632" w:name="_Toc7623"/>
      <w:bookmarkStart w:id="633" w:name="_Toc25338"/>
      <w:bookmarkStart w:id="634" w:name="_Toc22134"/>
      <w:bookmarkStart w:id="635" w:name="_Toc523"/>
      <w:bookmarkStart w:id="636" w:name="_Toc2003"/>
      <w:r>
        <w:rPr>
          <w:rFonts w:hint="eastAsia" w:ascii="Times New Roman" w:hAnsi="Times New Roman" w:cs="Times New Roman"/>
        </w:rPr>
        <w:t>（二）强化文旅人才培训</w:t>
      </w:r>
      <w:bookmarkEnd w:id="632"/>
      <w:bookmarkEnd w:id="633"/>
      <w:bookmarkEnd w:id="634"/>
      <w:bookmarkEnd w:id="635"/>
      <w:bookmarkEnd w:id="636"/>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强化文旅人才培训，加强各层次工作人员的专业知识、文化素质和个人修养，着力打造高素质干部队伍。加强与旗内外旅游院校、旅游企业合作，建设一批旅游高技能人才孵化基地。加快旅游院校建设，培养一批旅游专业实用人才。加大对旅游行政管理人才、旅游经营管理人才、旅游专业技术人才、旅游服务技能人才、旅游导游解说人才和乡村旅游创业人才的培训、轮训力度。组建文化旅游智库，设立伊金霍洛旗旅游专家咨询委员会，加强对自治区旅游业发展的研判。围绕文明引导、游览讲解、质量监督、旅游咨询、特殊群体帮扶、应急救援等领域，开展旅游志愿服务活动。</w:t>
      </w:r>
    </w:p>
    <w:p>
      <w:pPr>
        <w:pStyle w:val="4"/>
        <w:ind w:firstLine="480"/>
        <w:rPr>
          <w:rFonts w:ascii="Times New Roman" w:hAnsi="Times New Roman" w:cs="Times New Roman"/>
        </w:rPr>
      </w:pPr>
      <w:bookmarkStart w:id="637" w:name="_Toc4962"/>
      <w:bookmarkStart w:id="638" w:name="_Toc10701"/>
      <w:bookmarkStart w:id="639" w:name="_Toc21203"/>
      <w:bookmarkStart w:id="640" w:name="_Toc17996"/>
      <w:bookmarkStart w:id="641" w:name="_Toc4995"/>
      <w:r>
        <w:rPr>
          <w:rFonts w:hint="eastAsia" w:ascii="Times New Roman" w:hAnsi="Times New Roman" w:cs="Times New Roman"/>
        </w:rPr>
        <w:t>（三）加强全旗居民培训</w:t>
      </w:r>
      <w:bookmarkEnd w:id="637"/>
      <w:bookmarkEnd w:id="638"/>
      <w:bookmarkEnd w:id="639"/>
      <w:bookmarkEnd w:id="640"/>
      <w:bookmarkEnd w:id="641"/>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对普通居民，应注重提高居民整体素质、旅游意识和参与能力。增强全民旅游意识，自觉保护环境卫生，突出旅游城市形象；引导全民参与旅游发展，缓和外来者与当地居民之间的矛盾冲突，创造良好的旅游环境；派遣居民代表外出各大旅游景区参观学习；加强全民安全知识培训，包括防火、防盗安全教育、游客及居民自身的生命、财产安全教育等。</w:t>
      </w:r>
    </w:p>
    <w:p>
      <w:pPr>
        <w:pStyle w:val="3"/>
        <w:ind w:firstLine="560" w:firstLineChars="200"/>
        <w:rPr>
          <w:rFonts w:ascii="Times New Roman" w:hAnsi="Times New Roman" w:cs="Times New Roman"/>
        </w:rPr>
      </w:pPr>
      <w:bookmarkStart w:id="642" w:name="_Toc15710"/>
      <w:r>
        <w:rPr>
          <w:rFonts w:hint="eastAsia" w:ascii="Times New Roman" w:hAnsi="Times New Roman" w:cs="Times New Roman"/>
        </w:rPr>
        <w:t>六、落实配套保障</w:t>
      </w:r>
      <w:bookmarkEnd w:id="642"/>
    </w:p>
    <w:p>
      <w:pPr>
        <w:spacing w:line="560" w:lineRule="exact"/>
        <w:ind w:firstLine="480" w:firstLineChars="200"/>
        <w:rPr>
          <w:rFonts w:ascii="Times New Roman" w:hAnsi="Times New Roman" w:cs="Times New Roman"/>
        </w:rPr>
      </w:pPr>
      <w:r>
        <w:rPr>
          <w:rFonts w:hint="eastAsia" w:ascii="Times New Roman" w:hAnsi="Times New Roman" w:cs="Times New Roman"/>
          <w:sz w:val="24"/>
        </w:rPr>
        <w:t>严格落实《关于支持旅游业发展用地政策的意见》（国土资规〔2015〕10号）按照资源和生态保护、文物安全、节约集约用地原则，与相关规划充分衔接，对符合相关规划的旅游项目，按照项目建设时序，及时安排新增建设用地计划指标，依法办理土地转用、征收或收回手续，积极组织实施土地供应。严格遵守土地利用控制政策，坚守生态红线，保护伊金霍洛旗生态环境。加大旅游厕所、自驾营地等旅游公共服务设施保障用地供给。保障旅游新业态发展用地，采取多种方式保障土地供应，促进汽车营地、旅游度假区、养老基地等新业态发展。推进农村土地管理制度改革，保障乡村旅游发展用地：支持有条件的地方通过盘活农村闲置房屋、集体建设用地、“四荒地”、可用林场和水面等资产资源发展休闲农业和乡村旅游。完善配套环境，加强交通、水电、通信、排污等基础设施建设。</w:t>
      </w:r>
    </w:p>
    <w:p>
      <w:pPr>
        <w:pStyle w:val="3"/>
        <w:ind w:firstLine="560" w:firstLineChars="200"/>
        <w:rPr>
          <w:rFonts w:ascii="Times New Roman" w:hAnsi="Times New Roman" w:cs="Times New Roman"/>
        </w:rPr>
      </w:pPr>
      <w:bookmarkStart w:id="643" w:name="_Toc20839"/>
      <w:r>
        <w:rPr>
          <w:rFonts w:hint="eastAsia" w:ascii="Times New Roman" w:hAnsi="Times New Roman" w:cs="Times New Roman"/>
        </w:rPr>
        <w:t>七、保护生态本底</w:t>
      </w:r>
      <w:bookmarkEnd w:id="643"/>
    </w:p>
    <w:p>
      <w:pPr>
        <w:pStyle w:val="4"/>
        <w:ind w:firstLine="480"/>
        <w:rPr>
          <w:rFonts w:ascii="Times New Roman" w:hAnsi="Times New Roman" w:cs="Times New Roman"/>
        </w:rPr>
      </w:pPr>
      <w:bookmarkStart w:id="644" w:name="_Toc11691"/>
      <w:bookmarkStart w:id="645" w:name="_Toc21632"/>
      <w:bookmarkStart w:id="646" w:name="_Toc16175"/>
      <w:bookmarkStart w:id="647" w:name="_Toc2708"/>
      <w:bookmarkStart w:id="648" w:name="_Toc26248"/>
      <w:r>
        <w:rPr>
          <w:rFonts w:hint="eastAsia" w:ascii="Times New Roman" w:hAnsi="Times New Roman" w:cs="Times New Roman"/>
        </w:rPr>
        <w:t>（一）制定生态文化保护制度</w:t>
      </w:r>
      <w:bookmarkEnd w:id="644"/>
      <w:bookmarkEnd w:id="645"/>
      <w:bookmarkEnd w:id="646"/>
      <w:bookmarkEnd w:id="647"/>
      <w:bookmarkEnd w:id="648"/>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制定生态文化核查登记制度，将全旗范围内旅游生态和文化资源登记造册，明确资源数量和分布；制定生态文化责任追究制度，将生态文化保护</w:t>
      </w:r>
      <w:r>
        <w:rPr>
          <w:rFonts w:hint="eastAsia" w:ascii="Times New Roman" w:hAnsi="Times New Roman" w:cs="Times New Roman"/>
          <w:sz w:val="24"/>
          <w:lang w:eastAsia="zh-CN"/>
        </w:rPr>
        <w:t>纳入</w:t>
      </w:r>
      <w:r>
        <w:rPr>
          <w:rFonts w:hint="eastAsia" w:ascii="Times New Roman" w:hAnsi="Times New Roman" w:cs="Times New Roman"/>
          <w:sz w:val="24"/>
        </w:rPr>
        <w:t>相关人员年度和季度考核体系中，鼓励先进，严查追究渎职、失职等人员；制定生态文化保护专项资金制度，为生态文化保护工作提供资金支持；制定生态文化保护治理和修复制度，对存在的环境破坏和濒危的文化资源采取及时、科学、</w:t>
      </w:r>
      <w:r>
        <w:rPr>
          <w:rFonts w:hint="eastAsia" w:ascii="Times New Roman" w:hAnsi="Times New Roman" w:cs="Times New Roman"/>
          <w:sz w:val="24"/>
          <w:lang w:eastAsia="zh-CN"/>
        </w:rPr>
        <w:t>有效的保护</w:t>
      </w:r>
      <w:r>
        <w:rPr>
          <w:rFonts w:hint="eastAsia" w:ascii="Times New Roman" w:hAnsi="Times New Roman" w:cs="Times New Roman"/>
          <w:sz w:val="24"/>
        </w:rPr>
        <w:t>手段。</w:t>
      </w:r>
    </w:p>
    <w:p>
      <w:pPr>
        <w:pStyle w:val="4"/>
        <w:ind w:firstLine="480"/>
        <w:rPr>
          <w:rFonts w:ascii="Times New Roman" w:hAnsi="Times New Roman" w:cs="Times New Roman"/>
        </w:rPr>
      </w:pPr>
      <w:bookmarkStart w:id="649" w:name="_Toc3240"/>
      <w:bookmarkStart w:id="650" w:name="_Toc7942"/>
      <w:bookmarkStart w:id="651" w:name="_Toc25993"/>
      <w:bookmarkStart w:id="652" w:name="_Toc22594"/>
      <w:bookmarkStart w:id="653" w:name="_Toc8807"/>
      <w:r>
        <w:rPr>
          <w:rFonts w:hint="eastAsia" w:ascii="Times New Roman" w:hAnsi="Times New Roman" w:cs="Times New Roman"/>
        </w:rPr>
        <w:t>（二）划定生态文化保护红线</w:t>
      </w:r>
      <w:bookmarkEnd w:id="649"/>
      <w:bookmarkEnd w:id="650"/>
      <w:bookmarkEnd w:id="651"/>
      <w:bookmarkEnd w:id="652"/>
      <w:bookmarkEnd w:id="653"/>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旗文化旅游部门应积极与环保局、国土局等部门合作，科学划定生态保护红线，实现生态环境保护与旅游开发的协调，并作为未来生态转移支付的重要依据。强化与其他部门的合作，在有序开发旅游的同时，保护伊金霍洛旗的民族民俗文化。</w:t>
      </w:r>
    </w:p>
    <w:p>
      <w:pPr>
        <w:pStyle w:val="4"/>
        <w:ind w:firstLine="480"/>
        <w:rPr>
          <w:rFonts w:ascii="Times New Roman" w:hAnsi="Times New Roman" w:cs="Times New Roman"/>
        </w:rPr>
      </w:pPr>
      <w:bookmarkStart w:id="654" w:name="_Toc20407"/>
      <w:bookmarkStart w:id="655" w:name="_Toc27597"/>
      <w:bookmarkStart w:id="656" w:name="_Toc20312"/>
      <w:bookmarkStart w:id="657" w:name="_Toc29257"/>
      <w:bookmarkStart w:id="658" w:name="_Toc5790"/>
      <w:r>
        <w:rPr>
          <w:rFonts w:hint="eastAsia" w:ascii="Times New Roman" w:hAnsi="Times New Roman" w:cs="Times New Roman"/>
        </w:rPr>
        <w:t>（三）落实生态文化保护行动</w:t>
      </w:r>
      <w:bookmarkEnd w:id="654"/>
      <w:bookmarkEnd w:id="655"/>
      <w:bookmarkEnd w:id="656"/>
      <w:bookmarkEnd w:id="657"/>
      <w:bookmarkEnd w:id="658"/>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关闭对生态环境破坏较为严重的矿山、矿场等，并积极开展生态修复工程。全旗各乡村应定期开展村庄美化、村庄整洁等生态环境保护和治理专项行动，提升农村环境卫生质量。强化民族传统文化保护、民间传统艺人手艺传承工作，开展民族民俗文化比赛、摄影、演出等活动，活化遗产，实现保护性开发。</w:t>
      </w:r>
    </w:p>
    <w:p>
      <w:pPr>
        <w:pStyle w:val="4"/>
        <w:ind w:firstLine="480"/>
        <w:rPr>
          <w:rFonts w:ascii="Times New Roman" w:hAnsi="Times New Roman" w:cs="Times New Roman" w:eastAsiaTheme="minorEastAsia"/>
        </w:rPr>
      </w:pPr>
      <w:bookmarkStart w:id="659" w:name="_Toc7608"/>
      <w:bookmarkStart w:id="660" w:name="_Toc10700"/>
      <w:bookmarkStart w:id="661" w:name="_Toc443"/>
      <w:bookmarkStart w:id="662" w:name="_Toc5720"/>
      <w:bookmarkStart w:id="663" w:name="_Toc23309"/>
      <w:r>
        <w:rPr>
          <w:rFonts w:hint="eastAsia" w:ascii="Times New Roman" w:hAnsi="Times New Roman" w:cs="Times New Roman"/>
        </w:rPr>
        <w:t>（四）深化生态文化体制改革</w:t>
      </w:r>
      <w:bookmarkEnd w:id="659"/>
      <w:bookmarkEnd w:id="660"/>
      <w:bookmarkEnd w:id="661"/>
      <w:bookmarkEnd w:id="662"/>
      <w:bookmarkEnd w:id="663"/>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着力构建法治化的自然资源产权制度，尽快启动自然资源资产产权登记工作；重点完善生态监管考核长效机制；搭建民族文化服务平台，建立健全民族文化行业协会组织，积极开展合作等；创新文化改革举措，制定完善民族文化产品与资源评估体系等。</w:t>
      </w:r>
    </w:p>
    <w:p>
      <w:pPr>
        <w:pStyle w:val="4"/>
        <w:ind w:firstLine="480"/>
        <w:rPr>
          <w:rFonts w:ascii="Times New Roman" w:hAnsi="Times New Roman" w:cs="Times New Roman"/>
        </w:rPr>
      </w:pPr>
      <w:bookmarkStart w:id="664" w:name="_Toc18720"/>
      <w:bookmarkStart w:id="665" w:name="_Toc31357"/>
      <w:bookmarkStart w:id="666" w:name="_Toc23474"/>
      <w:bookmarkStart w:id="667" w:name="_Toc16450"/>
      <w:bookmarkStart w:id="668" w:name="_Toc31235"/>
      <w:r>
        <w:rPr>
          <w:rFonts w:hint="eastAsia" w:ascii="Times New Roman" w:hAnsi="Times New Roman" w:cs="Times New Roman"/>
        </w:rPr>
        <w:t>（五）构建生态文化监测系统</w:t>
      </w:r>
      <w:bookmarkEnd w:id="664"/>
      <w:bookmarkEnd w:id="665"/>
      <w:bookmarkEnd w:id="666"/>
      <w:bookmarkEnd w:id="667"/>
      <w:bookmarkEnd w:id="668"/>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改革经济社会发展综合评价体系，把资源消耗、环境损害、文化传承、生态效益纳入经济社会发展评价体系，建立体现生态文明要求的目标体系、考核办法、奖惩机制；建立生态文明监测预警机制，实现对生态环境的监测、评估与预测，把握生态文明的状况及其未来走势，并定期发布生态文明监测预警报告；建立民族文化监测机制，有序推进民族文化保护。</w:t>
      </w:r>
    </w:p>
    <w:p>
      <w:pPr>
        <w:rPr>
          <w:rFonts w:ascii="Times New Roman" w:hAnsi="Times New Roman" w:cs="Times New Roman"/>
          <w:sz w:val="24"/>
        </w:rPr>
      </w:pPr>
      <w:r>
        <w:rPr>
          <w:rFonts w:hint="eastAsia" w:ascii="Times New Roman" w:hAnsi="Times New Roman" w:cs="Times New Roman"/>
          <w:sz w:val="24"/>
        </w:rPr>
        <w:br w:type="page"/>
      </w:r>
    </w:p>
    <w:p>
      <w:pPr>
        <w:pStyle w:val="2"/>
        <w:jc w:val="both"/>
        <w:rPr>
          <w:rFonts w:ascii="Times New Roman" w:hAnsi="Times New Roman" w:cs="Times New Roman" w:eastAsiaTheme="minorEastAsia"/>
        </w:rPr>
      </w:pPr>
      <w:bookmarkStart w:id="669" w:name="_Toc4910"/>
      <w:r>
        <w:rPr>
          <w:rFonts w:hint="eastAsia" w:ascii="Times New Roman" w:hAnsi="Times New Roman" w:cs="Times New Roman" w:eastAsiaTheme="minorEastAsia"/>
        </w:rPr>
        <w:t>附录1：伊金霍洛旗旅游资源分类</w:t>
      </w:r>
      <w:bookmarkEnd w:id="669"/>
    </w:p>
    <w:tbl>
      <w:tblPr>
        <w:tblStyle w:val="17"/>
        <w:tblW w:w="8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1488"/>
        <w:gridCol w:w="5100"/>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124" w:type="dxa"/>
            <w:tcBorders>
              <w:top w:val="single" w:color="4F81BD" w:sz="8" w:space="0"/>
              <w:left w:val="single" w:color="4F81BD" w:sz="8" w:space="0"/>
              <w:bottom w:val="single" w:color="FFFFFF" w:sz="18" w:space="0"/>
              <w:right w:val="single" w:color="4F81BD" w:sz="8" w:space="0"/>
            </w:tcBorders>
            <w:shd w:val="clear" w:color="auto" w:fill="4F81BD"/>
            <w:vAlign w:val="center"/>
          </w:tcPr>
          <w:p>
            <w:pPr>
              <w:jc w:val="center"/>
              <w:rPr>
                <w:rFonts w:ascii="Times New Roman" w:hAnsi="Times New Roman" w:cs="Times New Roman"/>
                <w:szCs w:val="21"/>
              </w:rPr>
            </w:pPr>
            <w:r>
              <w:rPr>
                <w:rFonts w:hint="eastAsia" w:ascii="Times New Roman" w:hAnsi="Times New Roman" w:cs="Times New Roman"/>
                <w:szCs w:val="21"/>
              </w:rPr>
              <w:t>亚类</w:t>
            </w:r>
          </w:p>
        </w:tc>
        <w:tc>
          <w:tcPr>
            <w:tcW w:w="1488" w:type="dxa"/>
            <w:tcBorders>
              <w:top w:val="single" w:color="4F81BD" w:sz="8" w:space="0"/>
              <w:left w:val="single" w:color="4F81BD" w:sz="8" w:space="0"/>
              <w:bottom w:val="single" w:color="FFFFFF" w:sz="18" w:space="0"/>
              <w:right w:val="single" w:color="4F81BD" w:sz="8" w:space="0"/>
            </w:tcBorders>
            <w:shd w:val="clear" w:color="auto" w:fill="4F81BD"/>
            <w:vAlign w:val="center"/>
          </w:tcPr>
          <w:p>
            <w:pPr>
              <w:jc w:val="center"/>
              <w:rPr>
                <w:rFonts w:ascii="Times New Roman" w:hAnsi="Times New Roman" w:cs="Times New Roman"/>
                <w:szCs w:val="21"/>
              </w:rPr>
            </w:pPr>
            <w:r>
              <w:rPr>
                <w:rFonts w:hint="eastAsia" w:ascii="Times New Roman" w:hAnsi="Times New Roman" w:cs="Times New Roman"/>
                <w:szCs w:val="21"/>
              </w:rPr>
              <w:t>基本类型</w:t>
            </w:r>
          </w:p>
        </w:tc>
        <w:tc>
          <w:tcPr>
            <w:tcW w:w="5100" w:type="dxa"/>
            <w:tcBorders>
              <w:top w:val="single" w:color="4F81BD" w:sz="8" w:space="0"/>
              <w:left w:val="single" w:color="4F81BD" w:sz="8" w:space="0"/>
              <w:bottom w:val="single" w:color="FFFFFF" w:sz="18" w:space="0"/>
              <w:right w:val="single" w:color="4F81BD" w:sz="8" w:space="0"/>
            </w:tcBorders>
            <w:shd w:val="clear" w:color="auto" w:fill="4F81BD"/>
            <w:vAlign w:val="center"/>
          </w:tcPr>
          <w:p>
            <w:pPr>
              <w:jc w:val="center"/>
              <w:rPr>
                <w:rFonts w:ascii="Times New Roman" w:hAnsi="Times New Roman" w:cs="Times New Roman"/>
                <w:szCs w:val="21"/>
              </w:rPr>
            </w:pPr>
            <w:r>
              <w:rPr>
                <w:rFonts w:hint="eastAsia" w:ascii="Times New Roman" w:hAnsi="Times New Roman" w:cs="Times New Roman"/>
                <w:szCs w:val="21"/>
              </w:rPr>
              <w:t>单体资源代表</w:t>
            </w:r>
          </w:p>
        </w:tc>
        <w:tc>
          <w:tcPr>
            <w:tcW w:w="668" w:type="dxa"/>
            <w:tcBorders>
              <w:top w:val="single" w:color="4F81BD" w:sz="8" w:space="0"/>
              <w:left w:val="single" w:color="4F81BD" w:sz="8" w:space="0"/>
              <w:bottom w:val="single" w:color="FFFFFF" w:sz="18" w:space="0"/>
              <w:right w:val="single" w:color="4F81BD" w:sz="8" w:space="0"/>
            </w:tcBorders>
            <w:shd w:val="clear" w:color="auto" w:fill="4F81BD"/>
            <w:vAlign w:val="center"/>
          </w:tcPr>
          <w:p>
            <w:pPr>
              <w:jc w:val="center"/>
              <w:rPr>
                <w:rFonts w:ascii="Times New Roman" w:hAnsi="Times New Roman" w:cs="Times New Roman"/>
                <w:szCs w:val="21"/>
              </w:rPr>
            </w:pPr>
            <w:r>
              <w:rPr>
                <w:rFonts w:hint="eastAsia" w:ascii="Times New Roman" w:hAnsi="Times New Roman" w:cs="Times New Roman"/>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restart"/>
            <w:tcBorders>
              <w:top w:val="single" w:color="FFFFFF" w:sz="1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自然景观综合体</w:t>
            </w:r>
          </w:p>
        </w:tc>
        <w:tc>
          <w:tcPr>
            <w:tcW w:w="1488" w:type="dxa"/>
            <w:tcBorders>
              <w:top w:val="single" w:color="FFFFFF" w:sz="1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山丘型景观</w:t>
            </w:r>
          </w:p>
        </w:tc>
        <w:tc>
          <w:tcPr>
            <w:tcW w:w="5100" w:type="dxa"/>
            <w:tcBorders>
              <w:top w:val="single" w:color="FFFFFF" w:sz="1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道劳岱山</w:t>
            </w:r>
          </w:p>
        </w:tc>
        <w:tc>
          <w:tcPr>
            <w:tcW w:w="668" w:type="dxa"/>
            <w:tcBorders>
              <w:top w:val="single" w:color="FFFFFF" w:sz="1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p>
        </w:tc>
        <w:tc>
          <w:tcPr>
            <w:tcW w:w="1488"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沟谷型景观</w:t>
            </w:r>
          </w:p>
        </w:tc>
        <w:tc>
          <w:tcPr>
            <w:tcW w:w="5100"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波浪谷、大青沟、朱开沟遗址</w:t>
            </w:r>
          </w:p>
        </w:tc>
        <w:tc>
          <w:tcPr>
            <w:tcW w:w="668"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continue"/>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p>
        </w:tc>
        <w:tc>
          <w:tcPr>
            <w:tcW w:w="1488"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滩地型景观</w:t>
            </w:r>
          </w:p>
        </w:tc>
        <w:tc>
          <w:tcPr>
            <w:tcW w:w="5100"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王明子滩</w:t>
            </w:r>
          </w:p>
        </w:tc>
        <w:tc>
          <w:tcPr>
            <w:tcW w:w="668"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p>
        </w:tc>
        <w:tc>
          <w:tcPr>
            <w:tcW w:w="1488"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沙丘型景观</w:t>
            </w:r>
          </w:p>
        </w:tc>
        <w:tc>
          <w:tcPr>
            <w:tcW w:w="5100"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伊景园城市沙山旅游区</w:t>
            </w:r>
          </w:p>
        </w:tc>
        <w:tc>
          <w:tcPr>
            <w:tcW w:w="668"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河系</w:t>
            </w:r>
          </w:p>
        </w:tc>
        <w:tc>
          <w:tcPr>
            <w:tcW w:w="1488"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游憩河段</w:t>
            </w:r>
          </w:p>
        </w:tc>
        <w:tc>
          <w:tcPr>
            <w:tcW w:w="5100"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乌兰木伦河、呼和乌素河、转龙湾、温沙水湾</w:t>
            </w:r>
          </w:p>
        </w:tc>
        <w:tc>
          <w:tcPr>
            <w:tcW w:w="668"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restart"/>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湖沼</w:t>
            </w:r>
          </w:p>
        </w:tc>
        <w:tc>
          <w:tcPr>
            <w:tcW w:w="1488"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游憩湖区</w:t>
            </w:r>
          </w:p>
        </w:tc>
        <w:tc>
          <w:tcPr>
            <w:tcW w:w="5100"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红碱淖尔、神海子、哈达图淖尔、其和淖尔</w:t>
            </w:r>
          </w:p>
        </w:tc>
        <w:tc>
          <w:tcPr>
            <w:tcW w:w="668"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continue"/>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p>
        </w:tc>
        <w:tc>
          <w:tcPr>
            <w:tcW w:w="1488"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湿地</w:t>
            </w:r>
          </w:p>
        </w:tc>
        <w:tc>
          <w:tcPr>
            <w:tcW w:w="5100"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红海子湿地、红碱淖湿地、阿日雅布鲁村遗鸥保护区</w:t>
            </w:r>
          </w:p>
        </w:tc>
        <w:tc>
          <w:tcPr>
            <w:tcW w:w="668"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植被景观</w:t>
            </w:r>
          </w:p>
        </w:tc>
        <w:tc>
          <w:tcPr>
            <w:tcW w:w="1488"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草原与草地</w:t>
            </w:r>
          </w:p>
        </w:tc>
        <w:tc>
          <w:tcPr>
            <w:tcW w:w="5100"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巴音昌呼格草原、沙巴日太草原、达尔扈特草原、苏泊罕大草原</w:t>
            </w:r>
          </w:p>
        </w:tc>
        <w:tc>
          <w:tcPr>
            <w:tcW w:w="668"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光现象</w:t>
            </w:r>
          </w:p>
        </w:tc>
        <w:tc>
          <w:tcPr>
            <w:tcW w:w="1488"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日月星辰观察地</w:t>
            </w:r>
          </w:p>
        </w:tc>
        <w:tc>
          <w:tcPr>
            <w:tcW w:w="5100"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草原观星、草原日出、日落</w:t>
            </w:r>
          </w:p>
        </w:tc>
        <w:tc>
          <w:tcPr>
            <w:tcW w:w="668"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restart"/>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人文景观综合体</w:t>
            </w:r>
          </w:p>
        </w:tc>
        <w:tc>
          <w:tcPr>
            <w:tcW w:w="1488"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军事遗址与古战场</w:t>
            </w:r>
          </w:p>
        </w:tc>
        <w:tc>
          <w:tcPr>
            <w:tcW w:w="5100"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秦直道、原札萨克旗王爷府遗址</w:t>
            </w:r>
            <w:r>
              <w:rPr>
                <w:rFonts w:hint="eastAsia" w:ascii="Times New Roman" w:hAnsi="Times New Roman" w:cs="Times New Roman"/>
                <w:szCs w:val="21"/>
                <w:lang w:eastAsia="zh-CN"/>
              </w:rPr>
              <w:t>－</w:t>
            </w:r>
            <w:r>
              <w:rPr>
                <w:rFonts w:hint="eastAsia" w:ascii="Times New Roman" w:hAnsi="Times New Roman" w:cs="Times New Roman"/>
                <w:szCs w:val="21"/>
              </w:rPr>
              <w:t>盟政会旧址、新三师革命旧址、“七旗会盟”、柴子塔拉</w:t>
            </w:r>
          </w:p>
        </w:tc>
        <w:tc>
          <w:tcPr>
            <w:tcW w:w="668"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continue"/>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p>
        </w:tc>
        <w:tc>
          <w:tcPr>
            <w:tcW w:w="1488"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长城遗迹</w:t>
            </w:r>
          </w:p>
        </w:tc>
        <w:tc>
          <w:tcPr>
            <w:tcW w:w="5100"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战国秦长城</w:t>
            </w:r>
          </w:p>
        </w:tc>
        <w:tc>
          <w:tcPr>
            <w:tcW w:w="668"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p>
        </w:tc>
        <w:tc>
          <w:tcPr>
            <w:tcW w:w="1488"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康体游乐休闲度假地</w:t>
            </w:r>
          </w:p>
        </w:tc>
        <w:tc>
          <w:tcPr>
            <w:tcW w:w="5100"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苏泊罕大草原旅游区、红海子鲜鱼村、月亮岛民族风情园、乌兰木伦新村、哈沙部落、山水庄园、天骄御苑、沙巴日太蒙古族原生态文化旅游区、达尔扈特草原旅游区、龙虎渠乡村旅游、查干柴达木村、蒙泰休闲农业旅游度假区、查干锡力度假村、益丰寨、阿拉善湾旅游区、</w:t>
            </w:r>
            <w:r>
              <w:rPr>
                <w:rFonts w:hint="eastAsia" w:ascii="Times New Roman" w:hAnsi="Times New Roman" w:cs="Times New Roman"/>
                <w:color w:val="auto"/>
                <w:szCs w:val="21"/>
                <w:lang w:eastAsia="zh-CN"/>
              </w:rPr>
              <w:t>鄂尔多斯文化产业园</w:t>
            </w:r>
          </w:p>
        </w:tc>
        <w:tc>
          <w:tcPr>
            <w:tcW w:w="668"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continue"/>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p>
        </w:tc>
        <w:tc>
          <w:tcPr>
            <w:tcW w:w="1488"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宗教与祭祀活动场所</w:t>
            </w:r>
          </w:p>
        </w:tc>
        <w:tc>
          <w:tcPr>
            <w:tcW w:w="5100" w:type="dxa"/>
            <w:tcBorders>
              <w:top w:val="single" w:color="4F81BD" w:sz="8" w:space="0"/>
              <w:left w:val="single" w:color="4F81BD" w:sz="8" w:space="0"/>
              <w:bottom w:val="single" w:color="4F81BD" w:sz="8" w:space="0"/>
              <w:right w:val="single" w:color="4F81BD" w:sz="8" w:space="0"/>
            </w:tcBorders>
            <w:shd w:val="clear" w:color="auto" w:fill="B8CCE4"/>
            <w:vAlign w:val="center"/>
          </w:tcPr>
          <w:p>
            <w:pPr>
              <w:widowControl/>
              <w:jc w:val="center"/>
              <w:rPr>
                <w:rFonts w:ascii="Times New Roman" w:hAnsi="Times New Roman" w:cs="Times New Roman"/>
                <w:szCs w:val="21"/>
              </w:rPr>
            </w:pPr>
            <w:r>
              <w:rPr>
                <w:rFonts w:hint="eastAsia" w:ascii="Times New Roman" w:hAnsi="Times New Roman" w:cs="Times New Roman"/>
                <w:szCs w:val="21"/>
              </w:rPr>
              <w:t>成吉思汗陵、</w:t>
            </w:r>
            <w:r>
              <w:rPr>
                <w:rFonts w:hint="eastAsia" w:ascii="Times New Roman" w:hAnsi="Times New Roman" w:cs="Times New Roman"/>
                <w:szCs w:val="21"/>
                <w:lang w:eastAsia="zh-CN"/>
              </w:rPr>
              <w:t>颐和生态文化博览园</w:t>
            </w:r>
            <w:r>
              <w:rPr>
                <w:rFonts w:hint="eastAsia" w:ascii="Times New Roman" w:hAnsi="Times New Roman" w:cs="Times New Roman"/>
                <w:szCs w:val="21"/>
              </w:rPr>
              <w:t>、苏勒德霍洛村龙年威武大祭、陶亥召、台格敖包、都嘎敖包祭祀、吉祥福慧寺、喇嘛庙、白塔</w:t>
            </w:r>
          </w:p>
        </w:tc>
        <w:tc>
          <w:tcPr>
            <w:tcW w:w="668" w:type="dxa"/>
            <w:tcBorders>
              <w:top w:val="single" w:color="4F81BD" w:sz="8" w:space="0"/>
              <w:left w:val="single" w:color="4F81BD" w:sz="8" w:space="0"/>
              <w:bottom w:val="single" w:color="4F81BD" w:sz="8" w:space="0"/>
              <w:right w:val="single" w:color="4F81BD" w:sz="8" w:space="0"/>
            </w:tcBorders>
            <w:shd w:val="clear" w:color="auto" w:fill="B8CCE4"/>
            <w:vAlign w:val="center"/>
          </w:tcPr>
          <w:p>
            <w:pPr>
              <w:widowControl/>
              <w:jc w:val="center"/>
              <w:rPr>
                <w:rFonts w:ascii="Times New Roman" w:hAnsi="Times New Roman" w:cs="Times New Roman"/>
                <w:szCs w:val="21"/>
              </w:rPr>
            </w:pPr>
            <w:r>
              <w:rPr>
                <w:rFonts w:hint="eastAsia" w:ascii="Times New Roman" w:hAnsi="Times New Roman" w:cs="Times New Roman"/>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p>
        </w:tc>
        <w:tc>
          <w:tcPr>
            <w:tcW w:w="1488"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纪念地与纪念活动场所</w:t>
            </w:r>
          </w:p>
        </w:tc>
        <w:tc>
          <w:tcPr>
            <w:tcW w:w="5100"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郡王府、王玉珊纪念林园、札萨克召遗址、革命先烈旺丹尼玛纪念馆</w:t>
            </w:r>
          </w:p>
        </w:tc>
        <w:tc>
          <w:tcPr>
            <w:tcW w:w="668"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continue"/>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p>
        </w:tc>
        <w:tc>
          <w:tcPr>
            <w:tcW w:w="1488"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文化活动场所</w:t>
            </w:r>
          </w:p>
        </w:tc>
        <w:tc>
          <w:tcPr>
            <w:tcW w:w="5100"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伊金霍洛旗图书馆、伊金霍洛旗老年大学、伊金霍洛旗文化馆</w:t>
            </w:r>
          </w:p>
        </w:tc>
        <w:tc>
          <w:tcPr>
            <w:tcW w:w="668"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4"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p>
        </w:tc>
        <w:tc>
          <w:tcPr>
            <w:tcW w:w="1488"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建设工程与生产地</w:t>
            </w:r>
          </w:p>
        </w:tc>
        <w:tc>
          <w:tcPr>
            <w:tcW w:w="5100"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神东煤海工业旅游区、新街粮库</w:t>
            </w:r>
          </w:p>
        </w:tc>
        <w:tc>
          <w:tcPr>
            <w:tcW w:w="668"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124"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物质类文化遗存</w:t>
            </w:r>
          </w:p>
        </w:tc>
        <w:tc>
          <w:tcPr>
            <w:tcW w:w="1488"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建筑遗迹</w:t>
            </w:r>
          </w:p>
        </w:tc>
        <w:tc>
          <w:tcPr>
            <w:tcW w:w="5100"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崔家大院、白敖包</w:t>
            </w:r>
          </w:p>
        </w:tc>
        <w:tc>
          <w:tcPr>
            <w:tcW w:w="668"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restart"/>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非物质类文化遗存</w:t>
            </w:r>
          </w:p>
        </w:tc>
        <w:tc>
          <w:tcPr>
            <w:tcW w:w="1488"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民间文学艺术</w:t>
            </w:r>
          </w:p>
        </w:tc>
        <w:tc>
          <w:tcPr>
            <w:tcW w:w="5100"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鄂尔多斯蒙古族传说故事、鄂尔多斯蒙古族歌舞、鄂尔多斯蒙古族乐器</w:t>
            </w:r>
          </w:p>
        </w:tc>
        <w:tc>
          <w:tcPr>
            <w:tcW w:w="668"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continue"/>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p>
        </w:tc>
        <w:tc>
          <w:tcPr>
            <w:tcW w:w="1488"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传统医药</w:t>
            </w:r>
          </w:p>
        </w:tc>
        <w:tc>
          <w:tcPr>
            <w:tcW w:w="5100"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蒙医文化</w:t>
            </w:r>
          </w:p>
        </w:tc>
        <w:tc>
          <w:tcPr>
            <w:tcW w:w="668"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p>
        </w:tc>
        <w:tc>
          <w:tcPr>
            <w:tcW w:w="1488"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地方习俗与民间礼仪</w:t>
            </w:r>
          </w:p>
        </w:tc>
        <w:tc>
          <w:tcPr>
            <w:tcW w:w="5100"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鄂尔多斯婚礼、下马酒、献哈达、蒙族风情与礼仪、祭敖包、祭火</w:t>
            </w:r>
          </w:p>
        </w:tc>
        <w:tc>
          <w:tcPr>
            <w:tcW w:w="668"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continue"/>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p>
        </w:tc>
        <w:tc>
          <w:tcPr>
            <w:tcW w:w="1488"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传统服饰</w:t>
            </w:r>
          </w:p>
        </w:tc>
        <w:tc>
          <w:tcPr>
            <w:tcW w:w="5100"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蒙古服饰</w:t>
            </w:r>
          </w:p>
        </w:tc>
        <w:tc>
          <w:tcPr>
            <w:tcW w:w="668"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p>
        </w:tc>
        <w:tc>
          <w:tcPr>
            <w:tcW w:w="1488"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健身活动与赛事</w:t>
            </w:r>
          </w:p>
        </w:tc>
        <w:tc>
          <w:tcPr>
            <w:tcW w:w="5100"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那达慕</w:t>
            </w:r>
          </w:p>
        </w:tc>
        <w:tc>
          <w:tcPr>
            <w:tcW w:w="668"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restart"/>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地方旅游商品</w:t>
            </w:r>
          </w:p>
        </w:tc>
        <w:tc>
          <w:tcPr>
            <w:tcW w:w="1488"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菜品饮食</w:t>
            </w:r>
          </w:p>
        </w:tc>
        <w:tc>
          <w:tcPr>
            <w:tcW w:w="5100"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烤全羊、烤全牛、手扒肉、排骨焖山药丸子、黄米糕圈、小米凉粉、酸奶</w:t>
            </w:r>
          </w:p>
        </w:tc>
        <w:tc>
          <w:tcPr>
            <w:tcW w:w="668"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p>
        </w:tc>
        <w:tc>
          <w:tcPr>
            <w:tcW w:w="1488"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农林畜产品及</w:t>
            </w:r>
          </w:p>
          <w:p>
            <w:pPr>
              <w:jc w:val="center"/>
              <w:rPr>
                <w:rFonts w:ascii="Times New Roman" w:hAnsi="Times New Roman" w:cs="Times New Roman"/>
                <w:szCs w:val="21"/>
              </w:rPr>
            </w:pPr>
            <w:r>
              <w:rPr>
                <w:rFonts w:hint="eastAsia" w:ascii="Times New Roman" w:hAnsi="Times New Roman" w:cs="Times New Roman"/>
                <w:szCs w:val="21"/>
              </w:rPr>
              <w:t>制品</w:t>
            </w:r>
          </w:p>
        </w:tc>
        <w:tc>
          <w:tcPr>
            <w:tcW w:w="5100"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lang w:eastAsia="zh-CN"/>
              </w:rPr>
              <w:t>敏盖</w:t>
            </w:r>
            <w:r>
              <w:rPr>
                <w:rFonts w:hint="eastAsia" w:ascii="Times New Roman" w:hAnsi="Times New Roman" w:cs="Times New Roman"/>
                <w:szCs w:val="21"/>
              </w:rPr>
              <w:t>山羊肉、鄂尔多斯羊绒制品、沙漠黄牛、骆驼肉</w:t>
            </w:r>
          </w:p>
        </w:tc>
        <w:tc>
          <w:tcPr>
            <w:tcW w:w="668"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continue"/>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p>
        </w:tc>
        <w:tc>
          <w:tcPr>
            <w:tcW w:w="1488"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中草药材及制</w:t>
            </w:r>
          </w:p>
          <w:p>
            <w:pPr>
              <w:jc w:val="center"/>
              <w:rPr>
                <w:rFonts w:ascii="Times New Roman" w:hAnsi="Times New Roman" w:cs="Times New Roman"/>
                <w:szCs w:val="21"/>
              </w:rPr>
            </w:pPr>
            <w:r>
              <w:rPr>
                <w:rFonts w:hint="eastAsia" w:ascii="Times New Roman" w:hAnsi="Times New Roman" w:cs="Times New Roman"/>
                <w:szCs w:val="21"/>
              </w:rPr>
              <w:t>品</w:t>
            </w:r>
          </w:p>
        </w:tc>
        <w:tc>
          <w:tcPr>
            <w:tcW w:w="5100"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蒙医药</w:t>
            </w:r>
          </w:p>
        </w:tc>
        <w:tc>
          <w:tcPr>
            <w:tcW w:w="668"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p>
        </w:tc>
        <w:tc>
          <w:tcPr>
            <w:tcW w:w="1488"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jc w:val="center"/>
              <w:rPr>
                <w:rFonts w:ascii="Times New Roman" w:hAnsi="Times New Roman" w:cs="Times New Roman"/>
                <w:szCs w:val="21"/>
              </w:rPr>
            </w:pPr>
            <w:r>
              <w:rPr>
                <w:rFonts w:hint="eastAsia" w:ascii="Times New Roman" w:hAnsi="Times New Roman" w:cs="Times New Roman"/>
                <w:szCs w:val="21"/>
              </w:rPr>
              <w:t>传统手工产品</w:t>
            </w:r>
          </w:p>
          <w:p>
            <w:pPr>
              <w:widowControl/>
              <w:jc w:val="center"/>
              <w:rPr>
                <w:rFonts w:ascii="Times New Roman" w:hAnsi="Times New Roman" w:cs="Times New Roman"/>
                <w:szCs w:val="21"/>
              </w:rPr>
            </w:pPr>
            <w:r>
              <w:rPr>
                <w:rFonts w:hint="eastAsia" w:ascii="Times New Roman" w:hAnsi="Times New Roman" w:cs="Times New Roman"/>
                <w:szCs w:val="21"/>
              </w:rPr>
              <w:t>与工艺品</w:t>
            </w:r>
          </w:p>
        </w:tc>
        <w:tc>
          <w:tcPr>
            <w:tcW w:w="5100"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陶瓷工艺品、手工地毯、鄂尔多斯蒙古族刺绣、蒙古族鼻烟壶制作技艺</w:t>
            </w:r>
          </w:p>
        </w:tc>
        <w:tc>
          <w:tcPr>
            <w:tcW w:w="668"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restart"/>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人事记录</w:t>
            </w:r>
          </w:p>
        </w:tc>
        <w:tc>
          <w:tcPr>
            <w:tcW w:w="1488" w:type="dxa"/>
            <w:tcBorders>
              <w:top w:val="single" w:color="4F81BD" w:sz="8" w:space="0"/>
              <w:left w:val="single" w:color="4F81BD" w:sz="8" w:space="0"/>
              <w:bottom w:val="single" w:color="4F81BD" w:sz="8" w:space="0"/>
              <w:right w:val="single" w:color="4F81BD" w:sz="8" w:space="0"/>
            </w:tcBorders>
            <w:shd w:val="clear" w:color="auto" w:fill="B8CCE4"/>
            <w:vAlign w:val="center"/>
          </w:tcPr>
          <w:p>
            <w:pPr>
              <w:widowControl/>
              <w:jc w:val="center"/>
              <w:rPr>
                <w:rFonts w:ascii="Times New Roman" w:hAnsi="Times New Roman" w:cs="Times New Roman"/>
                <w:szCs w:val="21"/>
              </w:rPr>
            </w:pPr>
            <w:r>
              <w:rPr>
                <w:rFonts w:hint="eastAsia" w:ascii="Times New Roman" w:hAnsi="Times New Roman" w:cs="Times New Roman"/>
                <w:szCs w:val="21"/>
              </w:rPr>
              <w:t>地方人物</w:t>
            </w:r>
          </w:p>
        </w:tc>
        <w:tc>
          <w:tcPr>
            <w:tcW w:w="5100"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成吉思汗</w:t>
            </w:r>
          </w:p>
        </w:tc>
        <w:tc>
          <w:tcPr>
            <w:tcW w:w="668"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p>
        </w:tc>
        <w:tc>
          <w:tcPr>
            <w:tcW w:w="1488"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jc w:val="center"/>
              <w:rPr>
                <w:rFonts w:ascii="Times New Roman" w:hAnsi="Times New Roman" w:cs="Times New Roman"/>
                <w:szCs w:val="21"/>
              </w:rPr>
            </w:pPr>
            <w:r>
              <w:rPr>
                <w:rFonts w:hint="eastAsia" w:ascii="Times New Roman" w:hAnsi="Times New Roman" w:cs="Times New Roman"/>
                <w:szCs w:val="21"/>
              </w:rPr>
              <w:t>地方事件</w:t>
            </w:r>
          </w:p>
        </w:tc>
        <w:tc>
          <w:tcPr>
            <w:tcW w:w="5100"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成吉思汗的两个传说</w:t>
            </w:r>
          </w:p>
        </w:tc>
        <w:tc>
          <w:tcPr>
            <w:tcW w:w="668"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restart"/>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岁时节令</w:t>
            </w:r>
          </w:p>
        </w:tc>
        <w:tc>
          <w:tcPr>
            <w:tcW w:w="1488" w:type="dxa"/>
            <w:tcBorders>
              <w:top w:val="single" w:color="4F81BD" w:sz="8" w:space="0"/>
              <w:left w:val="single" w:color="4F81BD" w:sz="8" w:space="0"/>
              <w:bottom w:val="single" w:color="4F81BD" w:sz="8" w:space="0"/>
              <w:right w:val="single" w:color="4F81BD" w:sz="8" w:space="0"/>
            </w:tcBorders>
            <w:shd w:val="clear" w:color="auto" w:fill="B8CCE4"/>
            <w:vAlign w:val="center"/>
          </w:tcPr>
          <w:p>
            <w:pPr>
              <w:widowControl/>
              <w:jc w:val="center"/>
              <w:rPr>
                <w:rFonts w:ascii="Times New Roman" w:hAnsi="Times New Roman" w:cs="Times New Roman"/>
                <w:szCs w:val="21"/>
              </w:rPr>
            </w:pPr>
            <w:r>
              <w:rPr>
                <w:rFonts w:hint="eastAsia" w:ascii="Times New Roman" w:hAnsi="Times New Roman" w:cs="Times New Roman"/>
                <w:szCs w:val="21"/>
              </w:rPr>
              <w:t>宗教活动与庙会</w:t>
            </w:r>
          </w:p>
        </w:tc>
        <w:tc>
          <w:tcPr>
            <w:tcW w:w="5100"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ascii="Times New Roman" w:hAnsi="Times New Roman" w:cs="Times New Roman"/>
                <w:szCs w:val="21"/>
              </w:rPr>
            </w:pPr>
            <w:r>
              <w:rPr>
                <w:rFonts w:hint="eastAsia" w:ascii="Times New Roman" w:hAnsi="Times New Roman" w:cs="Times New Roman"/>
                <w:szCs w:val="21"/>
              </w:rPr>
              <w:t>成陵祭祀</w:t>
            </w:r>
          </w:p>
        </w:tc>
        <w:tc>
          <w:tcPr>
            <w:tcW w:w="668"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p>
        </w:tc>
        <w:tc>
          <w:tcPr>
            <w:tcW w:w="1488"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jc w:val="center"/>
              <w:rPr>
                <w:rFonts w:ascii="Times New Roman" w:hAnsi="Times New Roman" w:cs="Times New Roman"/>
                <w:szCs w:val="21"/>
              </w:rPr>
            </w:pPr>
            <w:r>
              <w:rPr>
                <w:rFonts w:hint="eastAsia" w:ascii="Times New Roman" w:hAnsi="Times New Roman" w:cs="Times New Roman"/>
                <w:szCs w:val="21"/>
              </w:rPr>
              <w:t>现代节庆</w:t>
            </w:r>
          </w:p>
        </w:tc>
        <w:tc>
          <w:tcPr>
            <w:tcW w:w="5100"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伊金霍洛旗非物质文化遗产节、马文化节、羊文化节、鄂尔多斯婚礼文化节、苏泊罕音乐节、伊金霍洛美丽乡村旅游季、</w:t>
            </w:r>
            <w:r>
              <w:rPr>
                <w:rFonts w:hint="eastAsia" w:ascii="Times New Roman" w:hAnsi="Times New Roman" w:cs="Times New Roman"/>
                <w:color w:val="auto"/>
                <w:szCs w:val="21"/>
                <w:lang w:eastAsia="zh-CN"/>
              </w:rPr>
              <w:t>鄂尔多斯文化产业园</w:t>
            </w:r>
            <w:r>
              <w:rPr>
                <w:rFonts w:hint="eastAsia" w:ascii="Times New Roman" w:hAnsi="Times New Roman" w:cs="Times New Roman"/>
                <w:color w:val="auto"/>
                <w:szCs w:val="21"/>
              </w:rPr>
              <w:t>文化旅游体育周</w:t>
            </w:r>
          </w:p>
        </w:tc>
        <w:tc>
          <w:tcPr>
            <w:tcW w:w="668"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ascii="Times New Roman" w:hAnsi="Times New Roman" w:cs="Times New Roman"/>
                <w:szCs w:val="21"/>
              </w:rPr>
            </w:pPr>
            <w:r>
              <w:rPr>
                <w:rFonts w:hint="eastAsia" w:ascii="Times New Roman" w:hAnsi="Times New Roman" w:cs="Times New Roman"/>
                <w:szCs w:val="21"/>
              </w:rPr>
              <w:t>7</w:t>
            </w:r>
          </w:p>
        </w:tc>
      </w:tr>
    </w:tbl>
    <w:p>
      <w:pPr>
        <w:pStyle w:val="9"/>
        <w:rPr>
          <w:rFonts w:ascii="Times New Roman" w:hAnsi="Times New Roman" w:cs="Times New Roman"/>
          <w:sz w:val="24"/>
        </w:rPr>
      </w:pPr>
    </w:p>
    <w:p>
      <w:pPr>
        <w:rPr>
          <w:rFonts w:ascii="Times New Roman" w:hAnsi="Times New Roman" w:cs="Times New Roman"/>
          <w:b/>
          <w:bCs/>
          <w:sz w:val="32"/>
          <w:szCs w:val="32"/>
        </w:rPr>
        <w:sectPr>
          <w:pgSz w:w="11906" w:h="16838"/>
          <w:pgMar w:top="1440" w:right="1800" w:bottom="1440" w:left="1800" w:header="851" w:footer="992" w:gutter="0"/>
          <w:cols w:space="425" w:num="1"/>
          <w:docGrid w:type="lines" w:linePitch="312" w:charSpace="0"/>
        </w:sectPr>
      </w:pPr>
      <w:r>
        <w:rPr>
          <w:rFonts w:hint="eastAsia" w:ascii="Times New Roman" w:hAnsi="Times New Roman" w:cs="Times New Roman"/>
        </w:rPr>
        <w:br w:type="page"/>
      </w:r>
      <w:bookmarkStart w:id="670" w:name="_Toc9878"/>
    </w:p>
    <w:p>
      <w:pPr>
        <w:pStyle w:val="2"/>
        <w:ind w:right="3037" w:rightChars="1446" w:firstLine="1928" w:firstLineChars="600"/>
        <w:jc w:val="both"/>
        <w:rPr>
          <w:rFonts w:hint="eastAsia" w:eastAsiaTheme="minorEastAsia"/>
          <w:highlight w:val="none"/>
          <w:lang w:val="en-US" w:eastAsia="zh-CN"/>
        </w:rPr>
      </w:pPr>
      <w:bookmarkStart w:id="671" w:name="_Toc2610"/>
      <w:r>
        <w:rPr>
          <w:rFonts w:hint="eastAsia" w:ascii="Times New Roman" w:hAnsi="Times New Roman" w:cs="Times New Roman" w:eastAsiaTheme="minorEastAsia"/>
          <w:highlight w:val="none"/>
        </w:rPr>
        <w:t>附录</w:t>
      </w:r>
      <w:bookmarkEnd w:id="670"/>
      <w:r>
        <w:rPr>
          <w:rFonts w:hint="eastAsia" w:ascii="Times New Roman" w:hAnsi="Times New Roman" w:cs="Times New Roman" w:eastAsiaTheme="minorEastAsia"/>
          <w:highlight w:val="none"/>
        </w:rPr>
        <w:t>2：伊金霍洛旗文化和旅游“十四五”重点项目汇总表</w:t>
      </w:r>
      <w:bookmarkEnd w:id="671"/>
    </w:p>
    <w:tbl>
      <w:tblPr>
        <w:tblStyle w:val="17"/>
        <w:tblW w:w="4491" w:type="pct"/>
        <w:tblInd w:w="0" w:type="dxa"/>
        <w:tblLayout w:type="fixed"/>
        <w:tblCellMar>
          <w:top w:w="0" w:type="dxa"/>
          <w:left w:w="0" w:type="dxa"/>
          <w:bottom w:w="0" w:type="dxa"/>
          <w:right w:w="0" w:type="dxa"/>
        </w:tblCellMar>
      </w:tblPr>
      <w:tblGrid>
        <w:gridCol w:w="11907"/>
      </w:tblGrid>
      <w:tr>
        <w:trPr>
          <w:trHeight w:val="1320" w:hRule="atLeast"/>
        </w:trPr>
        <w:tc>
          <w:tcPr>
            <w:tcW w:w="5000" w:type="pct"/>
            <w:tcBorders>
              <w:top w:val="nil"/>
              <w:left w:val="nil"/>
              <w:bottom w:val="nil"/>
              <w:right w:val="nil"/>
            </w:tcBorders>
            <w:shd w:val="clear" w:color="auto" w:fill="auto"/>
            <w:tcMar>
              <w:top w:w="12" w:type="dxa"/>
              <w:left w:w="12" w:type="dxa"/>
              <w:right w:w="12" w:type="dxa"/>
            </w:tcMar>
            <w:vAlign w:val="center"/>
          </w:tcPr>
          <w:tbl>
            <w:tblPr>
              <w:tblStyle w:val="17"/>
              <w:tblW w:w="11488" w:type="dxa"/>
              <w:tblInd w:w="-2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7"/>
              <w:gridCol w:w="1291"/>
              <w:gridCol w:w="4810"/>
              <w:gridCol w:w="954"/>
              <w:gridCol w:w="962"/>
              <w:gridCol w:w="954"/>
              <w:gridCol w:w="954"/>
              <w:gridCol w:w="9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序号</w:t>
                  </w:r>
                </w:p>
              </w:tc>
              <w:tc>
                <w:tcPr>
                  <w:tcW w:w="12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项目名称</w:t>
                  </w:r>
                </w:p>
              </w:tc>
              <w:tc>
                <w:tcPr>
                  <w:tcW w:w="4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 xml:space="preserve">主要建设内容 </w:t>
                  </w:r>
                </w:p>
              </w:tc>
              <w:tc>
                <w:tcPr>
                  <w:tcW w:w="9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项目建设主体</w:t>
                  </w:r>
                </w:p>
              </w:tc>
              <w:tc>
                <w:tcPr>
                  <w:tcW w:w="9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项目建设地点</w:t>
                  </w:r>
                </w:p>
              </w:tc>
              <w:tc>
                <w:tcPr>
                  <w:tcW w:w="9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开工时间</w:t>
                  </w:r>
                </w:p>
              </w:tc>
              <w:tc>
                <w:tcPr>
                  <w:tcW w:w="9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投产时间</w:t>
                  </w:r>
                </w:p>
              </w:tc>
              <w:tc>
                <w:tcPr>
                  <w:tcW w:w="9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总投资（亿元）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6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12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4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9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9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9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石灰音苏莫嘎查水上乐园建设项目</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项目主要建设内容包括：渔业养殖基地（30000 m²），休闲垂钓区（30000 m²），沙地越野区（12000 m²），儿童沙漠游乐区（4000 m²），休闲戏水、浅水游玩区（20000m²），配套水泥道路长8.8公里，停车场面积2000m²，1座水冲式厕所18m²，打造吃住玩休闲一体的农业游园区。</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伊金霍洛镇人民政府</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伊旗</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2025</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xml:space="preserve">0.15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伊金霍洛旗巴音昌胡格草原旅游文化景区建设项目</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建设内容：游客服务中心已建设105㎡，还需建500㎡，游步道已建900㎡，还需建1700㎡，马文化研学基地（室内教学中心一个2826㎡，现需购买20峰、30匹及配套设备50套，棚圈及草料储备加工场地1200平米），漂流河道800m及配套设施、游牧文化蒙古包3座，游客休息凉亭3处，蒙古奶茶文化体验区一处，民宿康养体验区一处（30套民宿），五畜体验区两处，户外宿营管理处，草原低空项目管理处，旅游厕所3座，垃圾处理设施，标识标牌及配套给排水、供电设施。</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伊金霍洛镇人民政府</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伊旗</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2025</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xml:space="preserve">0.10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xml:space="preserve">伊金霍洛沙巴日太蒙古族原生态文化旅游区 </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项目规划面积1800亩，核心景区面积1117.4亩，依托伊金霍洛镇沙巴日太乡村振兴村庄规划，通过整合周边资源，打造以沙巴日太草原文化为核心，以草原水景为亮点，集文化体验、休闲度假、主题娱乐、生态观光于一体的生态文化体验区。打造一批休闲驿站、民宿，建设一批原生态游牧文化展示区，发展一批民族传统手工艺制造能手，发展牧草种植基地，持续完善智慧牧场建设。</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伊金霍洛镇人民政府</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伊旗</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2020</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2022</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xml:space="preserve">0.58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那达慕会场基础设施提升项目</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1、那达慕会场场地硬化提升；2、国际专业赛马跑道、射箭场地、博克场地建设；3、裁判员、运动员及工作人员住宿配套设施；4、停车场建设；5、协会办公场所建设。6、游客服务中心建设。</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伊金霍洛镇人民政府</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伊旗</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2020</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2022</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xml:space="preserve">0.30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哈喇和林内装项目</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建筑面积约19000平方米</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鄂尔多斯文化产业园</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伊金霍洛旗</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2021年</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2023年</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转龙湾度假区建设项目</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在转龙湾3300亩范围内建设沙山索道、玻璃栈道、水上游乐项目、木屋酒店、窑洞酒店、休闲垂钓区、漂流竹筏、养身馆、娱乐设施、办公用房、综合服务用房、观景台、瞭望塔、游客服务中心、购物中心及购物点、游步道、A级厕所、景区环境绿化、景观亮化等等项目。</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xml:space="preserve"> 文旅集团</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乌兰木伦镇</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2024</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2027</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xml:space="preserve">10.00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王府文化体验园项目</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总占地面积51.4亩，建筑面积约21000平方米，</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鄂尔多斯文化产业园</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伊金霍洛旗</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2020年</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2021年</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元朝特色小镇建设项目</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包括南方小镇、北方小镇、铁木真营地建设项目</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鄂尔多斯文化产业园</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伊金霍洛旗</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2020年</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2022年</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6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w:t>
                  </w:r>
                </w:p>
              </w:tc>
              <w:tc>
                <w:tcPr>
                  <w:tcW w:w="12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仿蒙元建筑（元大都）项目</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大明殿基础配套设施及展陈项目：总建筑面积约5000平方米，包括：前殿、柱廊、后殿，建设内容为复原定制建设大明殿室内的陈列品。</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鄂尔多斯文化产业园</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伊金霍洛旗</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2020年</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2021年</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6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5"/>
                      <w:szCs w:val="15"/>
                      <w:u w:val="none"/>
                    </w:rPr>
                  </w:pPr>
                </w:p>
              </w:tc>
              <w:tc>
                <w:tcPr>
                  <w:tcW w:w="12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5"/>
                      <w:szCs w:val="15"/>
                      <w:u w:val="none"/>
                    </w:rPr>
                  </w:pP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周庑文化互动体验馆（基础配套）：总建筑面积约13000平米，包括元曲体验馆、蒙古语言文字博物馆、蒙古记忆文献馆、蒙古民俗馆、民族团结馆、军事体验馆、鞍马体验馆、饮食娱乐区、办公区、休息区、工艺品区、蒙古源流汉白玉石板展示区等主体内容，通过多元的艺术展示手段和互动体验，将场景塑造、游戏互动、多媒体演绎与服装、配饰、生活器具等与剧情场景相融合。</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鄂尔多斯文化产业园</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伊金霍洛旗</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2020年</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2021年</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6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w:t>
                  </w:r>
                </w:p>
              </w:tc>
              <w:tc>
                <w:tcPr>
                  <w:tcW w:w="12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仿蒙元建筑（元上都）项目</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元上都土建及外装项目：总建筑面积为35098.12平方米，包括大安阁、穆青阁、周庑及配套设施</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鄂尔多斯文化产业园</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伊金霍洛旗</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2016年</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2022年</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6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5"/>
                      <w:szCs w:val="15"/>
                      <w:u w:val="none"/>
                    </w:rPr>
                  </w:pPr>
                </w:p>
              </w:tc>
              <w:tc>
                <w:tcPr>
                  <w:tcW w:w="12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5"/>
                      <w:szCs w:val="15"/>
                      <w:u w:val="none"/>
                    </w:rPr>
                  </w:pP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元上都大安阁、穆青阁、周庑互动体验项目：建设内容包括“三平台一中心”即游客服务平台、蒙古源流景区管理平台、蒙古源流营销推广平台和景区大数据中心。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鄂尔多斯文化产业园</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伊金霍洛旗</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2021年</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2023年</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6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11</w:t>
                  </w:r>
                </w:p>
              </w:tc>
              <w:tc>
                <w:tcPr>
                  <w:tcW w:w="12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影视小镇项目</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仿北方民国城二期项目</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鄂尔多斯文化产业园</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伊金霍洛旗</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2021年</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2023年</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6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5"/>
                      <w:szCs w:val="15"/>
                      <w:u w:val="none"/>
                    </w:rPr>
                  </w:pPr>
                </w:p>
              </w:tc>
              <w:tc>
                <w:tcPr>
                  <w:tcW w:w="12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5"/>
                      <w:szCs w:val="15"/>
                      <w:u w:val="none"/>
                    </w:rPr>
                  </w:pP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边塞小镇场景搭建区、电影小镇、数字摄影棚建设项目</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鄂尔多斯文化产业园</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伊金霍洛旗</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2021年</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2025年</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智慧景区建设项目</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建设内容包括“三平台一中心”即游客服务平台、蒙古源流景区管理平台、蒙古源流营销推广平台和景区大数据中心。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鄂尔多斯文化产业园</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伊金霍洛旗</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2021年</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2025年</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5"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13</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基础设施建设项目</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1.景区品质提升改造项目（包括绿化景观提升、亮化景观提升、文化雕塑、景观小品等）</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2.道路、骑行步道及慢行步道建设项目</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3.游客服务中心停车场建设项目</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4.哈喇和林铺装项目</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5.元大都至元上都铺装项目</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6.管网项目  （包括排污）</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鄂尔多斯文化产业园</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伊金霍洛旗</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2021年</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2025年</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61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14</w:t>
                  </w:r>
                </w:p>
              </w:tc>
              <w:tc>
                <w:tcPr>
                  <w:tcW w:w="129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崇天门内装项目</w:t>
                  </w:r>
                </w:p>
              </w:tc>
              <w:tc>
                <w:tcPr>
                  <w:tcW w:w="481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装修面积约5000平方米</w:t>
                  </w:r>
                </w:p>
              </w:tc>
              <w:tc>
                <w:tcPr>
                  <w:tcW w:w="95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鄂尔多斯文化产业园</w:t>
                  </w:r>
                </w:p>
              </w:tc>
              <w:tc>
                <w:tcPr>
                  <w:tcW w:w="96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伊金霍洛旗</w:t>
                  </w:r>
                </w:p>
              </w:tc>
              <w:tc>
                <w:tcPr>
                  <w:tcW w:w="95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2021年</w:t>
                  </w:r>
                </w:p>
              </w:tc>
              <w:tc>
                <w:tcPr>
                  <w:tcW w:w="95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2022</w:t>
                  </w:r>
                </w:p>
              </w:tc>
              <w:tc>
                <w:tcPr>
                  <w:tcW w:w="94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15</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蒙元民俗文化互动体验项目</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xml:space="preserve"> 民宿体验项目：占地面积月57亩，建筑面积约22800平方米。</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鄂尔多斯文化产业园</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鄂尔多斯文化产业园</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2021年</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2022年</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6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w:t>
                  </w:r>
                </w:p>
              </w:tc>
              <w:tc>
                <w:tcPr>
                  <w:tcW w:w="129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特色小镇项目</w:t>
                  </w:r>
                </w:p>
              </w:tc>
              <w:tc>
                <w:tcPr>
                  <w:tcW w:w="481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包括康养、大型实景演艺、民宿酒店、特色商业小镇等项目</w:t>
                  </w:r>
                </w:p>
              </w:tc>
              <w:tc>
                <w:tcPr>
                  <w:tcW w:w="954"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鄂尔多斯文化产业园</w:t>
                  </w:r>
                </w:p>
              </w:tc>
              <w:tc>
                <w:tcPr>
                  <w:tcW w:w="96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伊金霍洛旗</w:t>
                  </w:r>
                </w:p>
              </w:tc>
              <w:tc>
                <w:tcPr>
                  <w:tcW w:w="954"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2021年</w:t>
                  </w:r>
                </w:p>
              </w:tc>
              <w:tc>
                <w:tcPr>
                  <w:tcW w:w="954"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2025年</w:t>
                  </w:r>
                </w:p>
              </w:tc>
              <w:tc>
                <w:tcPr>
                  <w:tcW w:w="94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5" w:hRule="atLeast"/>
              </w:trPr>
              <w:tc>
                <w:tcPr>
                  <w:tcW w:w="6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17</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查干柴达木村旅游基础设施建设项目</w:t>
                  </w:r>
                </w:p>
              </w:tc>
              <w:tc>
                <w:tcPr>
                  <w:tcW w:w="4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1.民宿建设项目，按星级标准设计可同时接待200人住宿的特色民宿；</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2.建设采摘园30亩；</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3.建设水上乐园设施；4.建设水上项目；</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5.建设景观打造；</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6.建设停车场30亩，同时容纳500辆车；</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7.建设骑行道。</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札萨克镇</w:t>
                  </w:r>
                </w:p>
              </w:tc>
              <w:tc>
                <w:tcPr>
                  <w:tcW w:w="9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札萨克镇</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2021年</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2022年</w:t>
                  </w:r>
                </w:p>
              </w:tc>
              <w:tc>
                <w:tcPr>
                  <w:tcW w:w="9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xml:space="preserve">0.21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18</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伊金霍洛旗田园综合体</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乌兰木伦镇哈沙图区域项目</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本项目计划架设高压电3公里放置650变压器1台；计划建设300立方米水塔1座，新打水源井1眼，铺设直径200供水管网6.5公里；完善哈沙图村供水、供电排污等基础设施，计划建设日处理污水300吨的污水处理厂1座，配套污水管网8.5千米；计划改造新建田园乡村民宿24套；计划建设现代化科技农业标准化基地14000平米，其中新型科技大棚9栋，标准化科技研发基地1000平米。</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农牧局</w:t>
                  </w:r>
                  <w:r>
                    <w:rPr>
                      <w:rFonts w:hint="eastAsia" w:ascii="宋体" w:hAnsi="宋体" w:eastAsia="宋体" w:cs="宋体"/>
                      <w:i w:val="0"/>
                      <w:iCs w:val="0"/>
                      <w:color w:val="000000"/>
                      <w:kern w:val="0"/>
                      <w:sz w:val="15"/>
                      <w:szCs w:val="15"/>
                      <w:u w:val="none"/>
                      <w:lang w:val="en-US" w:eastAsia="zh-CN" w:bidi="ar"/>
                    </w:rPr>
                    <w:br w:type="textWrapping"/>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伊金霍洛旗</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2025</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xml:space="preserve">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19</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苏泊罕南景区建设项目</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打造苏布尔嘎非遗项目一处，建设非遗游客服务中心一处，游客接待中心一处，非遗民族文化展厅一处，打造特色农户16户，新建马文化培训基地、传统五畜养殖基地、七旗会盟驿站各一处，建设停车场一处，扩建蒙古包制作厂、购买相关设备。发展道劳岱山旅游文化产业，新建游客接待中心一处，蒙古包10座，建设索道2公里、玻璃栈道1.5公里，配套基础设施建设，打机井500米，修水泥路3公里，围栏5千米。</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苏布尔嘎镇文旅办</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苏布尔嘎镇</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2025</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xml:space="preserve">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6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哈沙图民宿改造项目</w:t>
                  </w:r>
                </w:p>
              </w:tc>
              <w:tc>
                <w:tcPr>
                  <w:tcW w:w="4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改造民居院落24套，对民居院落外部环境进行打造提升。</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文旅投集团</w:t>
                  </w:r>
                </w:p>
              </w:tc>
              <w:tc>
                <w:tcPr>
                  <w:tcW w:w="9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伊金霍洛旗</w:t>
                  </w:r>
                </w:p>
              </w:tc>
              <w:tc>
                <w:tcPr>
                  <w:tcW w:w="95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2019</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2023</w:t>
                  </w:r>
                </w:p>
              </w:tc>
              <w:tc>
                <w:tcPr>
                  <w:tcW w:w="9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xml:space="preserve">0.50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21</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伊景园城市沙山公园建设项目</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建设内容有萌宠乐园、红色营地、星空帐篷营地、火车餐厅、观景台、木栈道、烧烤营地、滑雪场（升级）、驼岭漫步、树林迷宫、彩沙世界、月湾广场、月林广场、沙山大门、入口沙雕、沙丘乐园、沙漠运动、仙人掌乐园、大漠秋千、骆驼驿站、沙地点兵、沙地飞车、摄影长廊、沙漠越野、列车住宿、水上竞速、沙际停车场、沙际广场、沙际餐厅、公共卫生间、活动广场、趣乐水城堡、林野秘境、奇妙广场、沙场迷宫、滑板乐园、冰火滑道、蒙古包烧烤、艺术区主入、低空飞翔口</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鄂尔多斯市伊景园生态旅游有限公司</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伊金霍洛旗</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2016</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xml:space="preserve">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22</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光亚哈沙图田园综合体建设项目</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建设内容包括经果林、教育基地、民宿等。</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内蒙古光亚现代农业发展有限公司</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伊金霍洛旗</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2016</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2022</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xml:space="preserve">1.50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23</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玫瑰小镇</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打造世界级玫瑰博览园</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内蒙古国林云熙实业发展有限公司</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伊金霍洛旗</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2022年</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5"/>
                      <w:szCs w:val="15"/>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24</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苏泊罕大草原文化旅游建设项目</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结合民族文化与历史，向度假及康养靠近，打造其中三个营盘建设；提升会盟区功能配套（迎宾表演场、七期会盟文化博物馆、会盟大帐完善、草原大道、七期会盟敖包、草原吉祥步道、酷友集结地等）；提升游牧时代体验区娱乐功能项目及配套。</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鄂尔多斯市苏泊罕大草原旅游景区</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七期会盟区及游牧时代体验区</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2021年</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2025年</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25</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尔乐乎研学漂流</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建设总用地面积约150亩,打造悠闲漂流项目、体验草原文化、是集儿童趣味、户外教育、冬夏令营、研学旅游、传统文化教育、团体训练等多元素于一体的综合体验的旅游项目</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苏布尔嘎镇</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苏布尔嘎镇敖尔给乎村苏布尔嘎噶查沿河</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2021年4月</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2021年12月</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26</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新街粮库修缮保护</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修缮保护新街粮库（20000平米）</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札萨克镇</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札萨克镇</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2021年</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2023年</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xml:space="preserve">0.20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27</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桑盖村温沙水湾乡村旅游度假项目</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深入挖掘温沙水湾地理特征、文化底蕴，项目突出以“沙”为主体、“水”为本源，“绿”为衬托，“农”为特色、“玩”为支撑、“养”为目标的六项特色主题。建成集沙丘、水库、湿地、观光、休闲度假、科研科普、康体养生、拓展训练、户外运动为一体的特色主题城郊休闲旅游度假区。</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阿勒腾席热镇</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阿勒腾席热镇</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2025</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xml:space="preserve">0.25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28</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协同创新基金管理有限公司文旅产业项目</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利用自身优势结合地方旅游产业发展组建产业基金用于打造旅游休闲项目。</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协同创新基金管理有限公司</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伊金霍洛旗</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2030</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xml:space="preserve">50.00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29</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马奶湖旅游项目</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占地约1600亩，主要建设旅游区基础及配套设施建设。</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内蒙古马奶湖生态资源投资集团有限公司</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伊旗红庆河镇</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2025</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xml:space="preserve">8.50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30</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镇区、旅游区一体化建设项目</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将东草滩、蒙古包群服务区，拉马业务打包为旅游项目，按照“成陵管委会为主导，企业为主体”的市场化运作模式进行集中经营，以商贸服务为纽带，将成吉思汗陵宫、景区、草皮滩、镇区串珠成链、连线成片，实现抱团发展、协同发展、融合发展。</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伊金霍洛镇人民政府</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伊金霍洛镇</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2027</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xml:space="preserve">2.00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31</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布拉格二社达尔扈特浩特项目</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一、文化方面：1、达尔扈特十八个格希格的历史文化区和99匹白马文化体验服务区的建设。2、守护者部落 生活体验区建设。二、基础设施提升方面：1、完善观光旅游线路，增设电子商务平台，利用第三方支付平台推广宣传。 2、引进各种现代化娱乐设备，增设娱乐项目，提升景区旅游体验文化。 3、新建1200平方米赛马场看台及配套设施（水、电、120平方米的AA级厕所）。4、13000㎡水泥观光道及320㎡四处站台。5、完善现有两处1500㎡木栈道上张拉膜凉亭建设。6、达尔扈特水上乐园防渗工程。</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伊金霍洛镇人民政府</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伊金霍洛镇</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2026</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xml:space="preserve">1.20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32</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伊金霍洛旗</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博物馆建设</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总面积为2万㎡，共三层。一层：服务区、办公区、 文物库房、文创产品。二层：通史展、革命文物展。三层：蒙古族草原文化展、临展。</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伊旗文旅局</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阿勒腾席热镇</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2024</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33</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苏布尔嘎镇</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非遗嘎查项目</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打造一个以非物质文化和蒙古族文化为内核，融商业、文化、休闲度假、生态游憩于一体的"非遗嘎查"，包含游客服务中心、村史馆、非遗展览馆、非遗传习所、非遗户打造以及整村节点规划建设.（村面积153平方公里）</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伊旗文旅局</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苏布尔嘎镇</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2020</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2026</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xml:space="preserve">0.50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34</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红庆河红色文化旅游区建设项目</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打造乌兰夫革命史公园、伊旗红色教育培训基地、中国工农红军长征文化体验区。</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红庆河镇</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红庆河镇</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2025</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35</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益丰寨扩建项目</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依托光明海子，整合土地1000亩，新建1处红色拓展训练基地、餐厅1座，建设民宿，增加游乐设施项目，打造一处集悠闲、娱乐、观光等为一体旅游度假村。</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内蒙古益丰寨生态农业开发有限公司</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苏布尔嘎镇</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2025</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36</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哈沙图康养旅游项目（暂定名称）</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建设康养居住用房及配套设施，总建筑面积约9万平方米</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内蒙古奥新文化旅游开发有限责任公司</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乌兰木伦镇</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2024</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37</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中国少数民族古籍文献博物馆</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打造2000平米中国少数民族古籍文献博物馆</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5"/>
                      <w:szCs w:val="15"/>
                      <w:u w:val="none"/>
                    </w:rPr>
                  </w:pP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鄂尔多斯文化产业园</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2021年</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2021年</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38</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朱开沟遗址公园</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项目总占地面积4000平米。建设内容包括木栈道、停车场、入口大门、景观雕塑、周边绿化、亮化、监控及其附属设施。项目共有一期，工期计划两年。</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纳林陶亥镇人民政府</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纳林陶亥镇朱开沟村</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2021年</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2022年</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39</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战国秦长城遗址公园</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项目计划建设内容包括游客集散广场1400平方米、道路护坡、观景平台、停车场、周边绿化、监控、围栏及其附属设施。项目计划共一期，工期为两年。</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纳林陶亥镇人民政府</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纳林陶亥镇布尔敦塔村</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2021年</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2022年</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40</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蒙古源流产业园鄂尔多斯市影视城项目</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项目规划总占地面积500亩，其中建筑占地面积11.7万平方米，绿化用地面积16.7万平方米，广场用地面积1.5万平方米，停车场用地面积7000平方米。共设3个分区，分别为影视文化中心分区，影视制作分区以及辅助功能分区。其中，影视文化中心分区主要设有影视放映中心、影视放映、会展多功能厅、超市购物、健身娱乐中心、影视城历史展览画廊，总建筑面积为6.7万平方米；影视制作分区设有影视拍摄区、录音室、编辑制作室、摄影棚等，总建筑面积1.6万平方米；辅助功能分区设有客房、餐饮区、仓库、员工宿舍、办公室、服装、化妆、道具区等，总建筑面积为3.3万平方米。建设周期为2年。</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鄂尔多斯文化产业园</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伊金霍洛旗</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2025</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xml:space="preserve">4.80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41</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颐和生态文化博览园景区智慧景区建设项目</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占地面积20万平方米，建设内容包括自主导览服务设施，团队智慧讲解系统，多语种同步讲解系统，手机导览APP，票务系统，智慧停车场等。</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文博事业发展中心</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阿镇</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2023</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2025</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42</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东红海子湿地旅游区国防教育综合基地建设项目</w:t>
                  </w:r>
                </w:p>
              </w:tc>
              <w:tc>
                <w:tcPr>
                  <w:tcW w:w="4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在不破坏原有生态环境的基础上，在东红海子湿地公园东侧公园垂钓区进行建设，占地面积100亩。第一期建设四个区域，分别为退役武器装备室外展示区、国防教育广场及文化长廊、军事科技室内体验区、军训拓展区。第二期建设包括国防教育展馆、会议接待、国防大讲堂等项目。</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文旅集团</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阿勒腾席热镇</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2023</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2024年</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6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43</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红海子湿地旅游景区综合服务中心</w:t>
                  </w:r>
                </w:p>
              </w:tc>
              <w:tc>
                <w:tcPr>
                  <w:tcW w:w="4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占地面积300亩，建设内容包括综合服务中心以及配套的旅游服务、咨询、票务预定、宣传展示、休闲休憩、商品购物、紧急医疗护理、办公管理、生态停车场等设施。</w:t>
                  </w:r>
                </w:p>
              </w:tc>
              <w:tc>
                <w:tcPr>
                  <w:tcW w:w="95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文旅集团</w:t>
                  </w:r>
                </w:p>
              </w:tc>
              <w:tc>
                <w:tcPr>
                  <w:tcW w:w="9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阿勒腾席热镇</w:t>
                  </w:r>
                </w:p>
              </w:tc>
              <w:tc>
                <w:tcPr>
                  <w:tcW w:w="95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2023</w:t>
                  </w:r>
                </w:p>
              </w:tc>
              <w:tc>
                <w:tcPr>
                  <w:tcW w:w="95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2024</w:t>
                  </w:r>
                </w:p>
              </w:tc>
              <w:tc>
                <w:tcPr>
                  <w:tcW w:w="9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44</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苏布尔嘎乡村旅游小镇项目</w:t>
                  </w:r>
                </w:p>
              </w:tc>
              <w:tc>
                <w:tcPr>
                  <w:tcW w:w="4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完善现有景点设施等，如苏泊罕大草原景点完善、白塔景点完善，打造根据特色的草原风情景区。              利用嘎查现有的村委活动室建设小镇阵地。</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提升改造一个游客接待中心、一个非遗展览馆、一个非遗传习所和民俗展览中心。                      打造100户非遗专业户，建成非遗文化传承保护基地；非遗文化研学游基地；非遗文化景区。</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苏布尔嘎镇</w:t>
                  </w:r>
                </w:p>
              </w:tc>
              <w:tc>
                <w:tcPr>
                  <w:tcW w:w="9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苏布尔嘎镇</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2023</w:t>
                  </w:r>
                </w:p>
              </w:tc>
              <w:tc>
                <w:tcPr>
                  <w:tcW w:w="95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2025年</w:t>
                  </w:r>
                </w:p>
              </w:tc>
              <w:tc>
                <w:tcPr>
                  <w:tcW w:w="9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0.338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6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45</w:t>
                  </w:r>
                </w:p>
              </w:tc>
              <w:tc>
                <w:tcPr>
                  <w:tcW w:w="12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陶亥召</w:t>
                  </w:r>
                </w:p>
              </w:tc>
              <w:tc>
                <w:tcPr>
                  <w:tcW w:w="4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对景区进行改造升级，建设内容包括停车场修建，景区内公共设施修护，打造游客服务中心。建立蒙藏医药博物馆，形成蒙藏医药专业研究、治疗服务、药材种植、人才培养的文化传承保护和产业发展基地。利用现有基础设施进行改造利用，增加博物馆功能和藏品等。</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纳林陶亥镇人民政府</w:t>
                  </w:r>
                </w:p>
              </w:tc>
              <w:tc>
                <w:tcPr>
                  <w:tcW w:w="9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纳林陶亥镇</w:t>
                  </w:r>
                </w:p>
              </w:tc>
              <w:tc>
                <w:tcPr>
                  <w:tcW w:w="95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2023</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2025</w:t>
                  </w:r>
                </w:p>
              </w:tc>
              <w:tc>
                <w:tcPr>
                  <w:tcW w:w="9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trPr>
              <w:tc>
                <w:tcPr>
                  <w:tcW w:w="6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46</w:t>
                  </w:r>
                </w:p>
              </w:tc>
              <w:tc>
                <w:tcPr>
                  <w:tcW w:w="12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毕鲁图香</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坊园</w:t>
                  </w:r>
                </w:p>
              </w:tc>
              <w:tc>
                <w:tcPr>
                  <w:tcW w:w="4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毕鲁图农会革命旧址为依托，修复香坊旧址、打造红色教育</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展厅、会议培训室、餐饮、住宿及重走东郡革命路拓展体验</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和非遗项目“毕鲁图手工香坊”及其他配套基础设施组成的</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红色文化产业园</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纳林陶亥镇</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人民政府</w:t>
                  </w:r>
                </w:p>
              </w:tc>
              <w:tc>
                <w:tcPr>
                  <w:tcW w:w="9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纳林陶亥镇</w:t>
                  </w:r>
                </w:p>
              </w:tc>
              <w:tc>
                <w:tcPr>
                  <w:tcW w:w="95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2021</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2025</w:t>
                  </w:r>
                </w:p>
              </w:tc>
              <w:tc>
                <w:tcPr>
                  <w:tcW w:w="9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47</w:t>
                  </w:r>
                </w:p>
              </w:tc>
              <w:tc>
                <w:tcPr>
                  <w:tcW w:w="1291"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车家渠农耕文化体验园</w:t>
                  </w:r>
                </w:p>
              </w:tc>
              <w:tc>
                <w:tcPr>
                  <w:tcW w:w="4810"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xml:space="preserve">项目总用地355亩（农耕文化区130亩，科普教育区15亩，主题娱乐165亩，田园休闲区45亩）。主要建设内容：1.农耕文化区：283万元（电、水管网143万元，打造农耕文化长廊55万元，采购农机具85万元）；2.科普教育区：50万元（打造场地25万元，采购展示架5万元，采购研学教具10万元，采购电教设备10万元）；3.主题娱乐区：147万元（采购儿童娱乐设施45万元，采购木屋、凉亭40万元，打造垂钓区及配套设备22万元，采购网红打卡景观设施40万元）；4.田园休闲区：20万元（打造氛围20万元）； </w:t>
                  </w:r>
                </w:p>
              </w:tc>
              <w:tc>
                <w:tcPr>
                  <w:tcW w:w="954"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阿勒腾席热镇</w:t>
                  </w:r>
                </w:p>
              </w:tc>
              <w:tc>
                <w:tcPr>
                  <w:tcW w:w="962"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阿镇</w:t>
                  </w:r>
                </w:p>
              </w:tc>
              <w:tc>
                <w:tcPr>
                  <w:tcW w:w="954"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2023</w:t>
                  </w:r>
                </w:p>
              </w:tc>
              <w:tc>
                <w:tcPr>
                  <w:tcW w:w="954"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2023年</w:t>
                  </w:r>
                </w:p>
              </w:tc>
              <w:tc>
                <w:tcPr>
                  <w:tcW w:w="946" w:type="dxa"/>
                  <w:tcBorders>
                    <w:top w:val="nil"/>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15"/>
                      <w:szCs w:val="15"/>
                      <w:u w:val="none"/>
                    </w:rPr>
                  </w:pPr>
                </w:p>
              </w:tc>
            </w:tr>
          </w:tbl>
          <w:p>
            <w:pPr>
              <w:pStyle w:val="2"/>
              <w:jc w:val="both"/>
              <w:rPr>
                <w:rFonts w:ascii="宋体" w:hAnsi="宋体" w:cs="宋体"/>
                <w:color w:val="000000"/>
                <w:szCs w:val="32"/>
              </w:rPr>
            </w:pPr>
          </w:p>
        </w:tc>
      </w:tr>
    </w:tbl>
    <w:p>
      <w:pPr>
        <w:pStyle w:val="9"/>
        <w:rPr>
          <w:rFonts w:ascii="Times New Roman" w:hAnsi="Times New Roman" w:cs="Times New Roman"/>
        </w:rPr>
        <w:sectPr>
          <w:pgSz w:w="16838" w:h="11906" w:orient="landscape"/>
          <w:pgMar w:top="1440" w:right="1803" w:bottom="1440" w:left="1803" w:header="851" w:footer="992" w:gutter="0"/>
          <w:cols w:space="425" w:num="1"/>
          <w:docGrid w:type="lines" w:linePitch="312" w:charSpace="0"/>
        </w:sectPr>
      </w:pPr>
    </w:p>
    <w:p>
      <w:pPr>
        <w:pStyle w:val="2"/>
        <w:jc w:val="both"/>
        <w:rPr>
          <w:rFonts w:ascii="Times New Roman" w:hAnsi="Times New Roman" w:cs="Times New Roman" w:eastAsiaTheme="minorEastAsia"/>
          <w:bCs/>
          <w:sz w:val="24"/>
        </w:rPr>
      </w:pPr>
      <w:bookmarkStart w:id="672" w:name="_Toc32187"/>
      <w:r>
        <w:rPr>
          <w:rFonts w:hint="eastAsia" w:ascii="Times New Roman" w:hAnsi="Times New Roman" w:cs="Times New Roman" w:eastAsiaTheme="minorEastAsia"/>
        </w:rPr>
        <w:t>附录3：图件</w:t>
      </w:r>
      <w:bookmarkEnd w:id="672"/>
    </w:p>
    <w:p>
      <w:pPr>
        <w:pStyle w:val="9"/>
        <w:spacing w:line="360" w:lineRule="auto"/>
        <w:rPr>
          <w:rFonts w:ascii="Times New Roman" w:hAnsi="Times New Roman" w:cs="Times New Roman"/>
          <w:b/>
          <w:bCs/>
          <w:sz w:val="24"/>
        </w:rPr>
      </w:pPr>
      <w:r>
        <w:rPr>
          <w:rFonts w:hint="eastAsia" w:ascii="Times New Roman" w:hAnsi="Times New Roman" w:cs="Times New Roman"/>
          <w:b/>
          <w:bCs/>
          <w:sz w:val="24"/>
        </w:rPr>
        <w:t>图件1：规划范围图</w:t>
      </w:r>
    </w:p>
    <w:p>
      <w:pPr>
        <w:pStyle w:val="9"/>
        <w:spacing w:line="360" w:lineRule="auto"/>
        <w:rPr>
          <w:rFonts w:ascii="Times New Roman" w:hAnsi="Times New Roman" w:cs="Times New Roman"/>
          <w:b/>
          <w:bCs/>
          <w:sz w:val="24"/>
        </w:rPr>
      </w:pPr>
      <w:r>
        <w:rPr>
          <w:rFonts w:hint="eastAsia" w:ascii="Times New Roman" w:hAnsi="Times New Roman" w:cs="Times New Roman"/>
          <w:b/>
          <w:bCs/>
          <w:sz w:val="24"/>
        </w:rPr>
        <w:t>图件2：资源分布图</w:t>
      </w:r>
    </w:p>
    <w:p>
      <w:pPr>
        <w:pStyle w:val="9"/>
        <w:spacing w:line="360" w:lineRule="auto"/>
        <w:rPr>
          <w:rFonts w:ascii="Times New Roman" w:hAnsi="Times New Roman" w:cs="Times New Roman"/>
          <w:b/>
          <w:bCs/>
          <w:sz w:val="24"/>
        </w:rPr>
      </w:pPr>
      <w:r>
        <w:rPr>
          <w:rFonts w:hint="eastAsia" w:ascii="Times New Roman" w:hAnsi="Times New Roman" w:cs="Times New Roman"/>
          <w:b/>
          <w:bCs/>
          <w:sz w:val="24"/>
        </w:rPr>
        <w:t>图件3：交通线路图</w:t>
      </w:r>
    </w:p>
    <w:p>
      <w:pPr>
        <w:pStyle w:val="9"/>
        <w:spacing w:line="360" w:lineRule="auto"/>
        <w:rPr>
          <w:rFonts w:ascii="Times New Roman" w:hAnsi="Times New Roman" w:cs="Times New Roman"/>
          <w:b/>
          <w:bCs/>
          <w:sz w:val="24"/>
        </w:rPr>
      </w:pPr>
      <w:r>
        <w:rPr>
          <w:rFonts w:hint="eastAsia" w:ascii="Times New Roman" w:hAnsi="Times New Roman" w:cs="Times New Roman"/>
          <w:b/>
          <w:bCs/>
          <w:sz w:val="24"/>
        </w:rPr>
        <w:t>图件4：市场分布图</w:t>
      </w:r>
    </w:p>
    <w:p>
      <w:pPr>
        <w:pStyle w:val="9"/>
        <w:spacing w:line="360" w:lineRule="auto"/>
        <w:rPr>
          <w:rFonts w:ascii="Times New Roman" w:hAnsi="Times New Roman" w:cs="Times New Roman"/>
          <w:b/>
          <w:bCs/>
          <w:sz w:val="24"/>
        </w:rPr>
      </w:pPr>
      <w:r>
        <w:rPr>
          <w:rFonts w:hint="eastAsia" w:ascii="Times New Roman" w:hAnsi="Times New Roman" w:cs="Times New Roman"/>
          <w:b/>
          <w:bCs/>
          <w:sz w:val="24"/>
        </w:rPr>
        <w:t>图件5：空间布局图</w:t>
      </w:r>
    </w:p>
    <w:p>
      <w:pPr>
        <w:pStyle w:val="9"/>
        <w:spacing w:line="360" w:lineRule="auto"/>
        <w:rPr>
          <w:rFonts w:ascii="Times New Roman" w:hAnsi="Times New Roman" w:cs="Times New Roman"/>
          <w:b/>
          <w:bCs/>
          <w:sz w:val="24"/>
        </w:rPr>
      </w:pPr>
      <w:r>
        <w:rPr>
          <w:rFonts w:hint="eastAsia" w:ascii="Times New Roman" w:hAnsi="Times New Roman" w:cs="Times New Roman"/>
          <w:b/>
          <w:bCs/>
          <w:sz w:val="24"/>
        </w:rPr>
        <w:t>图件6：精品线路图</w:t>
      </w:r>
    </w:p>
    <w:p>
      <w:pPr>
        <w:pStyle w:val="9"/>
        <w:spacing w:line="360" w:lineRule="auto"/>
        <w:rPr>
          <w:rFonts w:ascii="Times New Roman" w:hAnsi="Times New Roman" w:cs="Times New Roman"/>
          <w:b/>
          <w:bCs/>
          <w:sz w:val="24"/>
        </w:rPr>
        <w:sectPr>
          <w:pgSz w:w="16838" w:h="11906" w:orient="landscape"/>
          <w:pgMar w:top="1800" w:right="1440" w:bottom="1800" w:left="1440" w:header="851" w:footer="992" w:gutter="0"/>
          <w:cols w:space="425" w:num="1"/>
          <w:docGrid w:type="lines" w:linePitch="312" w:charSpace="0"/>
        </w:sectPr>
      </w:pPr>
      <w:r>
        <w:rPr>
          <w:rFonts w:hint="eastAsia" w:ascii="Times New Roman" w:hAnsi="Times New Roman" w:cs="Times New Roman"/>
          <w:b/>
          <w:bCs/>
          <w:sz w:val="24"/>
        </w:rPr>
        <w:t>图件7：驿站营地分布图</w:t>
      </w:r>
    </w:p>
    <w:p>
      <w:pPr>
        <w:pStyle w:val="9"/>
        <w:rPr>
          <w:rFonts w:ascii="Times New Roman" w:hAnsi="Times New Roman" w:cs="Times New Roman"/>
          <w:b/>
          <w:bCs/>
          <w:sz w:val="24"/>
        </w:rPr>
      </w:pPr>
      <w:r>
        <w:rPr>
          <w:rFonts w:hint="eastAsia" w:ascii="Times New Roman" w:hAnsi="Times New Roman" w:cs="Times New Roman"/>
          <w:b/>
          <w:bCs/>
          <w:sz w:val="24"/>
        </w:rPr>
        <w:drawing>
          <wp:anchor distT="0" distB="0" distL="114300" distR="114300" simplePos="0" relativeHeight="251664384" behindDoc="0" locked="0" layoutInCell="1" allowOverlap="1">
            <wp:simplePos x="0" y="0"/>
            <wp:positionH relativeFrom="column">
              <wp:posOffset>748030</wp:posOffset>
            </wp:positionH>
            <wp:positionV relativeFrom="paragraph">
              <wp:posOffset>358140</wp:posOffset>
            </wp:positionV>
            <wp:extent cx="7197725" cy="4935855"/>
            <wp:effectExtent l="0" t="0" r="10795" b="1905"/>
            <wp:wrapTopAndBottom/>
            <wp:docPr id="4" name="图片 4" descr="E:\工作\规划\伊旗十四五\微信图片_202012300936082.jpg微信图片_202012300936082"/>
            <wp:cNvGraphicFramePr/>
            <a:graphic xmlns:a="http://schemas.openxmlformats.org/drawingml/2006/main">
              <a:graphicData uri="http://schemas.openxmlformats.org/drawingml/2006/picture">
                <pic:pic xmlns:pic="http://schemas.openxmlformats.org/drawingml/2006/picture">
                  <pic:nvPicPr>
                    <pic:cNvPr id="4" name="图片 4" descr="E:\工作\规划\伊旗十四五\微信图片_202012300936082.jpg微信图片_202012300936082"/>
                    <pic:cNvPicPr/>
                  </pic:nvPicPr>
                  <pic:blipFill>
                    <a:blip r:embed="rId7"/>
                    <a:srcRect/>
                    <a:stretch>
                      <a:fillRect/>
                    </a:stretch>
                  </pic:blipFill>
                  <pic:spPr>
                    <a:xfrm>
                      <a:off x="0" y="0"/>
                      <a:ext cx="7197725" cy="4935855"/>
                    </a:xfrm>
                    <a:prstGeom prst="rect">
                      <a:avLst/>
                    </a:prstGeom>
                  </pic:spPr>
                </pic:pic>
              </a:graphicData>
            </a:graphic>
          </wp:anchor>
        </w:drawing>
      </w:r>
      <w:r>
        <w:rPr>
          <w:rFonts w:hint="eastAsia" w:ascii="Times New Roman" w:hAnsi="Times New Roman" w:cs="Times New Roman"/>
          <w:b/>
          <w:bCs/>
          <w:sz w:val="24"/>
        </w:rPr>
        <w:t xml:space="preserve">图1：规划范围图        </w:t>
      </w:r>
    </w:p>
    <w:p>
      <w:pPr>
        <w:pStyle w:val="9"/>
        <w:rPr>
          <w:rFonts w:ascii="Times New Roman" w:hAnsi="Times New Roman" w:cs="Times New Roman"/>
          <w:b/>
          <w:bCs/>
          <w:sz w:val="24"/>
        </w:rPr>
        <w:sectPr>
          <w:pgSz w:w="16838" w:h="11906" w:orient="landscape"/>
          <w:pgMar w:top="1800" w:right="1440" w:bottom="1800" w:left="1440" w:header="851" w:footer="992" w:gutter="0"/>
          <w:cols w:space="425" w:num="1"/>
          <w:docGrid w:type="lines" w:linePitch="312" w:charSpace="0"/>
        </w:sectPr>
      </w:pPr>
    </w:p>
    <w:p>
      <w:pPr>
        <w:pStyle w:val="9"/>
        <w:rPr>
          <w:rFonts w:ascii="Times New Roman" w:hAnsi="Times New Roman" w:cs="Times New Roman"/>
          <w:b/>
          <w:bCs/>
          <w:sz w:val="24"/>
        </w:rPr>
      </w:pPr>
      <w:r>
        <w:rPr>
          <w:rFonts w:hint="eastAsia" w:ascii="Times New Roman" w:hAnsi="Times New Roman" w:cs="Times New Roman"/>
          <w:b/>
          <w:bCs/>
          <w:sz w:val="24"/>
        </w:rPr>
        <w:t>图2：资源分布图</w:t>
      </w:r>
    </w:p>
    <w:p>
      <w:pPr>
        <w:pStyle w:val="9"/>
        <w:rPr>
          <w:rFonts w:ascii="Times New Roman" w:hAnsi="Times New Roman" w:cs="Times New Roman"/>
          <w:b/>
          <w:bCs/>
          <w:sz w:val="24"/>
        </w:rPr>
        <w:sectPr>
          <w:pgSz w:w="16838" w:h="11906" w:orient="landscape"/>
          <w:pgMar w:top="1800" w:right="1440" w:bottom="1800" w:left="1440" w:header="851" w:footer="992" w:gutter="0"/>
          <w:cols w:space="425" w:num="1"/>
          <w:docGrid w:type="lines" w:linePitch="312" w:charSpace="0"/>
        </w:sectPr>
      </w:pPr>
      <w:r>
        <w:rPr>
          <w:rFonts w:hint="eastAsia" w:ascii="Times New Roman" w:hAnsi="Times New Roman" w:cs="Times New Roman"/>
          <w:b/>
          <w:bCs/>
          <w:sz w:val="24"/>
        </w:rPr>
        <w:drawing>
          <wp:anchor distT="0" distB="0" distL="114300" distR="114300" simplePos="0" relativeHeight="251667456" behindDoc="0" locked="0" layoutInCell="1" allowOverlap="1">
            <wp:simplePos x="0" y="0"/>
            <wp:positionH relativeFrom="column">
              <wp:posOffset>701040</wp:posOffset>
            </wp:positionH>
            <wp:positionV relativeFrom="paragraph">
              <wp:posOffset>1270</wp:posOffset>
            </wp:positionV>
            <wp:extent cx="7405370" cy="4935855"/>
            <wp:effectExtent l="0" t="0" r="1270" b="1905"/>
            <wp:wrapTopAndBottom/>
            <wp:docPr id="9" name="图片 9" descr="E:\工作\规划\伊旗十四五\微信图片_202012300936084.jpg微信图片_202012300936084"/>
            <wp:cNvGraphicFramePr/>
            <a:graphic xmlns:a="http://schemas.openxmlformats.org/drawingml/2006/main">
              <a:graphicData uri="http://schemas.openxmlformats.org/drawingml/2006/picture">
                <pic:pic xmlns:pic="http://schemas.openxmlformats.org/drawingml/2006/picture">
                  <pic:nvPicPr>
                    <pic:cNvPr id="9" name="图片 9" descr="E:\工作\规划\伊旗十四五\微信图片_202012300936084.jpg微信图片_202012300936084"/>
                    <pic:cNvPicPr/>
                  </pic:nvPicPr>
                  <pic:blipFill>
                    <a:blip r:embed="rId8"/>
                    <a:srcRect/>
                    <a:stretch>
                      <a:fillRect/>
                    </a:stretch>
                  </pic:blipFill>
                  <pic:spPr>
                    <a:xfrm>
                      <a:off x="0" y="0"/>
                      <a:ext cx="7405370" cy="4935855"/>
                    </a:xfrm>
                    <a:prstGeom prst="rect">
                      <a:avLst/>
                    </a:prstGeom>
                  </pic:spPr>
                </pic:pic>
              </a:graphicData>
            </a:graphic>
          </wp:anchor>
        </w:drawing>
      </w:r>
    </w:p>
    <w:p>
      <w:pPr>
        <w:pStyle w:val="9"/>
        <w:rPr>
          <w:rFonts w:ascii="Times New Roman" w:hAnsi="Times New Roman" w:cs="Times New Roman"/>
          <w:b/>
          <w:bCs/>
          <w:sz w:val="24"/>
        </w:rPr>
      </w:pPr>
      <w:r>
        <w:rPr>
          <w:rFonts w:hint="eastAsia" w:ascii="Times New Roman" w:hAnsi="Times New Roman" w:cs="Times New Roman"/>
          <w:b/>
          <w:bCs/>
          <w:sz w:val="24"/>
        </w:rPr>
        <w:drawing>
          <wp:anchor distT="0" distB="0" distL="114300" distR="114300" simplePos="0" relativeHeight="251665408" behindDoc="0" locked="0" layoutInCell="1" allowOverlap="1">
            <wp:simplePos x="0" y="0"/>
            <wp:positionH relativeFrom="column">
              <wp:posOffset>678815</wp:posOffset>
            </wp:positionH>
            <wp:positionV relativeFrom="paragraph">
              <wp:posOffset>320675</wp:posOffset>
            </wp:positionV>
            <wp:extent cx="7405370" cy="4935855"/>
            <wp:effectExtent l="0" t="0" r="1270" b="1905"/>
            <wp:wrapTopAndBottom/>
            <wp:docPr id="6" name="图片 6" descr="E:\工作\规划\伊旗十四五\微信图片_202012300936083.jpg微信图片_202012300936083"/>
            <wp:cNvGraphicFramePr/>
            <a:graphic xmlns:a="http://schemas.openxmlformats.org/drawingml/2006/main">
              <a:graphicData uri="http://schemas.openxmlformats.org/drawingml/2006/picture">
                <pic:pic xmlns:pic="http://schemas.openxmlformats.org/drawingml/2006/picture">
                  <pic:nvPicPr>
                    <pic:cNvPr id="6" name="图片 6" descr="E:\工作\规划\伊旗十四五\微信图片_202012300936083.jpg微信图片_202012300936083"/>
                    <pic:cNvPicPr/>
                  </pic:nvPicPr>
                  <pic:blipFill>
                    <a:blip r:embed="rId9"/>
                    <a:srcRect/>
                    <a:stretch>
                      <a:fillRect/>
                    </a:stretch>
                  </pic:blipFill>
                  <pic:spPr>
                    <a:xfrm>
                      <a:off x="0" y="0"/>
                      <a:ext cx="7405370" cy="4935855"/>
                    </a:xfrm>
                    <a:prstGeom prst="rect">
                      <a:avLst/>
                    </a:prstGeom>
                  </pic:spPr>
                </pic:pic>
              </a:graphicData>
            </a:graphic>
          </wp:anchor>
        </w:drawing>
      </w:r>
      <w:r>
        <w:rPr>
          <w:rFonts w:hint="eastAsia" w:ascii="Times New Roman" w:hAnsi="Times New Roman" w:cs="Times New Roman"/>
          <w:b/>
          <w:bCs/>
          <w:sz w:val="24"/>
        </w:rPr>
        <w:t>图3：交通线路图</w:t>
      </w:r>
    </w:p>
    <w:p>
      <w:pPr>
        <w:pStyle w:val="9"/>
        <w:rPr>
          <w:rFonts w:ascii="Times New Roman" w:hAnsi="Times New Roman" w:cs="Times New Roman"/>
          <w:b/>
          <w:bCs/>
          <w:sz w:val="24"/>
        </w:rPr>
        <w:sectPr>
          <w:pgSz w:w="16838" w:h="11906" w:orient="landscape"/>
          <w:pgMar w:top="1800" w:right="1440" w:bottom="1800" w:left="1440" w:header="851" w:footer="992" w:gutter="0"/>
          <w:cols w:space="425" w:num="1"/>
          <w:docGrid w:type="lines" w:linePitch="312" w:charSpace="0"/>
        </w:sectPr>
      </w:pPr>
    </w:p>
    <w:p>
      <w:pPr>
        <w:pStyle w:val="9"/>
        <w:rPr>
          <w:rFonts w:ascii="Times New Roman" w:hAnsi="Times New Roman" w:cs="Times New Roman"/>
          <w:b/>
          <w:bCs/>
          <w:sz w:val="24"/>
        </w:rPr>
      </w:pPr>
      <w:r>
        <w:rPr>
          <w:rFonts w:hint="eastAsia" w:ascii="Times New Roman" w:hAnsi="Times New Roman" w:cs="Times New Roman"/>
          <w:b/>
          <w:bCs/>
          <w:sz w:val="24"/>
        </w:rPr>
        <w:drawing>
          <wp:anchor distT="0" distB="0" distL="114300" distR="114300" simplePos="0" relativeHeight="251661312" behindDoc="0" locked="0" layoutInCell="1" allowOverlap="1">
            <wp:simplePos x="0" y="0"/>
            <wp:positionH relativeFrom="column">
              <wp:posOffset>652780</wp:posOffset>
            </wp:positionH>
            <wp:positionV relativeFrom="paragraph">
              <wp:posOffset>287655</wp:posOffset>
            </wp:positionV>
            <wp:extent cx="7405370" cy="4935855"/>
            <wp:effectExtent l="0" t="0" r="1270" b="1905"/>
            <wp:wrapTopAndBottom/>
            <wp:docPr id="10" name="图片 10" descr="E:\工作\规划\伊旗十四五\微信图片_202012300936086.jpg微信图片_202012300936086"/>
            <wp:cNvGraphicFramePr/>
            <a:graphic xmlns:a="http://schemas.openxmlformats.org/drawingml/2006/main">
              <a:graphicData uri="http://schemas.openxmlformats.org/drawingml/2006/picture">
                <pic:pic xmlns:pic="http://schemas.openxmlformats.org/drawingml/2006/picture">
                  <pic:nvPicPr>
                    <pic:cNvPr id="10" name="图片 10" descr="E:\工作\规划\伊旗十四五\微信图片_202012300936086.jpg微信图片_202012300936086"/>
                    <pic:cNvPicPr/>
                  </pic:nvPicPr>
                  <pic:blipFill>
                    <a:blip r:embed="rId10"/>
                    <a:srcRect/>
                    <a:stretch>
                      <a:fillRect/>
                    </a:stretch>
                  </pic:blipFill>
                  <pic:spPr>
                    <a:xfrm>
                      <a:off x="0" y="0"/>
                      <a:ext cx="7405370" cy="4935855"/>
                    </a:xfrm>
                    <a:prstGeom prst="rect">
                      <a:avLst/>
                    </a:prstGeom>
                  </pic:spPr>
                </pic:pic>
              </a:graphicData>
            </a:graphic>
          </wp:anchor>
        </w:drawing>
      </w:r>
      <w:r>
        <w:rPr>
          <w:rFonts w:hint="eastAsia" w:ascii="Times New Roman" w:hAnsi="Times New Roman" w:cs="Times New Roman"/>
          <w:b/>
          <w:bCs/>
          <w:sz w:val="24"/>
        </w:rPr>
        <w:t>图4：市场分布图</w:t>
      </w:r>
    </w:p>
    <w:p>
      <w:pPr>
        <w:pStyle w:val="9"/>
        <w:rPr>
          <w:rFonts w:ascii="Times New Roman" w:hAnsi="Times New Roman" w:cs="Times New Roman"/>
          <w:b/>
          <w:bCs/>
          <w:sz w:val="24"/>
        </w:rPr>
        <w:sectPr>
          <w:pgSz w:w="16838" w:h="11906" w:orient="landscape"/>
          <w:pgMar w:top="1800" w:right="1440" w:bottom="1800" w:left="1440" w:header="851" w:footer="992" w:gutter="0"/>
          <w:cols w:space="425" w:num="1"/>
          <w:docGrid w:type="lines" w:linePitch="312" w:charSpace="0"/>
        </w:sectPr>
      </w:pPr>
    </w:p>
    <w:p>
      <w:pPr>
        <w:pStyle w:val="9"/>
        <w:rPr>
          <w:rFonts w:ascii="Times New Roman" w:hAnsi="Times New Roman" w:cs="Times New Roman"/>
          <w:b/>
          <w:bCs/>
          <w:sz w:val="24"/>
        </w:rPr>
      </w:pPr>
      <w:r>
        <w:rPr>
          <w:rFonts w:hint="eastAsia" w:ascii="Times New Roman" w:hAnsi="Times New Roman" w:cs="Times New Roman"/>
          <w:b/>
          <w:bCs/>
          <w:sz w:val="24"/>
        </w:rPr>
        <w:drawing>
          <wp:anchor distT="0" distB="0" distL="114300" distR="114300" simplePos="0" relativeHeight="251666432" behindDoc="0" locked="0" layoutInCell="1" allowOverlap="1">
            <wp:simplePos x="0" y="0"/>
            <wp:positionH relativeFrom="column">
              <wp:posOffset>565785</wp:posOffset>
            </wp:positionH>
            <wp:positionV relativeFrom="paragraph">
              <wp:posOffset>321310</wp:posOffset>
            </wp:positionV>
            <wp:extent cx="7405370" cy="4935855"/>
            <wp:effectExtent l="0" t="0" r="1270" b="1905"/>
            <wp:wrapTopAndBottom/>
            <wp:docPr id="7" name="图片 7" descr="E:\工作\规划\伊旗十四五\微信图片_20201230093608.jpg微信图片_20201230093608"/>
            <wp:cNvGraphicFramePr/>
            <a:graphic xmlns:a="http://schemas.openxmlformats.org/drawingml/2006/main">
              <a:graphicData uri="http://schemas.openxmlformats.org/drawingml/2006/picture">
                <pic:pic xmlns:pic="http://schemas.openxmlformats.org/drawingml/2006/picture">
                  <pic:nvPicPr>
                    <pic:cNvPr id="7" name="图片 7" descr="E:\工作\规划\伊旗十四五\微信图片_20201230093608.jpg微信图片_20201230093608"/>
                    <pic:cNvPicPr/>
                  </pic:nvPicPr>
                  <pic:blipFill>
                    <a:blip r:embed="rId11"/>
                    <a:srcRect/>
                    <a:stretch>
                      <a:fillRect/>
                    </a:stretch>
                  </pic:blipFill>
                  <pic:spPr>
                    <a:xfrm>
                      <a:off x="0" y="0"/>
                      <a:ext cx="7405370" cy="4935855"/>
                    </a:xfrm>
                    <a:prstGeom prst="rect">
                      <a:avLst/>
                    </a:prstGeom>
                  </pic:spPr>
                </pic:pic>
              </a:graphicData>
            </a:graphic>
          </wp:anchor>
        </w:drawing>
      </w:r>
      <w:r>
        <w:rPr>
          <w:rFonts w:hint="eastAsia" w:ascii="Times New Roman" w:hAnsi="Times New Roman" w:cs="Times New Roman"/>
          <w:b/>
          <w:bCs/>
          <w:sz w:val="24"/>
        </w:rPr>
        <w:t>图5：空间格局图</w:t>
      </w:r>
    </w:p>
    <w:p>
      <w:pPr>
        <w:pStyle w:val="9"/>
        <w:rPr>
          <w:rFonts w:ascii="Times New Roman" w:hAnsi="Times New Roman" w:cs="Times New Roman"/>
          <w:b/>
          <w:bCs/>
          <w:sz w:val="24"/>
        </w:rPr>
        <w:sectPr>
          <w:pgSz w:w="16838" w:h="11906" w:orient="landscape"/>
          <w:pgMar w:top="1800" w:right="1440" w:bottom="1800" w:left="1440" w:header="851" w:footer="992" w:gutter="0"/>
          <w:cols w:space="425" w:num="1"/>
          <w:docGrid w:type="lines" w:linePitch="312" w:charSpace="0"/>
        </w:sectPr>
      </w:pPr>
    </w:p>
    <w:p>
      <w:pPr>
        <w:pStyle w:val="9"/>
        <w:rPr>
          <w:rFonts w:ascii="Times New Roman" w:hAnsi="Times New Roman" w:cs="Times New Roman"/>
          <w:b/>
          <w:bCs/>
          <w:sz w:val="24"/>
        </w:rPr>
      </w:pPr>
      <w:r>
        <w:rPr>
          <w:rFonts w:hint="eastAsia" w:ascii="Times New Roman" w:hAnsi="Times New Roman" w:cs="Times New Roman"/>
          <w:b/>
          <w:bCs/>
          <w:sz w:val="24"/>
        </w:rPr>
        <w:drawing>
          <wp:anchor distT="0" distB="0" distL="114300" distR="114300" simplePos="0" relativeHeight="251660288" behindDoc="0" locked="0" layoutInCell="1" allowOverlap="1">
            <wp:simplePos x="0" y="0"/>
            <wp:positionH relativeFrom="column">
              <wp:posOffset>728345</wp:posOffset>
            </wp:positionH>
            <wp:positionV relativeFrom="paragraph">
              <wp:posOffset>279400</wp:posOffset>
            </wp:positionV>
            <wp:extent cx="7406640" cy="4936490"/>
            <wp:effectExtent l="0" t="0" r="0" b="1270"/>
            <wp:wrapTopAndBottom/>
            <wp:docPr id="8" name="图片 8" descr="E:\工作\规划\伊旗十四五\微信图片_202012300936081.jpg微信图片_20201230093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规划\伊旗十四五\微信图片_202012300936081.jpg微信图片_202012300936081"/>
                    <pic:cNvPicPr>
                      <a:picLocks noChangeAspect="1"/>
                    </pic:cNvPicPr>
                  </pic:nvPicPr>
                  <pic:blipFill>
                    <a:blip r:embed="rId12"/>
                    <a:srcRect/>
                    <a:stretch>
                      <a:fillRect/>
                    </a:stretch>
                  </pic:blipFill>
                  <pic:spPr>
                    <a:xfrm>
                      <a:off x="0" y="0"/>
                      <a:ext cx="7406640" cy="4936490"/>
                    </a:xfrm>
                    <a:prstGeom prst="rect">
                      <a:avLst/>
                    </a:prstGeom>
                  </pic:spPr>
                </pic:pic>
              </a:graphicData>
            </a:graphic>
          </wp:anchor>
        </w:drawing>
      </w:r>
      <w:r>
        <w:rPr>
          <w:rFonts w:hint="eastAsia" w:ascii="Times New Roman" w:hAnsi="Times New Roman" w:cs="Times New Roman"/>
          <w:b/>
          <w:bCs/>
          <w:sz w:val="24"/>
        </w:rPr>
        <w:t>图6：精品线路图</w:t>
      </w:r>
      <w:r>
        <w:rPr>
          <w:rFonts w:hint="eastAsia" w:ascii="Times New Roman" w:hAnsi="Times New Roman" w:cs="Times New Roman"/>
          <w:b/>
          <w:bCs/>
          <w:sz w:val="24"/>
          <w:lang w:eastAsia="zh-CN"/>
        </w:rPr>
        <w:t>：</w:t>
      </w:r>
    </w:p>
    <w:p>
      <w:pPr>
        <w:rPr>
          <w:rFonts w:ascii="Times New Roman" w:hAnsi="Times New Roman" w:cs="Times New Roman"/>
          <w:b/>
          <w:bCs/>
          <w:sz w:val="24"/>
        </w:rPr>
      </w:pPr>
      <w:r>
        <w:rPr>
          <w:rFonts w:hint="eastAsia" w:ascii="Times New Roman" w:hAnsi="Times New Roman" w:cs="Times New Roman"/>
          <w:b/>
          <w:bCs/>
          <w:sz w:val="24"/>
        </w:rPr>
        <w:br w:type="page"/>
      </w:r>
    </w:p>
    <w:p>
      <w:pPr>
        <w:pStyle w:val="9"/>
        <w:rPr>
          <w:rFonts w:ascii="Times New Roman" w:hAnsi="Times New Roman" w:cs="Times New Roman"/>
          <w:b/>
          <w:bCs/>
          <w:sz w:val="24"/>
        </w:rPr>
      </w:pPr>
      <w:r>
        <w:rPr>
          <w:rFonts w:hint="eastAsia" w:ascii="Times New Roman" w:hAnsi="Times New Roman" w:cs="Times New Roman"/>
          <w:b/>
          <w:bCs/>
          <w:sz w:val="24"/>
        </w:rPr>
        <w:drawing>
          <wp:anchor distT="0" distB="0" distL="114300" distR="114300" simplePos="0" relativeHeight="251668480" behindDoc="0" locked="0" layoutInCell="1" allowOverlap="1">
            <wp:simplePos x="0" y="0"/>
            <wp:positionH relativeFrom="column">
              <wp:posOffset>728345</wp:posOffset>
            </wp:positionH>
            <wp:positionV relativeFrom="paragraph">
              <wp:posOffset>280035</wp:posOffset>
            </wp:positionV>
            <wp:extent cx="7406640" cy="4935855"/>
            <wp:effectExtent l="0" t="0" r="0" b="1905"/>
            <wp:wrapTopAndBottom/>
            <wp:docPr id="78" name="图片 78" descr="E:\工作\规划\伊旗十四五\微信图片_202012300936085.jpg微信图片_20201230093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E:\工作\规划\伊旗十四五\微信图片_202012300936085.jpg微信图片_202012300936085"/>
                    <pic:cNvPicPr>
                      <a:picLocks noChangeAspect="1"/>
                    </pic:cNvPicPr>
                  </pic:nvPicPr>
                  <pic:blipFill>
                    <a:blip r:embed="rId13"/>
                    <a:srcRect/>
                    <a:stretch>
                      <a:fillRect/>
                    </a:stretch>
                  </pic:blipFill>
                  <pic:spPr>
                    <a:xfrm>
                      <a:off x="0" y="0"/>
                      <a:ext cx="7406640" cy="4935855"/>
                    </a:xfrm>
                    <a:prstGeom prst="rect">
                      <a:avLst/>
                    </a:prstGeom>
                  </pic:spPr>
                </pic:pic>
              </a:graphicData>
            </a:graphic>
          </wp:anchor>
        </w:drawing>
      </w:r>
      <w:r>
        <w:rPr>
          <w:rFonts w:hint="eastAsia" w:ascii="Times New Roman" w:hAnsi="Times New Roman" w:cs="Times New Roman"/>
          <w:b/>
          <w:bCs/>
          <w:sz w:val="24"/>
        </w:rPr>
        <w:t>图7：驿站营地分布图</w:t>
      </w:r>
      <w:r>
        <w:rPr>
          <w:rFonts w:hint="eastAsia" w:ascii="Times New Roman" w:hAnsi="Times New Roman" w:cs="Times New Roman"/>
          <w:b/>
          <w:bCs/>
          <w:sz w:val="24"/>
          <w:lang w:eastAsia="zh-CN"/>
        </w:rPr>
        <w:t>：</w:t>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B8518D"/>
    <w:multiLevelType w:val="singleLevel"/>
    <w:tmpl w:val="98B8518D"/>
    <w:lvl w:ilvl="0" w:tentative="0">
      <w:start w:val="4"/>
      <w:numFmt w:val="decimal"/>
      <w:lvlText w:val="%1."/>
      <w:lvlJc w:val="left"/>
      <w:pPr>
        <w:tabs>
          <w:tab w:val="left" w:pos="312"/>
        </w:tabs>
      </w:pPr>
    </w:lvl>
  </w:abstractNum>
  <w:abstractNum w:abstractNumId="1">
    <w:nsid w:val="00000005"/>
    <w:multiLevelType w:val="singleLevel"/>
    <w:tmpl w:val="00000005"/>
    <w:lvl w:ilvl="0" w:tentative="0">
      <w:start w:val="3"/>
      <w:numFmt w:val="chineseCounting"/>
      <w:suff w:val="nothing"/>
      <w:lvlText w:val="（%1）"/>
      <w:lvlJc w:val="left"/>
      <w:rPr>
        <w:rFonts w:hint="eastAsia"/>
      </w:rPr>
    </w:lvl>
  </w:abstractNum>
  <w:abstractNum w:abstractNumId="2">
    <w:nsid w:val="0000000A"/>
    <w:multiLevelType w:val="singleLevel"/>
    <w:tmpl w:val="0000000A"/>
    <w:lvl w:ilvl="0" w:tentative="0">
      <w:start w:val="4"/>
      <w:numFmt w:val="chineseCounting"/>
      <w:suff w:val="nothing"/>
      <w:lvlText w:val="（%1）"/>
      <w:lvlJc w:val="left"/>
      <w:pPr>
        <w:ind w:left="-60"/>
      </w:pPr>
    </w:lvl>
  </w:abstractNum>
  <w:abstractNum w:abstractNumId="3">
    <w:nsid w:val="44CC1BB3"/>
    <w:multiLevelType w:val="singleLevel"/>
    <w:tmpl w:val="44CC1BB3"/>
    <w:lvl w:ilvl="0" w:tentative="0">
      <w:start w:val="1"/>
      <w:numFmt w:val="decimal"/>
      <w:suff w:val="nothing"/>
      <w:lvlText w:val="（%1）"/>
      <w:lvlJc w:val="left"/>
    </w:lvl>
  </w:abstractNum>
  <w:abstractNum w:abstractNumId="4">
    <w:nsid w:val="75012C4F"/>
    <w:multiLevelType w:val="singleLevel"/>
    <w:tmpl w:val="75012C4F"/>
    <w:lvl w:ilvl="0" w:tentative="0">
      <w:start w:val="2"/>
      <w:numFmt w:val="decimal"/>
      <w:lvlText w:val="%1."/>
      <w:lvlJc w:val="left"/>
      <w:pPr>
        <w:tabs>
          <w:tab w:val="left" w:pos="312"/>
        </w:tabs>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ljNmMyZjRlNWEyZGJiYTZmZTYxODZjMzVjNmM5MDgifQ=="/>
  </w:docVars>
  <w:rsids>
    <w:rsidRoot w:val="00172A27"/>
    <w:rsid w:val="0001239D"/>
    <w:rsid w:val="000E6AFB"/>
    <w:rsid w:val="00105DB5"/>
    <w:rsid w:val="00157BFC"/>
    <w:rsid w:val="00172A27"/>
    <w:rsid w:val="00177E80"/>
    <w:rsid w:val="001C64C6"/>
    <w:rsid w:val="00213013"/>
    <w:rsid w:val="002A67C0"/>
    <w:rsid w:val="002A6EAB"/>
    <w:rsid w:val="002B0A63"/>
    <w:rsid w:val="00337F50"/>
    <w:rsid w:val="00363E85"/>
    <w:rsid w:val="00453842"/>
    <w:rsid w:val="00492481"/>
    <w:rsid w:val="00504F19"/>
    <w:rsid w:val="00550ABA"/>
    <w:rsid w:val="005879CC"/>
    <w:rsid w:val="005A0B1E"/>
    <w:rsid w:val="005A283E"/>
    <w:rsid w:val="005E3ADB"/>
    <w:rsid w:val="006420ED"/>
    <w:rsid w:val="00697F42"/>
    <w:rsid w:val="006E58F3"/>
    <w:rsid w:val="007604DB"/>
    <w:rsid w:val="00781CF4"/>
    <w:rsid w:val="007D6B74"/>
    <w:rsid w:val="007E0172"/>
    <w:rsid w:val="0081777B"/>
    <w:rsid w:val="00881D35"/>
    <w:rsid w:val="008F5E9A"/>
    <w:rsid w:val="009857FC"/>
    <w:rsid w:val="009F17CD"/>
    <w:rsid w:val="00A15931"/>
    <w:rsid w:val="00A4146C"/>
    <w:rsid w:val="00AB1176"/>
    <w:rsid w:val="00AB64F7"/>
    <w:rsid w:val="00B13D3E"/>
    <w:rsid w:val="00B4288B"/>
    <w:rsid w:val="00BA37B5"/>
    <w:rsid w:val="00BF35C0"/>
    <w:rsid w:val="00C2326E"/>
    <w:rsid w:val="00C41A3A"/>
    <w:rsid w:val="00C80E25"/>
    <w:rsid w:val="00CF3BE2"/>
    <w:rsid w:val="00D23D73"/>
    <w:rsid w:val="00DD7B35"/>
    <w:rsid w:val="00E31B06"/>
    <w:rsid w:val="00E76A1B"/>
    <w:rsid w:val="00EC3249"/>
    <w:rsid w:val="00EE211D"/>
    <w:rsid w:val="00FC0EAA"/>
    <w:rsid w:val="01C162FD"/>
    <w:rsid w:val="01C21387"/>
    <w:rsid w:val="01D37A67"/>
    <w:rsid w:val="01D61651"/>
    <w:rsid w:val="023C7AD1"/>
    <w:rsid w:val="024710FC"/>
    <w:rsid w:val="02545E28"/>
    <w:rsid w:val="02677589"/>
    <w:rsid w:val="027E4E34"/>
    <w:rsid w:val="02895B83"/>
    <w:rsid w:val="02F40272"/>
    <w:rsid w:val="035D47FB"/>
    <w:rsid w:val="03745FA8"/>
    <w:rsid w:val="03A643C2"/>
    <w:rsid w:val="040F6708"/>
    <w:rsid w:val="04127599"/>
    <w:rsid w:val="04174CD2"/>
    <w:rsid w:val="044E4930"/>
    <w:rsid w:val="046A011C"/>
    <w:rsid w:val="05252A24"/>
    <w:rsid w:val="05317581"/>
    <w:rsid w:val="053A49FC"/>
    <w:rsid w:val="05944690"/>
    <w:rsid w:val="06A928C9"/>
    <w:rsid w:val="071415C4"/>
    <w:rsid w:val="0717375D"/>
    <w:rsid w:val="07AD5E6F"/>
    <w:rsid w:val="07BA735A"/>
    <w:rsid w:val="07DA71D3"/>
    <w:rsid w:val="0801755F"/>
    <w:rsid w:val="08843074"/>
    <w:rsid w:val="08CD11DE"/>
    <w:rsid w:val="08FF13E4"/>
    <w:rsid w:val="0A0B361F"/>
    <w:rsid w:val="0A3F0742"/>
    <w:rsid w:val="0A7E45A1"/>
    <w:rsid w:val="0A8B459A"/>
    <w:rsid w:val="0AA35F22"/>
    <w:rsid w:val="0AA73B4E"/>
    <w:rsid w:val="0AAC62C2"/>
    <w:rsid w:val="0B642F31"/>
    <w:rsid w:val="0BA1439C"/>
    <w:rsid w:val="0BD517B6"/>
    <w:rsid w:val="0C3C786F"/>
    <w:rsid w:val="0CBE542C"/>
    <w:rsid w:val="0CF00138"/>
    <w:rsid w:val="0D3154AA"/>
    <w:rsid w:val="0DDD5181"/>
    <w:rsid w:val="0DFA5901"/>
    <w:rsid w:val="0E4E5980"/>
    <w:rsid w:val="0E68443F"/>
    <w:rsid w:val="0E8E3EED"/>
    <w:rsid w:val="0ED6567B"/>
    <w:rsid w:val="0F437C97"/>
    <w:rsid w:val="0F803667"/>
    <w:rsid w:val="0F82006B"/>
    <w:rsid w:val="0F823A04"/>
    <w:rsid w:val="0F830A71"/>
    <w:rsid w:val="0F9D7D5B"/>
    <w:rsid w:val="107A7288"/>
    <w:rsid w:val="107F7D00"/>
    <w:rsid w:val="10F30E74"/>
    <w:rsid w:val="11004116"/>
    <w:rsid w:val="11052878"/>
    <w:rsid w:val="1126518E"/>
    <w:rsid w:val="113E7636"/>
    <w:rsid w:val="11A34BA8"/>
    <w:rsid w:val="11A6743F"/>
    <w:rsid w:val="11CD1CB1"/>
    <w:rsid w:val="124F22A7"/>
    <w:rsid w:val="127C516F"/>
    <w:rsid w:val="128E147F"/>
    <w:rsid w:val="1333525F"/>
    <w:rsid w:val="13492C00"/>
    <w:rsid w:val="13552516"/>
    <w:rsid w:val="13E83CE7"/>
    <w:rsid w:val="13F97C3D"/>
    <w:rsid w:val="14554F56"/>
    <w:rsid w:val="145B7382"/>
    <w:rsid w:val="145D29CB"/>
    <w:rsid w:val="14684343"/>
    <w:rsid w:val="14A069A2"/>
    <w:rsid w:val="14F92659"/>
    <w:rsid w:val="15396F94"/>
    <w:rsid w:val="154E022A"/>
    <w:rsid w:val="157E0E4B"/>
    <w:rsid w:val="15967009"/>
    <w:rsid w:val="15FB5B13"/>
    <w:rsid w:val="1621255B"/>
    <w:rsid w:val="164C152C"/>
    <w:rsid w:val="16FA5E17"/>
    <w:rsid w:val="17026A96"/>
    <w:rsid w:val="1706456A"/>
    <w:rsid w:val="17291FFE"/>
    <w:rsid w:val="17307A72"/>
    <w:rsid w:val="174B1123"/>
    <w:rsid w:val="176F37B3"/>
    <w:rsid w:val="18430858"/>
    <w:rsid w:val="18461AC3"/>
    <w:rsid w:val="184B0F17"/>
    <w:rsid w:val="189D6552"/>
    <w:rsid w:val="19282080"/>
    <w:rsid w:val="19950C59"/>
    <w:rsid w:val="19D97C00"/>
    <w:rsid w:val="19E24559"/>
    <w:rsid w:val="19FB6F0E"/>
    <w:rsid w:val="1A0C256E"/>
    <w:rsid w:val="1A32138F"/>
    <w:rsid w:val="1A4D0EE1"/>
    <w:rsid w:val="1A587EBD"/>
    <w:rsid w:val="1A7760C0"/>
    <w:rsid w:val="1A98475D"/>
    <w:rsid w:val="1AA54E13"/>
    <w:rsid w:val="1ADF1E57"/>
    <w:rsid w:val="1AE14411"/>
    <w:rsid w:val="1AEC7D45"/>
    <w:rsid w:val="1AFD1C4B"/>
    <w:rsid w:val="1B011367"/>
    <w:rsid w:val="1B0159B3"/>
    <w:rsid w:val="1B203AF5"/>
    <w:rsid w:val="1B3B5405"/>
    <w:rsid w:val="1B693677"/>
    <w:rsid w:val="1B8D23FE"/>
    <w:rsid w:val="1BF359B6"/>
    <w:rsid w:val="1BFC2F7C"/>
    <w:rsid w:val="1C0104BC"/>
    <w:rsid w:val="1C0B16B0"/>
    <w:rsid w:val="1C1B7E68"/>
    <w:rsid w:val="1C3C2314"/>
    <w:rsid w:val="1C905084"/>
    <w:rsid w:val="1CC33274"/>
    <w:rsid w:val="1CC52012"/>
    <w:rsid w:val="1DA47423"/>
    <w:rsid w:val="1E0F6F7C"/>
    <w:rsid w:val="1E224878"/>
    <w:rsid w:val="1EF1499A"/>
    <w:rsid w:val="1F2A3734"/>
    <w:rsid w:val="1F5E4BE5"/>
    <w:rsid w:val="1F7E36AB"/>
    <w:rsid w:val="1FB75195"/>
    <w:rsid w:val="203A093D"/>
    <w:rsid w:val="21036B9E"/>
    <w:rsid w:val="21063319"/>
    <w:rsid w:val="21825711"/>
    <w:rsid w:val="22070872"/>
    <w:rsid w:val="227D3C7F"/>
    <w:rsid w:val="23D14CD5"/>
    <w:rsid w:val="249C37BD"/>
    <w:rsid w:val="24B52D5B"/>
    <w:rsid w:val="24B54049"/>
    <w:rsid w:val="254A47C3"/>
    <w:rsid w:val="25645895"/>
    <w:rsid w:val="25C11155"/>
    <w:rsid w:val="26063D52"/>
    <w:rsid w:val="2664767B"/>
    <w:rsid w:val="266B4D16"/>
    <w:rsid w:val="27067C3B"/>
    <w:rsid w:val="27171AAF"/>
    <w:rsid w:val="275735BB"/>
    <w:rsid w:val="27690A2C"/>
    <w:rsid w:val="276976BC"/>
    <w:rsid w:val="27F87A43"/>
    <w:rsid w:val="288531DD"/>
    <w:rsid w:val="28933086"/>
    <w:rsid w:val="28E62B08"/>
    <w:rsid w:val="290E74F2"/>
    <w:rsid w:val="2915311C"/>
    <w:rsid w:val="29533DF0"/>
    <w:rsid w:val="296817A5"/>
    <w:rsid w:val="298F31CF"/>
    <w:rsid w:val="29A55E19"/>
    <w:rsid w:val="29C812A9"/>
    <w:rsid w:val="29CB3C14"/>
    <w:rsid w:val="2A021B47"/>
    <w:rsid w:val="2A135DF4"/>
    <w:rsid w:val="2A140C33"/>
    <w:rsid w:val="2A9F2315"/>
    <w:rsid w:val="2B4E1E84"/>
    <w:rsid w:val="2BB006ED"/>
    <w:rsid w:val="2BCC15E7"/>
    <w:rsid w:val="2C286833"/>
    <w:rsid w:val="2C4B37BF"/>
    <w:rsid w:val="2C6C7605"/>
    <w:rsid w:val="2D23702D"/>
    <w:rsid w:val="2D4224C9"/>
    <w:rsid w:val="2D544047"/>
    <w:rsid w:val="2D6227E4"/>
    <w:rsid w:val="2D9A1B9C"/>
    <w:rsid w:val="2DB15DC6"/>
    <w:rsid w:val="2DBF6D70"/>
    <w:rsid w:val="2E0110A7"/>
    <w:rsid w:val="2E297188"/>
    <w:rsid w:val="2E3F0BBC"/>
    <w:rsid w:val="2E717D97"/>
    <w:rsid w:val="2F2553F7"/>
    <w:rsid w:val="2F381959"/>
    <w:rsid w:val="2F3A7D4C"/>
    <w:rsid w:val="2F777CE3"/>
    <w:rsid w:val="2F8E7EAC"/>
    <w:rsid w:val="2FD322E9"/>
    <w:rsid w:val="2FEF5773"/>
    <w:rsid w:val="30265C35"/>
    <w:rsid w:val="30454689"/>
    <w:rsid w:val="304C2E98"/>
    <w:rsid w:val="30806074"/>
    <w:rsid w:val="319B308C"/>
    <w:rsid w:val="339705B2"/>
    <w:rsid w:val="339A24B7"/>
    <w:rsid w:val="33DD5DAC"/>
    <w:rsid w:val="346401F2"/>
    <w:rsid w:val="34A363EC"/>
    <w:rsid w:val="34E03ECA"/>
    <w:rsid w:val="354E27E0"/>
    <w:rsid w:val="356D55DE"/>
    <w:rsid w:val="35915541"/>
    <w:rsid w:val="359B05D9"/>
    <w:rsid w:val="35DE1DEA"/>
    <w:rsid w:val="36127F24"/>
    <w:rsid w:val="3682515C"/>
    <w:rsid w:val="36A47995"/>
    <w:rsid w:val="36D67B0B"/>
    <w:rsid w:val="36DD69D5"/>
    <w:rsid w:val="36DD6EDD"/>
    <w:rsid w:val="37700931"/>
    <w:rsid w:val="37DC488A"/>
    <w:rsid w:val="37E11F07"/>
    <w:rsid w:val="37E90A96"/>
    <w:rsid w:val="384A4638"/>
    <w:rsid w:val="384F7D4E"/>
    <w:rsid w:val="387E18EF"/>
    <w:rsid w:val="38CA73D3"/>
    <w:rsid w:val="38EB7A49"/>
    <w:rsid w:val="391168F0"/>
    <w:rsid w:val="395B14CB"/>
    <w:rsid w:val="398C56B9"/>
    <w:rsid w:val="39977D1B"/>
    <w:rsid w:val="3A936B83"/>
    <w:rsid w:val="3B004B28"/>
    <w:rsid w:val="3B4E5DAA"/>
    <w:rsid w:val="3B8E2376"/>
    <w:rsid w:val="3B9773EF"/>
    <w:rsid w:val="3B9909D6"/>
    <w:rsid w:val="3BE91A92"/>
    <w:rsid w:val="3C1772A3"/>
    <w:rsid w:val="3C3961CF"/>
    <w:rsid w:val="3C61647A"/>
    <w:rsid w:val="3C7011CC"/>
    <w:rsid w:val="3C761DED"/>
    <w:rsid w:val="3CE05D09"/>
    <w:rsid w:val="3D24161C"/>
    <w:rsid w:val="3E0B0A8A"/>
    <w:rsid w:val="3E2512FA"/>
    <w:rsid w:val="3E257B8F"/>
    <w:rsid w:val="3E263430"/>
    <w:rsid w:val="3EF9145C"/>
    <w:rsid w:val="3F071447"/>
    <w:rsid w:val="3F1B775E"/>
    <w:rsid w:val="3F314502"/>
    <w:rsid w:val="407273E9"/>
    <w:rsid w:val="407B02E8"/>
    <w:rsid w:val="407E0473"/>
    <w:rsid w:val="40C34C45"/>
    <w:rsid w:val="40C85D5F"/>
    <w:rsid w:val="40F97F42"/>
    <w:rsid w:val="40FC4F8F"/>
    <w:rsid w:val="41423556"/>
    <w:rsid w:val="41626F4D"/>
    <w:rsid w:val="41C07C99"/>
    <w:rsid w:val="41CF3430"/>
    <w:rsid w:val="42124A9F"/>
    <w:rsid w:val="425A1B03"/>
    <w:rsid w:val="42AE7A6E"/>
    <w:rsid w:val="42F409F3"/>
    <w:rsid w:val="43065FDE"/>
    <w:rsid w:val="43217FC6"/>
    <w:rsid w:val="43B2269E"/>
    <w:rsid w:val="43DA5440"/>
    <w:rsid w:val="44557AF4"/>
    <w:rsid w:val="449B0CFD"/>
    <w:rsid w:val="44B10A17"/>
    <w:rsid w:val="45295C0E"/>
    <w:rsid w:val="459525E6"/>
    <w:rsid w:val="45F54D03"/>
    <w:rsid w:val="461F6C83"/>
    <w:rsid w:val="46276CCF"/>
    <w:rsid w:val="462A635D"/>
    <w:rsid w:val="46335FC7"/>
    <w:rsid w:val="469E754D"/>
    <w:rsid w:val="46BE3E80"/>
    <w:rsid w:val="47641362"/>
    <w:rsid w:val="47DA1853"/>
    <w:rsid w:val="47DD4A2D"/>
    <w:rsid w:val="47F01007"/>
    <w:rsid w:val="492C427F"/>
    <w:rsid w:val="49576D8D"/>
    <w:rsid w:val="49A94C55"/>
    <w:rsid w:val="49FA70CF"/>
    <w:rsid w:val="4A183412"/>
    <w:rsid w:val="4A2B492B"/>
    <w:rsid w:val="4AB9507B"/>
    <w:rsid w:val="4ACC4E1E"/>
    <w:rsid w:val="4ADD4ECD"/>
    <w:rsid w:val="4B4C5EE0"/>
    <w:rsid w:val="4B4E7475"/>
    <w:rsid w:val="4B8600DF"/>
    <w:rsid w:val="4BA37A6E"/>
    <w:rsid w:val="4BE84ECC"/>
    <w:rsid w:val="4C374F80"/>
    <w:rsid w:val="4D314CA1"/>
    <w:rsid w:val="4D3312DA"/>
    <w:rsid w:val="4E2B439B"/>
    <w:rsid w:val="4F1D08C1"/>
    <w:rsid w:val="4F45577A"/>
    <w:rsid w:val="4F4C4429"/>
    <w:rsid w:val="4F4F277B"/>
    <w:rsid w:val="4F572568"/>
    <w:rsid w:val="4FF97F80"/>
    <w:rsid w:val="4FFA4F75"/>
    <w:rsid w:val="5068092F"/>
    <w:rsid w:val="506E4221"/>
    <w:rsid w:val="508277B2"/>
    <w:rsid w:val="50D52CD9"/>
    <w:rsid w:val="50EB661D"/>
    <w:rsid w:val="51055E0D"/>
    <w:rsid w:val="51073564"/>
    <w:rsid w:val="514D526B"/>
    <w:rsid w:val="51534B48"/>
    <w:rsid w:val="518C1AB0"/>
    <w:rsid w:val="51F471EE"/>
    <w:rsid w:val="51FD2F12"/>
    <w:rsid w:val="525F6F4E"/>
    <w:rsid w:val="527479DB"/>
    <w:rsid w:val="529E00E3"/>
    <w:rsid w:val="530938BF"/>
    <w:rsid w:val="5314047A"/>
    <w:rsid w:val="53296FF1"/>
    <w:rsid w:val="533C6AD4"/>
    <w:rsid w:val="538E6696"/>
    <w:rsid w:val="539927B3"/>
    <w:rsid w:val="53A40422"/>
    <w:rsid w:val="53E92FC3"/>
    <w:rsid w:val="53F720D8"/>
    <w:rsid w:val="53FE2C2C"/>
    <w:rsid w:val="541C2AC3"/>
    <w:rsid w:val="546F31EE"/>
    <w:rsid w:val="548D33E6"/>
    <w:rsid w:val="54FE01C0"/>
    <w:rsid w:val="55280A0A"/>
    <w:rsid w:val="55A600E4"/>
    <w:rsid w:val="55F362DA"/>
    <w:rsid w:val="56354709"/>
    <w:rsid w:val="566D5C96"/>
    <w:rsid w:val="567912F6"/>
    <w:rsid w:val="5706413C"/>
    <w:rsid w:val="5716244E"/>
    <w:rsid w:val="573056B7"/>
    <w:rsid w:val="575D1AE2"/>
    <w:rsid w:val="57BA74AF"/>
    <w:rsid w:val="57DB5FE1"/>
    <w:rsid w:val="57E16498"/>
    <w:rsid w:val="57E4795D"/>
    <w:rsid w:val="57FD6FAF"/>
    <w:rsid w:val="580F1A09"/>
    <w:rsid w:val="58383438"/>
    <w:rsid w:val="58477802"/>
    <w:rsid w:val="58577668"/>
    <w:rsid w:val="58C907BF"/>
    <w:rsid w:val="58CE53CC"/>
    <w:rsid w:val="58E17454"/>
    <w:rsid w:val="59576DCC"/>
    <w:rsid w:val="595A1DB0"/>
    <w:rsid w:val="595E2967"/>
    <w:rsid w:val="59F35868"/>
    <w:rsid w:val="5A0E6666"/>
    <w:rsid w:val="5A833937"/>
    <w:rsid w:val="5AC13AB1"/>
    <w:rsid w:val="5AF1687E"/>
    <w:rsid w:val="5B15397A"/>
    <w:rsid w:val="5B16253F"/>
    <w:rsid w:val="5B5F0DD2"/>
    <w:rsid w:val="5B6753B6"/>
    <w:rsid w:val="5B72780A"/>
    <w:rsid w:val="5BA37331"/>
    <w:rsid w:val="5BA74B85"/>
    <w:rsid w:val="5BEB19EF"/>
    <w:rsid w:val="5CE1721C"/>
    <w:rsid w:val="5CE27ED9"/>
    <w:rsid w:val="5D3571E2"/>
    <w:rsid w:val="5D7A21D3"/>
    <w:rsid w:val="5DBA1DEB"/>
    <w:rsid w:val="5DD05F42"/>
    <w:rsid w:val="5DFD7429"/>
    <w:rsid w:val="5E017217"/>
    <w:rsid w:val="5E407CAB"/>
    <w:rsid w:val="5E7435CC"/>
    <w:rsid w:val="5ED22A80"/>
    <w:rsid w:val="5F07527F"/>
    <w:rsid w:val="5F1E6F8F"/>
    <w:rsid w:val="60660F0F"/>
    <w:rsid w:val="60700B52"/>
    <w:rsid w:val="60733D0D"/>
    <w:rsid w:val="60C633A1"/>
    <w:rsid w:val="60F141AB"/>
    <w:rsid w:val="6138318E"/>
    <w:rsid w:val="61525649"/>
    <w:rsid w:val="617C46AD"/>
    <w:rsid w:val="6195615D"/>
    <w:rsid w:val="61FE2B31"/>
    <w:rsid w:val="62281D55"/>
    <w:rsid w:val="62595B4D"/>
    <w:rsid w:val="62E32695"/>
    <w:rsid w:val="63066CC4"/>
    <w:rsid w:val="63637B9D"/>
    <w:rsid w:val="63CC500E"/>
    <w:rsid w:val="63EA7830"/>
    <w:rsid w:val="63EF4998"/>
    <w:rsid w:val="646D281F"/>
    <w:rsid w:val="64925E40"/>
    <w:rsid w:val="64A00083"/>
    <w:rsid w:val="64D8573E"/>
    <w:rsid w:val="64E313B8"/>
    <w:rsid w:val="64EB7426"/>
    <w:rsid w:val="650C21B8"/>
    <w:rsid w:val="651D13DE"/>
    <w:rsid w:val="652C5121"/>
    <w:rsid w:val="65931376"/>
    <w:rsid w:val="65981D2F"/>
    <w:rsid w:val="659D68FE"/>
    <w:rsid w:val="65A00098"/>
    <w:rsid w:val="65B63E33"/>
    <w:rsid w:val="65D42821"/>
    <w:rsid w:val="668444AE"/>
    <w:rsid w:val="66C67529"/>
    <w:rsid w:val="66FE733A"/>
    <w:rsid w:val="67354191"/>
    <w:rsid w:val="67F83138"/>
    <w:rsid w:val="68423CE7"/>
    <w:rsid w:val="68700841"/>
    <w:rsid w:val="68E23AD2"/>
    <w:rsid w:val="68EB475F"/>
    <w:rsid w:val="691845B1"/>
    <w:rsid w:val="6AC45991"/>
    <w:rsid w:val="6AC747D9"/>
    <w:rsid w:val="6B04487D"/>
    <w:rsid w:val="6B0D131E"/>
    <w:rsid w:val="6B327E4E"/>
    <w:rsid w:val="6B674A74"/>
    <w:rsid w:val="6BBA137E"/>
    <w:rsid w:val="6C9471B2"/>
    <w:rsid w:val="6CE07663"/>
    <w:rsid w:val="6CE468B0"/>
    <w:rsid w:val="6D087225"/>
    <w:rsid w:val="6D7969F3"/>
    <w:rsid w:val="6D864052"/>
    <w:rsid w:val="6D8F2FAA"/>
    <w:rsid w:val="6E005C45"/>
    <w:rsid w:val="6E115CF3"/>
    <w:rsid w:val="6E1B4663"/>
    <w:rsid w:val="6E2B5B53"/>
    <w:rsid w:val="6E2C5253"/>
    <w:rsid w:val="6E6441A0"/>
    <w:rsid w:val="6ED01AFD"/>
    <w:rsid w:val="6F3D12B1"/>
    <w:rsid w:val="6FE31FFF"/>
    <w:rsid w:val="6FE5775E"/>
    <w:rsid w:val="70104BF2"/>
    <w:rsid w:val="701D39BA"/>
    <w:rsid w:val="701F67C1"/>
    <w:rsid w:val="707F1588"/>
    <w:rsid w:val="71076099"/>
    <w:rsid w:val="7115472D"/>
    <w:rsid w:val="712E0213"/>
    <w:rsid w:val="71461C5F"/>
    <w:rsid w:val="714D7B72"/>
    <w:rsid w:val="71520953"/>
    <w:rsid w:val="71924C3F"/>
    <w:rsid w:val="71E54D79"/>
    <w:rsid w:val="71F412AF"/>
    <w:rsid w:val="7218303B"/>
    <w:rsid w:val="72523F06"/>
    <w:rsid w:val="729B5457"/>
    <w:rsid w:val="72A96886"/>
    <w:rsid w:val="72AD6EFB"/>
    <w:rsid w:val="72B92598"/>
    <w:rsid w:val="72D75D9A"/>
    <w:rsid w:val="731008AD"/>
    <w:rsid w:val="734F1795"/>
    <w:rsid w:val="736577C9"/>
    <w:rsid w:val="7390003E"/>
    <w:rsid w:val="739861E8"/>
    <w:rsid w:val="73BB4CF6"/>
    <w:rsid w:val="73C86762"/>
    <w:rsid w:val="74474CBF"/>
    <w:rsid w:val="744F569C"/>
    <w:rsid w:val="74B70983"/>
    <w:rsid w:val="74C22F8B"/>
    <w:rsid w:val="75107520"/>
    <w:rsid w:val="759E1F00"/>
    <w:rsid w:val="76904F65"/>
    <w:rsid w:val="76C065CC"/>
    <w:rsid w:val="77023088"/>
    <w:rsid w:val="7703705D"/>
    <w:rsid w:val="778721F7"/>
    <w:rsid w:val="77FC2EF0"/>
    <w:rsid w:val="78B6588F"/>
    <w:rsid w:val="78DF5CBE"/>
    <w:rsid w:val="78E00B8F"/>
    <w:rsid w:val="796053F7"/>
    <w:rsid w:val="79C433A8"/>
    <w:rsid w:val="79CB7834"/>
    <w:rsid w:val="7A0069B5"/>
    <w:rsid w:val="7A207830"/>
    <w:rsid w:val="7A7948F2"/>
    <w:rsid w:val="7A840D7E"/>
    <w:rsid w:val="7AAE6E64"/>
    <w:rsid w:val="7ABF532A"/>
    <w:rsid w:val="7ADF0565"/>
    <w:rsid w:val="7B5C73B0"/>
    <w:rsid w:val="7B812A38"/>
    <w:rsid w:val="7B96067B"/>
    <w:rsid w:val="7BAF7F93"/>
    <w:rsid w:val="7C8616C2"/>
    <w:rsid w:val="7CB25C35"/>
    <w:rsid w:val="7CD733D7"/>
    <w:rsid w:val="7D310BCF"/>
    <w:rsid w:val="7D34166A"/>
    <w:rsid w:val="7E6718D4"/>
    <w:rsid w:val="7E6A798C"/>
    <w:rsid w:val="7EA44A80"/>
    <w:rsid w:val="7F2F643A"/>
    <w:rsid w:val="7F3C5616"/>
    <w:rsid w:val="7F764757"/>
    <w:rsid w:val="7F7E7500"/>
    <w:rsid w:val="7FB211DF"/>
    <w:rsid w:val="7FD137A0"/>
    <w:rsid w:val="7FEE7FCD"/>
    <w:rsid w:val="7FF821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360" w:lineRule="auto"/>
      <w:jc w:val="center"/>
      <w:outlineLvl w:val="0"/>
    </w:pPr>
    <w:rPr>
      <w:rFonts w:eastAsia="宋体"/>
      <w:b/>
      <w:kern w:val="44"/>
      <w:sz w:val="32"/>
    </w:rPr>
  </w:style>
  <w:style w:type="paragraph" w:styleId="3">
    <w:name w:val="heading 2"/>
    <w:basedOn w:val="1"/>
    <w:next w:val="1"/>
    <w:link w:val="23"/>
    <w:qFormat/>
    <w:uiPriority w:val="0"/>
    <w:pPr>
      <w:keepNext/>
      <w:keepLines/>
      <w:spacing w:line="360" w:lineRule="auto"/>
      <w:ind w:firstLine="561"/>
      <w:outlineLvl w:val="1"/>
    </w:pPr>
    <w:rPr>
      <w:rFonts w:ascii="Arial" w:hAnsi="Arial" w:eastAsia="黑体"/>
      <w:sz w:val="28"/>
    </w:rPr>
  </w:style>
  <w:style w:type="paragraph" w:styleId="4">
    <w:name w:val="heading 3"/>
    <w:basedOn w:val="1"/>
    <w:next w:val="1"/>
    <w:qFormat/>
    <w:uiPriority w:val="0"/>
    <w:pPr>
      <w:keepNext/>
      <w:keepLines/>
      <w:spacing w:line="360" w:lineRule="auto"/>
      <w:ind w:firstLine="1120" w:firstLineChars="200"/>
      <w:outlineLvl w:val="2"/>
    </w:pPr>
    <w:rPr>
      <w:rFonts w:eastAsia="黑体"/>
      <w:sz w:val="24"/>
    </w:rPr>
  </w:style>
  <w:style w:type="paragraph" w:styleId="5">
    <w:name w:val="heading 4"/>
    <w:basedOn w:val="1"/>
    <w:next w:val="1"/>
    <w:link w:val="24"/>
    <w:unhideWhenUsed/>
    <w:qFormat/>
    <w:uiPriority w:val="0"/>
    <w:pPr>
      <w:keepNext/>
      <w:keepLines/>
      <w:spacing w:before="280" w:after="290"/>
      <w:ind w:firstLine="562" w:firstLineChars="200"/>
      <w:outlineLvl w:val="3"/>
    </w:pPr>
    <w:rPr>
      <w:rFonts w:ascii="Arial" w:hAnsi="Arial" w:eastAsia="宋体"/>
      <w:b/>
      <w:sz w:val="24"/>
    </w:rPr>
  </w:style>
  <w:style w:type="paragraph" w:styleId="6">
    <w:name w:val="heading 5"/>
    <w:basedOn w:val="1"/>
    <w:next w:val="1"/>
    <w:unhideWhenUsed/>
    <w:qFormat/>
    <w:uiPriority w:val="0"/>
    <w:pPr>
      <w:keepNext/>
      <w:keepLines/>
      <w:spacing w:before="280" w:after="290" w:line="360" w:lineRule="auto"/>
      <w:outlineLvl w:val="4"/>
    </w:pPr>
    <w:rPr>
      <w:rFonts w:eastAsia="宋体"/>
      <w:b/>
      <w:sz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7">
    <w:name w:val="caption"/>
    <w:basedOn w:val="1"/>
    <w:next w:val="1"/>
    <w:qFormat/>
    <w:uiPriority w:val="35"/>
    <w:rPr>
      <w:rFonts w:ascii="Calibri Light" w:hAnsi="Calibri Light" w:eastAsia="黑体" w:cs="Times New Roman"/>
      <w:sz w:val="20"/>
      <w:szCs w:val="20"/>
    </w:rPr>
  </w:style>
  <w:style w:type="paragraph" w:styleId="8">
    <w:name w:val="annotation text"/>
    <w:basedOn w:val="1"/>
    <w:qFormat/>
    <w:uiPriority w:val="0"/>
    <w:pPr>
      <w:jc w:val="left"/>
    </w:pPr>
  </w:style>
  <w:style w:type="paragraph" w:styleId="9">
    <w:name w:val="Body Text"/>
    <w:basedOn w:val="1"/>
    <w:qFormat/>
    <w:uiPriority w:val="0"/>
    <w:pPr>
      <w:spacing w:after="120"/>
    </w:pPr>
  </w:style>
  <w:style w:type="paragraph" w:styleId="10">
    <w:name w:val="toc 3"/>
    <w:basedOn w:val="1"/>
    <w:next w:val="1"/>
    <w:qFormat/>
    <w:uiPriority w:val="39"/>
    <w:pPr>
      <w:ind w:left="840" w:leftChars="400"/>
    </w:pPr>
  </w:style>
  <w:style w:type="paragraph" w:styleId="11">
    <w:name w:val="Balloon Text"/>
    <w:basedOn w:val="1"/>
    <w:link w:val="25"/>
    <w:qFormat/>
    <w:uiPriority w:val="0"/>
    <w:rPr>
      <w:sz w:val="18"/>
      <w:szCs w:val="18"/>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qFormat/>
    <w:uiPriority w:val="39"/>
  </w:style>
  <w:style w:type="paragraph" w:styleId="15">
    <w:name w:val="toc 2"/>
    <w:basedOn w:val="1"/>
    <w:next w:val="1"/>
    <w:qFormat/>
    <w:uiPriority w:val="39"/>
    <w:pPr>
      <w:ind w:left="420" w:leftChars="200"/>
    </w:pPr>
  </w:style>
  <w:style w:type="paragraph" w:styleId="16">
    <w:name w:val="Normal (Web)"/>
    <w:basedOn w:val="1"/>
    <w:qFormat/>
    <w:uiPriority w:val="0"/>
    <w:pPr>
      <w:spacing w:beforeAutospacing="1" w:afterAutospacing="1"/>
      <w:jc w:val="left"/>
    </w:pPr>
    <w:rPr>
      <w:rFonts w:cs="Times New Roman"/>
      <w:kern w:val="0"/>
      <w:sz w:val="24"/>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uiPriority w:val="0"/>
    <w:rPr>
      <w:b/>
    </w:rPr>
  </w:style>
  <w:style w:type="character" w:styleId="21">
    <w:name w:val="FollowedHyperlink"/>
    <w:basedOn w:val="19"/>
    <w:qFormat/>
    <w:uiPriority w:val="0"/>
    <w:rPr>
      <w:color w:val="000000"/>
      <w:sz w:val="14"/>
      <w:szCs w:val="14"/>
      <w:u w:val="none"/>
    </w:rPr>
  </w:style>
  <w:style w:type="character" w:styleId="22">
    <w:name w:val="Hyperlink"/>
    <w:basedOn w:val="19"/>
    <w:qFormat/>
    <w:uiPriority w:val="99"/>
    <w:rPr>
      <w:color w:val="0000FF"/>
      <w:u w:val="single"/>
    </w:rPr>
  </w:style>
  <w:style w:type="character" w:customStyle="1" w:styleId="23">
    <w:name w:val="标题 2 Char"/>
    <w:link w:val="3"/>
    <w:qFormat/>
    <w:uiPriority w:val="0"/>
    <w:rPr>
      <w:rFonts w:ascii="Arial" w:hAnsi="Arial" w:eastAsia="黑体"/>
      <w:sz w:val="28"/>
    </w:rPr>
  </w:style>
  <w:style w:type="character" w:customStyle="1" w:styleId="24">
    <w:name w:val="标题 4 Char"/>
    <w:link w:val="5"/>
    <w:qFormat/>
    <w:uiPriority w:val="0"/>
    <w:rPr>
      <w:rFonts w:ascii="Arial" w:hAnsi="Arial" w:eastAsia="宋体"/>
      <w:b/>
      <w:sz w:val="24"/>
    </w:rPr>
  </w:style>
  <w:style w:type="character" w:customStyle="1" w:styleId="25">
    <w:name w:val="批注框文本 Char"/>
    <w:basedOn w:val="19"/>
    <w:link w:val="11"/>
    <w:qFormat/>
    <w:uiPriority w:val="0"/>
    <w:rPr>
      <w:rFonts w:asciiTheme="minorHAnsi" w:hAnsiTheme="minorHAnsi" w:eastAsiaTheme="minorEastAsia" w:cstheme="minorBidi"/>
      <w:kern w:val="2"/>
      <w:sz w:val="18"/>
      <w:szCs w:val="18"/>
    </w:rPr>
  </w:style>
  <w:style w:type="paragraph" w:customStyle="1" w:styleId="26">
    <w:name w:val="WPSOffice手动目录 1"/>
    <w:qFormat/>
    <w:uiPriority w:val="0"/>
    <w:rPr>
      <w:rFonts w:ascii="Times New Roman" w:hAnsi="Times New Roman" w:eastAsia="宋体" w:cs="Times New Roman"/>
      <w:lang w:val="en-US" w:eastAsia="zh-CN" w:bidi="ar-SA"/>
    </w:rPr>
  </w:style>
  <w:style w:type="paragraph" w:customStyle="1" w:styleId="2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8">
    <w:name w:val="WPSOffice手动目录 3"/>
    <w:qFormat/>
    <w:uiPriority w:val="0"/>
    <w:pPr>
      <w:ind w:left="400" w:leftChars="400"/>
    </w:pPr>
    <w:rPr>
      <w:rFonts w:asciiTheme="minorHAnsi" w:hAnsiTheme="minorHAnsi" w:eastAsiaTheme="minorEastAsia" w:cstheme="minorBidi"/>
      <w:lang w:val="en-US" w:eastAsia="zh-CN" w:bidi="ar-SA"/>
    </w:rPr>
  </w:style>
  <w:style w:type="paragraph" w:styleId="29">
    <w:name w:val="List Paragraph"/>
    <w:basedOn w:val="1"/>
    <w:unhideWhenUsed/>
    <w:qFormat/>
    <w:uiPriority w:val="99"/>
    <w:pPr>
      <w:ind w:firstLine="420" w:firstLineChars="200"/>
    </w:pPr>
  </w:style>
  <w:style w:type="character" w:customStyle="1" w:styleId="30">
    <w:name w:val="font31"/>
    <w:basedOn w:val="19"/>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chart" Target="charts/chart2.xml"/><Relationship Id="rId5" Type="http://schemas.openxmlformats.org/officeDocument/2006/relationships/chart" Target="charts/chart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manualLayout>
          <c:layoutTarget val="inner"/>
          <c:xMode val="edge"/>
          <c:yMode val="edge"/>
          <c:x val="0.0469685154921701"/>
          <c:y val="0.0560258342993167"/>
          <c:w val="0.572612980011446"/>
          <c:h val="0.781528796314648"/>
        </c:manualLayout>
      </c:layout>
      <c:barChart>
        <c:barDir val="col"/>
        <c:grouping val="clustered"/>
        <c:varyColors val="0"/>
        <c:ser>
          <c:idx val="0"/>
          <c:order val="0"/>
          <c:tx>
            <c:strRef>
              <c:f>Sheet1!$B$1</c:f>
              <c:strCache>
                <c:ptCount val="1"/>
                <c:pt idx="0">
                  <c:v>旅游总人次（十万人次）</c:v>
                </c:pt>
              </c:strCache>
            </c:strRef>
          </c:tx>
          <c:spPr>
            <a:solidFill>
              <a:srgbClr val="E6B9B8">
                <a:lumMod val="40000"/>
                <a:lumOff val="60000"/>
              </a:srgb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953735">
                        <a:lumMod val="75000"/>
                      </a:srgb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0_ </c:formatCode>
                <c:ptCount val="5"/>
                <c:pt idx="0">
                  <c:v>28</c:v>
                </c:pt>
                <c:pt idx="1">
                  <c:v>36.3042</c:v>
                </c:pt>
                <c:pt idx="2">
                  <c:v>41.04</c:v>
                </c:pt>
                <c:pt idx="3">
                  <c:v>46.33</c:v>
                </c:pt>
                <c:pt idx="4">
                  <c:v>32</c:v>
                </c:pt>
              </c:numCache>
            </c:numRef>
          </c:val>
        </c:ser>
        <c:ser>
          <c:idx val="1"/>
          <c:order val="1"/>
          <c:tx>
            <c:strRef>
              <c:f>Sheet1!$C$1</c:f>
              <c:strCache>
                <c:ptCount val="1"/>
                <c:pt idx="0">
                  <c:v>旅游总收入（亿元）</c:v>
                </c:pt>
              </c:strCache>
            </c:strRef>
          </c:tx>
          <c:spPr>
            <a:solidFill>
              <a:srgbClr val="77933C">
                <a:lumMod val="75000"/>
              </a:srgb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4F6228">
                        <a:lumMod val="50000"/>
                      </a:srgb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Sheet1!$A$2:$A$6</c:f>
              <c:numCache>
                <c:formatCode>General</c:formatCode>
                <c:ptCount val="5"/>
                <c:pt idx="0">
                  <c:v>2016</c:v>
                </c:pt>
                <c:pt idx="1">
                  <c:v>2017</c:v>
                </c:pt>
                <c:pt idx="2">
                  <c:v>2018</c:v>
                </c:pt>
                <c:pt idx="3">
                  <c:v>2019</c:v>
                </c:pt>
                <c:pt idx="4">
                  <c:v>2020</c:v>
                </c:pt>
              </c:numCache>
            </c:numRef>
          </c:cat>
          <c:val>
            <c:numRef>
              <c:f>Sheet1!$C$2:$C$6</c:f>
              <c:numCache>
                <c:formatCode>0_ </c:formatCode>
                <c:ptCount val="5"/>
                <c:pt idx="0">
                  <c:v>32</c:v>
                </c:pt>
                <c:pt idx="1">
                  <c:v>40.01</c:v>
                </c:pt>
                <c:pt idx="2">
                  <c:v>46.22</c:v>
                </c:pt>
                <c:pt idx="3">
                  <c:v>53.2</c:v>
                </c:pt>
                <c:pt idx="4">
                  <c:v>32</c:v>
                </c:pt>
              </c:numCache>
            </c:numRef>
          </c:val>
        </c:ser>
        <c:dLbls>
          <c:showLegendKey val="0"/>
          <c:showVal val="0"/>
          <c:showCatName val="0"/>
          <c:showSerName val="0"/>
          <c:showPercent val="0"/>
          <c:showBubbleSize val="0"/>
        </c:dLbls>
        <c:gapWidth val="150"/>
        <c:axId val="368434176"/>
        <c:axId val="383251200"/>
      </c:barChart>
      <c:catAx>
        <c:axId val="368434176"/>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383251200"/>
        <c:crosses val="autoZero"/>
        <c:auto val="1"/>
        <c:lblAlgn val="ctr"/>
        <c:lblOffset val="100"/>
        <c:noMultiLvlLbl val="0"/>
      </c:catAx>
      <c:valAx>
        <c:axId val="383251200"/>
        <c:scaling>
          <c:orientation val="minMax"/>
        </c:scaling>
        <c:delete val="0"/>
        <c:axPos val="l"/>
        <c:majorGridlines/>
        <c:numFmt formatCode="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368434176"/>
        <c:crosses val="autoZero"/>
        <c:crossBetween val="between"/>
      </c:valAx>
      <c:spPr>
        <a:ln>
          <a:noFill/>
        </a:ln>
      </c:spPr>
    </c:plotArea>
    <c:legend>
      <c:legendPos val="r"/>
      <c:legendEntry>
        <c:idx val="0"/>
        <c:txPr>
          <a:bodyPr rot="0" spcFirstLastPara="0" vertOverflow="ellipsis" vert="horz" wrap="square" anchor="ctr" anchorCtr="1"/>
          <a:lstStyle/>
          <a:p>
            <a:pPr>
              <a:defRPr lang="zh-CN" sz="1050" b="0" i="0" u="none" strike="noStrike" kern="1200" baseline="0">
                <a:solidFill>
                  <a:srgbClr val="000000"/>
                </a:solidFill>
                <a:latin typeface="+mn-lt"/>
                <a:ea typeface="+mn-ea"/>
                <a:cs typeface="+mn-cs"/>
              </a:defRPr>
            </a:pPr>
          </a:p>
        </c:txPr>
      </c:legendEntry>
      <c:legendEntry>
        <c:idx val="1"/>
        <c:txPr>
          <a:bodyPr rot="0" spcFirstLastPara="0" vertOverflow="ellipsis" vert="horz" wrap="square" anchor="ctr" anchorCtr="1"/>
          <a:lstStyle/>
          <a:p>
            <a:pPr>
              <a:defRPr lang="zh-CN" sz="1050" b="0" i="0" u="none" strike="noStrike" kern="1200" baseline="0">
                <a:solidFill>
                  <a:srgbClr val="000000"/>
                </a:solidFill>
                <a:latin typeface="+mn-lt"/>
                <a:ea typeface="+mn-ea"/>
                <a:cs typeface="+mn-cs"/>
              </a:defRPr>
            </a:pPr>
          </a:p>
        </c:txPr>
      </c:legendEntry>
      <c:layout>
        <c:manualLayout>
          <c:xMode val="edge"/>
          <c:yMode val="edge"/>
          <c:x val="0.730514297602938"/>
          <c:y val="0.347111393181521"/>
          <c:w val="0.256946955103784"/>
          <c:h val="0.513957930345479"/>
        </c:manualLayout>
      </c:layout>
      <c:overlay val="0"/>
      <c:txPr>
        <a:bodyPr rot="0" spcFirstLastPara="0" vertOverflow="ellipsis" vert="horz" wrap="square" anchor="ctr" anchorCtr="1"/>
        <a:lstStyle/>
        <a:p>
          <a:pPr>
            <a:defRPr lang="zh-CN" sz="1050" b="0" i="0" u="none" strike="noStrike" kern="1200" baseline="0">
              <a:solidFill>
                <a:srgbClr val="000000"/>
              </a:solidFill>
              <a:latin typeface="+mn-lt"/>
              <a:ea typeface="+mn-ea"/>
              <a:cs typeface="+mn-cs"/>
            </a:defRPr>
          </a:pPr>
        </a:p>
      </c:txPr>
    </c:legend>
    <c:plotVisOnly val="1"/>
    <c:dispBlanksAs val="gap"/>
    <c:showDLblsOverMax val="0"/>
  </c:chart>
  <c:spPr>
    <a:noFill/>
    <a:ln w="9525"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manualLayout>
          <c:layoutTarget val="inner"/>
          <c:xMode val="edge"/>
          <c:yMode val="edge"/>
          <c:x val="0.0469685154921701"/>
          <c:y val="0.0560258342993167"/>
          <c:w val="0.572612980011446"/>
          <c:h val="0.781528796314648"/>
        </c:manualLayout>
      </c:layout>
      <c:barChart>
        <c:barDir val="col"/>
        <c:grouping val="clustered"/>
        <c:varyColors val="0"/>
        <c:ser>
          <c:idx val="0"/>
          <c:order val="0"/>
          <c:tx>
            <c:strRef>
              <c:f>Sheet1!$B$1</c:f>
              <c:strCache>
                <c:ptCount val="1"/>
                <c:pt idx="0">
                  <c:v>旅游总人次增长率</c:v>
                </c:pt>
              </c:strCache>
            </c:strRef>
          </c:tx>
          <c:spPr>
            <a:solidFill>
              <a:srgbClr val="E6B9B8">
                <a:lumMod val="40000"/>
                <a:lumOff val="60000"/>
              </a:srgb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953735">
                        <a:lumMod val="75000"/>
                      </a:srgb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0.00%</c:formatCode>
                <c:ptCount val="5"/>
                <c:pt idx="0">
                  <c:v>0.232</c:v>
                </c:pt>
                <c:pt idx="1">
                  <c:v>0.285</c:v>
                </c:pt>
                <c:pt idx="2">
                  <c:v>0.139</c:v>
                </c:pt>
                <c:pt idx="3">
                  <c:v>0.133</c:v>
                </c:pt>
                <c:pt idx="4">
                  <c:v>-0.311</c:v>
                </c:pt>
              </c:numCache>
            </c:numRef>
          </c:val>
        </c:ser>
        <c:ser>
          <c:idx val="1"/>
          <c:order val="1"/>
          <c:tx>
            <c:strRef>
              <c:f>Sheet1!$C$1</c:f>
              <c:strCache>
                <c:ptCount val="1"/>
                <c:pt idx="0">
                  <c:v>旅游总收入增长率</c:v>
                </c:pt>
              </c:strCache>
            </c:strRef>
          </c:tx>
          <c:spPr>
            <a:solidFill>
              <a:srgbClr val="77933C">
                <a:lumMod val="75000"/>
              </a:srgb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4F6228">
                        <a:lumMod val="50000"/>
                      </a:srgb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Sheet1!$A$2:$A$6</c:f>
              <c:numCache>
                <c:formatCode>General</c:formatCode>
                <c:ptCount val="5"/>
                <c:pt idx="0">
                  <c:v>2016</c:v>
                </c:pt>
                <c:pt idx="1">
                  <c:v>2017</c:v>
                </c:pt>
                <c:pt idx="2">
                  <c:v>2018</c:v>
                </c:pt>
                <c:pt idx="3">
                  <c:v>2019</c:v>
                </c:pt>
                <c:pt idx="4">
                  <c:v>2020</c:v>
                </c:pt>
              </c:numCache>
            </c:numRef>
          </c:cat>
          <c:val>
            <c:numRef>
              <c:f>Sheet1!$C$2:$C$6</c:f>
              <c:numCache>
                <c:formatCode>0.00%</c:formatCode>
                <c:ptCount val="5"/>
                <c:pt idx="0">
                  <c:v>0.279</c:v>
                </c:pt>
                <c:pt idx="1">
                  <c:v>0.232</c:v>
                </c:pt>
                <c:pt idx="2">
                  <c:v>0.155</c:v>
                </c:pt>
                <c:pt idx="3">
                  <c:v>0.151</c:v>
                </c:pt>
                <c:pt idx="4">
                  <c:v>-0.401</c:v>
                </c:pt>
              </c:numCache>
            </c:numRef>
          </c:val>
        </c:ser>
        <c:dLbls>
          <c:showLegendKey val="0"/>
          <c:showVal val="0"/>
          <c:showCatName val="0"/>
          <c:showSerName val="0"/>
          <c:showPercent val="0"/>
          <c:showBubbleSize val="0"/>
        </c:dLbls>
        <c:gapWidth val="150"/>
        <c:axId val="45935616"/>
        <c:axId val="204608256"/>
      </c:barChart>
      <c:catAx>
        <c:axId val="45935616"/>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204608256"/>
        <c:crosses val="autoZero"/>
        <c:auto val="1"/>
        <c:lblAlgn val="ctr"/>
        <c:lblOffset val="100"/>
        <c:noMultiLvlLbl val="0"/>
      </c:catAx>
      <c:valAx>
        <c:axId val="204608256"/>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45935616"/>
        <c:crosses val="autoZero"/>
        <c:crossBetween val="between"/>
      </c:valAx>
      <c:spPr>
        <a:ln>
          <a:noFill/>
        </a:ln>
      </c:spPr>
    </c:plotArea>
    <c:legend>
      <c:legendPos val="r"/>
      <c:legendEntry>
        <c:idx val="0"/>
        <c:txPr>
          <a:bodyPr rot="0" spcFirstLastPara="0" vertOverflow="ellipsis" vert="horz" wrap="square" anchor="ctr" anchorCtr="1"/>
          <a:lstStyle/>
          <a:p>
            <a:pPr>
              <a:defRPr lang="zh-CN" sz="1050" b="0" i="0" u="none" strike="noStrike" kern="1200" baseline="0">
                <a:solidFill>
                  <a:srgbClr val="000000"/>
                </a:solidFill>
                <a:latin typeface="+mn-lt"/>
                <a:ea typeface="+mn-ea"/>
                <a:cs typeface="+mn-cs"/>
              </a:defRPr>
            </a:pPr>
          </a:p>
        </c:txPr>
      </c:legendEntry>
      <c:legendEntry>
        <c:idx val="1"/>
        <c:txPr>
          <a:bodyPr rot="0" spcFirstLastPara="0" vertOverflow="ellipsis" vert="horz" wrap="square" anchor="ctr" anchorCtr="1"/>
          <a:lstStyle/>
          <a:p>
            <a:pPr>
              <a:defRPr lang="zh-CN" sz="1050" b="0" i="0" u="none" strike="noStrike" kern="1200" baseline="0">
                <a:solidFill>
                  <a:srgbClr val="000000"/>
                </a:solidFill>
                <a:latin typeface="+mn-lt"/>
                <a:ea typeface="+mn-ea"/>
                <a:cs typeface="+mn-cs"/>
              </a:defRPr>
            </a:pPr>
          </a:p>
        </c:txPr>
      </c:legendEntry>
      <c:layout>
        <c:manualLayout>
          <c:xMode val="edge"/>
          <c:yMode val="edge"/>
          <c:x val="0.739092648856612"/>
          <c:y val="0.332417515630501"/>
          <c:w val="0.256946955103784"/>
          <c:h val="0.513957930345479"/>
        </c:manualLayout>
      </c:layout>
      <c:overlay val="0"/>
      <c:txPr>
        <a:bodyPr rot="0" spcFirstLastPara="0" vertOverflow="ellipsis" vert="horz" wrap="square" anchor="ctr" anchorCtr="1"/>
        <a:lstStyle/>
        <a:p>
          <a:pPr>
            <a:defRPr lang="zh-CN" sz="1050" b="0" i="0" u="none" strike="noStrike" kern="1200" baseline="0">
              <a:solidFill>
                <a:srgbClr val="000000"/>
              </a:solidFill>
              <a:latin typeface="+mn-lt"/>
              <a:ea typeface="+mn-ea"/>
              <a:cs typeface="+mn-cs"/>
            </a:defRPr>
          </a:pPr>
        </a:p>
      </c:txPr>
    </c:legend>
    <c:plotVisOnly val="1"/>
    <c:dispBlanksAs val="gap"/>
    <c:showDLblsOverMax val="0"/>
  </c:chart>
  <c:spPr>
    <a:noFill/>
    <a:ln w="9525" cap="flat" cmpd="sng" algn="ctr">
      <a:noFill/>
      <a:prstDash val="solid"/>
      <a:round/>
    </a:ln>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13C4D6-DBB7-408B-9457-AA711FE75D7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107</Pages>
  <Words>67478</Words>
  <Characters>68895</Characters>
  <Lines>584</Lines>
  <Paragraphs>164</Paragraphs>
  <TotalTime>22</TotalTime>
  <ScaleCrop>false</ScaleCrop>
  <LinksUpToDate>false</LinksUpToDate>
  <CharactersWithSpaces>69259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2020-11-10T07:15:00Z</dcterms:created>
  <dc:creator>张顺</dc:creator>
  <cp:lastModifiedBy>lenovo</cp:lastModifiedBy>
  <dcterms:modified xsi:type="dcterms:W3CDTF">2023-10-18T07:16:07Z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6EDBEDA8DA494F01BB451E170526E84C_13</vt:lpwstr>
  </property>
</Properties>
</file>